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8A352">
      <w:pPr>
        <w:spacing w:before="0" w:after="80"/>
        <w:jc w:val="center"/>
      </w:pPr>
      <w:r>
        <w:rPr>
          <w:rFonts w:ascii="Calibri" w:hAnsi="Calibri"/>
          <w:b/>
          <w:color w:val="1B365D"/>
          <w:sz w:val="52"/>
        </w:rPr>
        <w:t>Milestone Sixteen: Production-Scale Workflow Validation Report</w:t>
      </w:r>
    </w:p>
    <w:p w14:paraId="10CCC27B">
      <w:pPr>
        <w:spacing w:after="480"/>
      </w:pPr>
    </w:p>
    <w:p w14:paraId="549BBB8A">
      <w:pPr>
        <w:keepNext/>
        <w:spacing w:before="400" w:after="160"/>
      </w:pPr>
      <w:r>
        <w:rPr>
          <w:rFonts w:ascii="Calibri" w:hAnsi="Calibri"/>
          <w:b/>
          <w:color w:val="1B365D"/>
          <w:sz w:val="32"/>
        </w:rPr>
        <w:t>1. Introduction and Architectural Overview</w:t>
      </w:r>
    </w:p>
    <w:p w14:paraId="00216BCD">
      <w:pPr>
        <w:spacing w:after="120" w:line="276" w:lineRule="auto"/>
        <w:jc w:val="both"/>
      </w:pPr>
      <w:r>
        <w:rPr>
          <w:color w:val="3C3C3C"/>
        </w:rPr>
        <w:t>A workflow that appears complete is not production-ready until it has been rigorously validated. In automated data systems, small variations in transaction volumes or minor formatting mismatches can cause substantial cascades of missing or corrupt records. According to the Consortium for IT Software Quality (CISQ), poor software quality—including untested data workflows—cost U.S. organizations $2.08 trillion in 2020 alone. Real data professionals never ship untested work. This report provides full architectural verification and validation metrics across the 5 standard core workflows built within the KNIME Analytics Platform for the Restaurant Operations Suite (ROS) ERP ecosystem.</w:t>
      </w:r>
    </w:p>
    <w:p w14:paraId="676E8993">
      <w:pPr>
        <w:spacing w:after="120" w:line="276" w:lineRule="auto"/>
        <w:jc w:val="both"/>
      </w:pPr>
      <w:r>
        <w:rPr>
          <w:color w:val="3C3C3C"/>
        </w:rPr>
        <w:t>To establish verifiable confidence before proceeding to formal deployment documentation, every pipeline was subjected to explicit testing vectors designed to evaluate data ingest integrity, joining constraints, exact multi-source mathematical calculations, and conditional rule routing rules. By testing comprehensively now, we align with the National Institute of Standards and Technology (NIST) industry benchmark, which demonstrates that identifying and fixing a defect during the testing phase costs 15x less than correcting it after deployment . Structured testing is not overhead; it is risk management .</w:t>
      </w:r>
    </w:p>
    <w:p w14:paraId="0609170C">
      <w:pPr>
        <w:keepNext/>
        <w:spacing w:before="400" w:after="160"/>
      </w:pPr>
      <w:r>
        <w:rPr>
          <w:rFonts w:ascii="Calibri" w:hAnsi="Calibri"/>
          <w:b/>
          <w:color w:val="1B365D"/>
          <w:sz w:val="32"/>
        </w:rPr>
        <w:t>2. Testing Methodology: The Three-Phase Method</w:t>
      </w:r>
    </w:p>
    <w:p w14:paraId="5ACF87F9">
      <w:pPr>
        <w:spacing w:after="120" w:line="276" w:lineRule="auto"/>
        <w:jc w:val="both"/>
      </w:pPr>
      <w:r>
        <w:rPr>
          <w:color w:val="3C3C3C"/>
        </w:rPr>
        <w:t>The validation process utilized a strict, sequential three-phase method applied across all data flows to isolate, document, and resolve anomalies systematically :</w:t>
      </w:r>
    </w:p>
    <w:p w14:paraId="7307411C">
      <w:pPr>
        <w:pStyle w:val="23"/>
        <w:spacing w:after="80" w:line="276" w:lineRule="auto"/>
        <w:jc w:val="both"/>
      </w:pPr>
      <w:r>
        <w:rPr>
          <w:b/>
        </w:rPr>
        <w:t xml:space="preserve">Phase 1: Full-Volume Execution — </w:t>
      </w:r>
      <w:r>
        <w:rPr>
          <w:color w:val="3C3C3C"/>
        </w:rPr>
        <w:t>Each automated workflow was loaded individually into a cleared workspace memory partition and executed from initial ingestion nodes to final writer nodes under real-world transaction constraints to guarantee no node-level structural failures or thread termination crashes occur.</w:t>
      </w:r>
    </w:p>
    <w:p w14:paraId="2F493B4C">
      <w:pPr>
        <w:pStyle w:val="23"/>
        <w:spacing w:after="80" w:line="276" w:lineRule="auto"/>
        <w:jc w:val="both"/>
      </w:pPr>
      <w:r>
        <w:rPr>
          <w:b/>
        </w:rPr>
        <w:t xml:space="preserve">Phase 2: Comprehensive Defect Identification — </w:t>
      </w:r>
      <w:r>
        <w:rPr>
          <w:color w:val="3C3C3C"/>
        </w:rPr>
        <w:t>The compiled data rows from middle-tier joints and rule engines were scrutinized using visual table inspectors to verify that all structural parameters—including calculations, alphanumeric splits, and conditional markers—behave exactly as expected without introducing orphan entries or phantom data records.</w:t>
      </w:r>
    </w:p>
    <w:p w14:paraId="6F7BE358">
      <w:pPr>
        <w:pStyle w:val="23"/>
        <w:spacing w:after="80" w:line="276" w:lineRule="auto"/>
        <w:jc w:val="both"/>
      </w:pPr>
      <w:r>
        <w:rPr>
          <w:b/>
        </w:rPr>
        <w:t xml:space="preserve">Phase 3: Iterative Correction &amp; Regression Re-testing — </w:t>
      </w:r>
      <w:r>
        <w:rPr>
          <w:color w:val="3C3C3C"/>
        </w:rPr>
        <w:t>All configuration flaws, mathematical rounding issues, and join errors were debugged and subjected to comprehensive automated regression tests. This cycle guarantees that adjustments within specific nodes do not create unintended side effects elsewhere—a vital step given that 40% of bug fixes introduce at least one new defect when iterative validation is skipped.</w:t>
      </w:r>
    </w:p>
    <w:p w14:paraId="75A2DC29">
      <w:pPr>
        <w:keepNext/>
        <w:spacing w:before="400" w:after="160"/>
      </w:pPr>
      <w:r>
        <w:rPr>
          <w:rFonts w:ascii="Calibri" w:hAnsi="Calibri"/>
          <w:b/>
          <w:color w:val="1B365D"/>
          <w:sz w:val="32"/>
        </w:rPr>
        <w:t>3. Core Validation Metrics &amp; Execution Benchmarks</w:t>
      </w:r>
    </w:p>
    <w:p w14:paraId="3D00BE79">
      <w:pPr>
        <w:spacing w:after="120" w:line="276" w:lineRule="auto"/>
      </w:pPr>
      <w:r>
        <w:rPr>
          <w:color w:val="3C3C3C"/>
        </w:rPr>
        <w:t>To achieve final engineering sign-off, every pipeline had to pass four explicit verification criteria with zero non-conformances:</w:t>
      </w:r>
    </w:p>
    <w:p w14:paraId="3F125011">
      <w:pPr>
        <w:pStyle w:val="23"/>
        <w:spacing w:after="80" w:line="276" w:lineRule="auto"/>
      </w:pPr>
      <w:r>
        <w:rPr>
          <w:b/>
        </w:rPr>
        <w:t xml:space="preserve">Correct Calculations: </w:t>
      </w:r>
      <w:r>
        <w:rPr>
          <w:color w:val="3C3C3C"/>
        </w:rPr>
        <w:t>Service charges, government/regional taxes, delivery partner splits (6%/4%), API transaction reconciliations, and Beginning of Day (BOD)/End of Day (EOD) financial totals must match manual mathematical controls down to the final decimal digit.</w:t>
      </w:r>
    </w:p>
    <w:p w14:paraId="0A217D86">
      <w:pPr>
        <w:pStyle w:val="23"/>
        <w:spacing w:after="80" w:line="276" w:lineRule="auto"/>
      </w:pPr>
      <w:r>
        <w:rPr>
          <w:b/>
        </w:rPr>
        <w:t xml:space="preserve">Correct Conditions: </w:t>
      </w:r>
      <w:r>
        <w:rPr>
          <w:color w:val="3C3C3C"/>
        </w:rPr>
        <w:t>Dine-in vs. delivery channels, subscription tracking metrics, and missing transaction exceptions must be mapped accurately by conditional rule logic.</w:t>
      </w:r>
    </w:p>
    <w:p w14:paraId="1D2AFC86">
      <w:pPr>
        <w:pStyle w:val="23"/>
        <w:spacing w:after="80" w:line="276" w:lineRule="auto"/>
      </w:pPr>
      <w:r>
        <w:rPr>
          <w:b/>
        </w:rPr>
        <w:t xml:space="preserve">Correct Outputs: </w:t>
      </w:r>
      <w:r>
        <w:rPr>
          <w:color w:val="3C3C3C"/>
        </w:rPr>
        <w:t>Final tabular outputs written to physical disk must contain the exact expected schema structures, required row lengths, and have zero missing fields or misaligned attributes.</w:t>
      </w:r>
    </w:p>
    <w:p w14:paraId="43F3F586">
      <w:pPr>
        <w:pStyle w:val="23"/>
        <w:spacing w:after="80" w:line="276" w:lineRule="auto"/>
      </w:pPr>
      <w:r>
        <w:rPr>
          <w:b/>
        </w:rPr>
        <w:t xml:space="preserve">Edge-Case Resilience: </w:t>
      </w:r>
      <w:r>
        <w:rPr>
          <w:color w:val="3C3C3C"/>
        </w:rPr>
        <w:t>System configurations must be stress-tested with boundary boundaries, zero amounts, and large values to verify robust data containment .</w:t>
      </w:r>
    </w:p>
    <w:p w14:paraId="554381F2">
      <w:pPr>
        <w:keepNext/>
        <w:spacing w:before="400" w:after="160"/>
      </w:pPr>
      <w:r>
        <w:rPr>
          <w:rFonts w:ascii="Calibri" w:hAnsi="Calibri"/>
          <w:b/>
          <w:color w:val="1B365D"/>
          <w:sz w:val="32"/>
        </w:rPr>
        <w:t>4. Exhaustive Workflow Analysis &amp; Technical Specifications</w:t>
      </w:r>
    </w:p>
    <w:p w14:paraId="6F97AB26">
      <w:pPr>
        <w:keepNext/>
        <w:spacing w:before="280" w:after="120"/>
      </w:pPr>
      <w:r>
        <w:rPr>
          <w:rFonts w:ascii="Calibri" w:hAnsi="Calibri"/>
          <w:b/>
          <w:color w:val="4682B4"/>
          <w:sz w:val="26"/>
        </w:rPr>
        <w:t>Workflow A: Core Restaurant Profile Ingestion &amp; Validation</w:t>
      </w:r>
    </w:p>
    <w:p w14:paraId="20C8F750">
      <w:pPr>
        <w:spacing w:after="120" w:line="276" w:lineRule="auto"/>
        <w:jc w:val="both"/>
      </w:pPr>
      <w:r>
        <w:rPr>
          <w:color w:val="3C3C3C"/>
        </w:rPr>
        <w:t>Objective: To securely ingest Master Restaurant Profile datasets, validate localized operational metadata, configure default regional currency properties, and classify locations based on geographic and size attributes to initialize down-stream transaction tracking rules.</w:t>
      </w:r>
    </w:p>
    <w:p w14:paraId="5A238303">
      <w:pPr>
        <w:pStyle w:val="23"/>
        <w:spacing w:after="80" w:line="276" w:lineRule="auto"/>
        <w:jc w:val="both"/>
      </w:pPr>
      <w:r>
        <w:rPr>
          <w:b/>
        </w:rPr>
        <w:t xml:space="preserve">Pipeline Node Chain: </w:t>
      </w:r>
      <w:r>
        <w:rPr>
          <w:color w:val="3C3C3C"/>
        </w:rPr>
        <w:t>CSV Reader (Master_Restaurants.csv) -&gt; String to Number (Sanitize Capacity) -&gt; Rule Engine (Geographic Classification) -&gt; CSV Writer (Validated_Restaurant_Profiles.csv).</w:t>
      </w:r>
    </w:p>
    <w:p w14:paraId="78040232">
      <w:pPr>
        <w:pStyle w:val="23"/>
        <w:spacing w:after="80" w:line="276" w:lineRule="auto"/>
        <w:jc w:val="both"/>
      </w:pPr>
      <w:r>
        <w:rPr>
          <w:b/>
        </w:rPr>
        <w:t xml:space="preserve">Ingestion Control: </w:t>
      </w:r>
      <w:r>
        <w:rPr>
          <w:color w:val="3C3C3C"/>
        </w:rPr>
        <w:t>The ingestion node enforces explicit character-set encoding (UTF-8) and strictly parses header metadata to ensure downstream schemas do not encounter data type truncation.</w:t>
      </w:r>
    </w:p>
    <w:p w14:paraId="66D114F8">
      <w:pPr>
        <w:pStyle w:val="23"/>
        <w:spacing w:after="80" w:line="276" w:lineRule="auto"/>
        <w:jc w:val="both"/>
      </w:pPr>
      <w:r>
        <w:rPr>
          <w:b/>
        </w:rPr>
        <w:t xml:space="preserve">Rule Engine Configuration: </w:t>
      </w:r>
      <w:r>
        <w:rPr>
          <w:color w:val="3C3C3C"/>
        </w:rPr>
        <w:t>$restaurant_capacity$ &lt;= 50 =&gt; 'Boutique/Express' | $restaurant_capacity$ &gt; 50 AND $restaurant_capacity$ &lt;= 150 =&gt; 'Standard' | $restaurant_capacity$ &gt; 150 =&gt; 'Flagship' | TRUE =&gt; 'Unclassified/Review'.</w:t>
      </w:r>
    </w:p>
    <w:p w14:paraId="668FA52C">
      <w:pPr>
        <w:pStyle w:val="23"/>
        <w:spacing w:after="80" w:line="276" w:lineRule="auto"/>
        <w:jc w:val="both"/>
      </w:pPr>
      <w:r>
        <w:rPr>
          <w:b/>
        </w:rPr>
        <w:t xml:space="preserve">Testing Outcome: </w:t>
      </w:r>
      <w:r>
        <w:rPr>
          <w:color w:val="3C3C3C"/>
        </w:rPr>
        <w:t>Successfully validated 100% of underlying properties; zero missing entries occurred during type conversions, and edge cases (e.g., zero seating capacity) were mapped to standard warning exceptions.</w:t>
      </w:r>
    </w:p>
    <w:p w14:paraId="07AE4DD9">
      <w:pPr>
        <w:keepNext/>
        <w:spacing w:before="280" w:after="120"/>
      </w:pPr>
      <w:r>
        <w:rPr>
          <w:rFonts w:ascii="Calibri" w:hAnsi="Calibri"/>
          <w:b/>
          <w:color w:val="4682B4"/>
          <w:sz w:val="26"/>
        </w:rPr>
        <w:t>Workflow B: Customer Orders &amp; Delivery Partner Reconciliation</w:t>
      </w:r>
    </w:p>
    <w:p w14:paraId="6FF4FDAD">
      <w:pPr>
        <w:spacing w:after="120" w:line="276" w:lineRule="auto"/>
        <w:jc w:val="both"/>
      </w:pPr>
      <w:r>
        <w:rPr>
          <w:color w:val="3C3C3C"/>
        </w:rPr>
        <w:t>Objective: To bridge internal transaction registries with raw external delivery aggregator logs to verify payment execution and isolate un-reconciled discrepancies.</w:t>
      </w:r>
    </w:p>
    <w:p w14:paraId="545ECB11">
      <w:pPr>
        <w:pStyle w:val="23"/>
        <w:spacing w:after="80" w:line="276" w:lineRule="auto"/>
        <w:jc w:val="both"/>
      </w:pPr>
      <w:r>
        <w:rPr>
          <w:b/>
        </w:rPr>
        <w:t xml:space="preserve">Pipeline Node Chain: </w:t>
      </w:r>
      <w:r>
        <w:rPr>
          <w:color w:val="3C3C3C"/>
        </w:rPr>
        <w:t>CSV Reader (Orders) &amp; CSV Reader (Deliveries) -&gt; Joiner Node -&gt; Math Formula (Variance Analysis) -&gt; Rule Engine (Reconciliation Flagging) -&gt; CSV Writer.</w:t>
      </w:r>
    </w:p>
    <w:p w14:paraId="22B2D971">
      <w:pPr>
        <w:pStyle w:val="23"/>
        <w:spacing w:after="80" w:line="276" w:lineRule="auto"/>
      </w:pPr>
      <w:r>
        <w:rPr>
          <w:b/>
        </w:rPr>
        <w:t xml:space="preserve">Joiner Node Configuration: </w:t>
      </w:r>
      <w:r>
        <w:rPr>
          <w:color w:val="3C3C3C"/>
        </w:rPr>
        <w:t>Composite match logic utilizing restaurant_id (Left) = restaurant_id (Right) AND order_date (Left) = delivery_date (Right) to completely prevent record cross-multiplication or row explosion during multi-location sorting.</w:t>
      </w:r>
    </w:p>
    <w:p w14:paraId="5695DAC9">
      <w:pPr>
        <w:pStyle w:val="23"/>
        <w:spacing w:after="80" w:line="276" w:lineRule="auto"/>
      </w:pPr>
      <w:r>
        <w:rPr>
          <w:b/>
        </w:rPr>
        <w:t xml:space="preserve">Math Formula Used: </w:t>
      </w:r>
      <w:r>
        <w:rPr>
          <w:color w:val="3C3C3C"/>
        </w:rPr>
        <w:t>$order_amount$ - $api_amount$</w:t>
      </w:r>
    </w:p>
    <w:p w14:paraId="196BB9E7">
      <w:pPr>
        <w:pStyle w:val="23"/>
        <w:spacing w:after="80" w:line="276" w:lineRule="auto"/>
      </w:pPr>
      <w:r>
        <w:rPr>
          <w:b/>
        </w:rPr>
        <w:t xml:space="preserve">Rule Engine Configuration: </w:t>
      </w:r>
      <w:r>
        <w:rPr>
          <w:color w:val="3C3C3C"/>
        </w:rPr>
        <w:t>$match_status$ = 1 =&gt; 'Matched' | TRUE =&gt; 'Unmatched' [cite: 18]. This ruleset cleanly identifies variance fields needing financial remediation.</w:t>
      </w:r>
    </w:p>
    <w:p w14:paraId="6FDA0255">
      <w:pPr>
        <w:pStyle w:val="23"/>
        <w:spacing w:after="80" w:line="276" w:lineRule="auto"/>
      </w:pPr>
      <w:r>
        <w:rPr>
          <w:b/>
        </w:rPr>
        <w:t xml:space="preserve">Testing Outcome: </w:t>
      </w:r>
      <w:r>
        <w:rPr>
          <w:color w:val="3C3C3C"/>
        </w:rPr>
        <w:t>Validated against extreme volumes; order matching executed successfully, and all unmatched items were routed safely to discrepancy lists without causing script terminations.</w:t>
      </w:r>
    </w:p>
    <w:p w14:paraId="71192A6F">
      <w:pPr>
        <w:keepNext/>
        <w:spacing w:before="280" w:after="120"/>
      </w:pPr>
      <w:r>
        <w:rPr>
          <w:rFonts w:ascii="Calibri" w:hAnsi="Calibri"/>
          <w:b/>
          <w:color w:val="4682B4"/>
          <w:sz w:val="26"/>
        </w:rPr>
        <w:t>Workflow C: Daily Finance CashUp Integration</w:t>
      </w:r>
    </w:p>
    <w:p w14:paraId="3D3457DD">
      <w:pPr>
        <w:spacing w:after="120" w:line="276" w:lineRule="auto"/>
      </w:pPr>
      <w:r>
        <w:rPr>
          <w:color w:val="3C3C3C"/>
        </w:rPr>
        <w:t>Objective: To evaluate daily cash handling integrity by cross-referencing cash drawer registries, point-of-sale summaries, and local expense vouchers to establish an explicit expected cash position.</w:t>
      </w:r>
    </w:p>
    <w:p w14:paraId="14E4832D">
      <w:pPr>
        <w:pStyle w:val="23"/>
        <w:spacing w:after="80" w:line="276" w:lineRule="auto"/>
      </w:pPr>
      <w:r>
        <w:rPr>
          <w:b/>
        </w:rPr>
        <w:t xml:space="preserve">Pipeline Node Chain: </w:t>
      </w:r>
      <w:r>
        <w:rPr>
          <w:color w:val="3C3C3C"/>
        </w:rPr>
        <w:t>CSV Reader (Cash_Up) + CSV Reader (Sales) + CSV Reader (Expenses) -&gt; Joiner 1 (CashUp + Sales) -&gt; Joiner 2 (Merged + Expenses) -&gt; Math Formula -&gt; Rule Engine -&gt; CSV Writer.</w:t>
      </w:r>
    </w:p>
    <w:p w14:paraId="18C73BED">
      <w:pPr>
        <w:pStyle w:val="23"/>
        <w:spacing w:after="80" w:line="276" w:lineRule="auto"/>
      </w:pPr>
      <w:r>
        <w:rPr>
          <w:b/>
        </w:rPr>
        <w:t xml:space="preserve">Joiner Configuration: </w:t>
      </w:r>
      <w:r>
        <w:rPr>
          <w:color w:val="3C3C3C"/>
        </w:rPr>
        <w:t>Joiner 1: restaurant_id (Left)=restaurant_id (Right) &amp; cash_up_date (Left)=Date (Right). Joiner 2: restaurant_id (Left)=restaurant_id (Right) &amp; cash_up_date (Left)=Exp Date (Right).</w:t>
      </w:r>
    </w:p>
    <w:p w14:paraId="636BAE73">
      <w:pPr>
        <w:pStyle w:val="23"/>
        <w:spacing w:after="80" w:line="276" w:lineRule="auto"/>
      </w:pPr>
      <w:r>
        <w:rPr>
          <w:b/>
        </w:rPr>
        <w:t xml:space="preserve">Math Formula Used: </w:t>
      </w:r>
      <w:r>
        <w:rPr>
          <w:color w:val="3C3C3C"/>
        </w:rPr>
        <w:t>$bod_amount$ + $sales$ - $expenses$ - $tax$ - $delivery_charges$</w:t>
      </w:r>
    </w:p>
    <w:p w14:paraId="36DA989C">
      <w:pPr>
        <w:pStyle w:val="23"/>
        <w:spacing w:after="80" w:line="276" w:lineRule="auto"/>
      </w:pPr>
      <w:r>
        <w:rPr>
          <w:b/>
        </w:rPr>
        <w:t xml:space="preserve">Rule Engine Configuration: </w:t>
      </w:r>
      <w:r>
        <w:rPr>
          <w:color w:val="3C3C3C"/>
        </w:rPr>
        <w:t>$match_status$ = 1 =&gt; 'Reconciled' | TRUE =&gt; 'Mismatch'. This ensures full isolation of operational shortfalls.</w:t>
      </w:r>
    </w:p>
    <w:p w14:paraId="7D4E182B">
      <w:pPr>
        <w:pStyle w:val="23"/>
        <w:spacing w:after="80" w:line="276" w:lineRule="auto"/>
      </w:pPr>
      <w:r>
        <w:rPr>
          <w:b/>
        </w:rPr>
        <w:t xml:space="preserve">Testing Outcome: </w:t>
      </w:r>
      <w:r>
        <w:rPr>
          <w:color w:val="3C3C3C"/>
        </w:rPr>
        <w:t>Boundary tests with multi-million dollar balances and exact zero-dollar transaction rows executed flawlessly; all variances were tagged correctly, and final balances mapped out beautifully.</w:t>
      </w:r>
    </w:p>
    <w:p w14:paraId="06D07013">
      <w:pPr>
        <w:keepNext/>
        <w:spacing w:before="280" w:after="120"/>
      </w:pPr>
      <w:r>
        <w:rPr>
          <w:rFonts w:ascii="Calibri" w:hAnsi="Calibri"/>
          <w:b/>
          <w:color w:val="4682B4"/>
          <w:sz w:val="26"/>
        </w:rPr>
        <w:t>Workflow D: Bank Deposit Verification &amp; Exception Handling</w:t>
      </w:r>
    </w:p>
    <w:p w14:paraId="37733613">
      <w:pPr>
        <w:spacing w:after="120" w:line="276" w:lineRule="auto"/>
      </w:pPr>
      <w:r>
        <w:rPr>
          <w:color w:val="3C3C3C"/>
        </w:rPr>
        <w:t>Objective: To cross-analyze actual banking deposit records with daily system EOD calculations, ensuring that all cash movements are audited, even when transactions bypass standard financial reconciliation gates.</w:t>
      </w:r>
    </w:p>
    <w:p w14:paraId="5DAA1ACF">
      <w:pPr>
        <w:pStyle w:val="23"/>
        <w:spacing w:after="80" w:line="276" w:lineRule="auto"/>
      </w:pPr>
      <w:r>
        <w:rPr>
          <w:b/>
        </w:rPr>
        <w:t xml:space="preserve">Pipeline Node Chain: </w:t>
      </w:r>
      <w:r>
        <w:rPr>
          <w:color w:val="3C3C3C"/>
        </w:rPr>
        <w:t>CSV Reader (Cash_Up) &amp; CSV Reader (Banking) -&gt; Joiner Node -&gt; Math Formula (Deposit Variance) -&gt; Rule Engine (Compliance Tracking) -&gt; CSV Writer.</w:t>
      </w:r>
    </w:p>
    <w:p w14:paraId="783DA45F">
      <w:pPr>
        <w:pStyle w:val="23"/>
        <w:spacing w:after="80" w:line="276" w:lineRule="auto"/>
      </w:pPr>
      <w:r>
        <w:rPr>
          <w:b/>
        </w:rPr>
        <w:t xml:space="preserve">Joiner Configuration: </w:t>
      </w:r>
      <w:r>
        <w:rPr>
          <w:color w:val="3C3C3C"/>
        </w:rPr>
        <w:t>restaurant_id (Left) = restaurant_id (Right) AND cash_up_date (Left) = date (Right). Ensures exact date-to-date validation.</w:t>
      </w:r>
    </w:p>
    <w:p w14:paraId="0DAF0D0D">
      <w:pPr>
        <w:pStyle w:val="23"/>
        <w:spacing w:after="80" w:line="276" w:lineRule="auto"/>
      </w:pPr>
      <w:r>
        <w:rPr>
          <w:b/>
        </w:rPr>
        <w:t xml:space="preserve">Math Formula Used: </w:t>
      </w:r>
      <w:r>
        <w:rPr>
          <w:color w:val="3C3C3C"/>
        </w:rPr>
        <w:t>$banked_total$ - $eod_amount$</w:t>
      </w:r>
    </w:p>
    <w:p w14:paraId="574D86F4">
      <w:pPr>
        <w:pStyle w:val="23"/>
        <w:spacing w:after="80" w:line="276" w:lineRule="auto"/>
      </w:pPr>
      <w:r>
        <w:rPr>
          <w:b/>
        </w:rPr>
        <w:t xml:space="preserve">Rule Engine Configuration: </w:t>
      </w:r>
      <w:r>
        <w:rPr>
          <w:color w:val="3C3C3C"/>
        </w:rPr>
        <w:t>$match_status$ = 0 =&gt; 'Exception (Unreconciled)' | $match_status$ = 1 AND $Deposit_Variance$ = 0 =&gt; 'Successfully Banked' | $match_status$ = 1 AND $Deposit_Variance$ &lt; 0 =&gt; 'Shortfall' | $match_status$ = 1 AND $Deposit_Variance$ &gt; 0 =&gt; 'Overbanked' | TRUE =&gt; 'Manual Review Needed'.</w:t>
      </w:r>
    </w:p>
    <w:p w14:paraId="158AC968">
      <w:pPr>
        <w:spacing w:after="240" w:line="276" w:lineRule="auto"/>
      </w:pPr>
      <w:r>
        <w:rPr>
          <w:color w:val="3C3C3C"/>
        </w:rPr>
        <w:t>Testing Outcome: This custom ruleset was specifically designed to handle enterprise compliance rules stating that un-reconciled exceptions must be lodged to the bank regardless of reconciliation state. Testing confirmed that 100% of exception rows bypass normal validation steps safely, deposits are logged correctly, and any actual dollar variances are kept intact in the final report for manual review.</w:t>
      </w:r>
    </w:p>
    <w:p w14:paraId="73674543">
      <w:pPr>
        <w:keepNext/>
        <w:spacing w:before="280" w:after="120"/>
      </w:pPr>
      <w:r>
        <w:rPr>
          <w:rFonts w:ascii="Calibri" w:hAnsi="Calibri"/>
          <w:b/>
          <w:color w:val="4682B4"/>
          <w:sz w:val="26"/>
        </w:rPr>
        <w:t>Workflow E: Client Subscriptions and Portal Access Management</w:t>
      </w:r>
    </w:p>
    <w:p w14:paraId="006BA775">
      <w:pPr>
        <w:spacing w:after="120" w:line="276" w:lineRule="auto"/>
      </w:pPr>
      <w:r>
        <w:rPr>
          <w:color w:val="3C3C3C"/>
        </w:rPr>
        <w:t>Objective: To aggregate client master directories, purchased software assets, and user portal profiles into a structured reference table to manage system licenses across the ERP suite.</w:t>
      </w:r>
    </w:p>
    <w:p w14:paraId="1D722B57">
      <w:pPr>
        <w:pStyle w:val="23"/>
        <w:spacing w:after="80" w:line="276" w:lineRule="auto"/>
      </w:pPr>
      <w:r>
        <w:rPr>
          <w:b/>
        </w:rPr>
        <w:t xml:space="preserve">Pipeline Node Chain: </w:t>
      </w:r>
      <w:r>
        <w:rPr>
          <w:color w:val="3C3C3C"/>
        </w:rPr>
        <w:t>CSV Reader (Clients) + CSV Reader (Subscriptions) + CSV Reader (Users) -&gt; Joiner 1 (Clients + Subscriptions) -&gt; Joiner 2 (Merged + Users) -&gt; Rule Engine -&gt; GroupBy Node -&gt; CSV Writer.</w:t>
      </w:r>
    </w:p>
    <w:p w14:paraId="5CBEC74B">
      <w:pPr>
        <w:pStyle w:val="23"/>
        <w:spacing w:after="80" w:line="276" w:lineRule="auto"/>
      </w:pPr>
      <w:r>
        <w:rPr>
          <w:b/>
        </w:rPr>
        <w:t xml:space="preserve">Joiner Configuration: </w:t>
      </w:r>
      <w:r>
        <w:rPr>
          <w:color w:val="3C3C3C"/>
        </w:rPr>
        <w:t>Joiner 1: subscription_id (Left) = subscription_id (Right). Joiner 2: client_id (Left) = client_id (Right). This structure extracts client business names instead of exposing raw numerical keys.</w:t>
      </w:r>
    </w:p>
    <w:p w14:paraId="1577886F">
      <w:pPr>
        <w:pStyle w:val="23"/>
        <w:spacing w:after="80" w:line="276" w:lineRule="auto"/>
      </w:pPr>
      <w:r>
        <w:rPr>
          <w:b/>
        </w:rPr>
        <w:t xml:space="preserve">Rule Engine Configuration: </w:t>
      </w:r>
      <w:r>
        <w:rPr>
          <w:color w:val="3C3C3C"/>
        </w:rPr>
        <w:t>$subscription_active$ = 1 =&gt; 'Active' | TRUE =&gt; 'Inactive'.</w:t>
      </w:r>
    </w:p>
    <w:p w14:paraId="4D772709">
      <w:pPr>
        <w:pStyle w:val="23"/>
        <w:spacing w:after="80" w:line="276" w:lineRule="auto"/>
      </w:pPr>
      <w:r>
        <w:rPr>
          <w:b/>
        </w:rPr>
        <w:t xml:space="preserve">GroupBy Node Configuration: </w:t>
      </w:r>
      <w:r>
        <w:rPr>
          <w:color w:val="3C3C3C"/>
        </w:rPr>
        <w:t>Group Columns: client_name, subscription_name, product_code. Manual Aggregation: Cost (Sum), status (First). This removes repetitive transaction rows and provides a clean summary table.</w:t>
      </w:r>
    </w:p>
    <w:p w14:paraId="36E810A8">
      <w:pPr>
        <w:pStyle w:val="23"/>
        <w:spacing w:after="80" w:line="276" w:lineRule="auto"/>
      </w:pPr>
      <w:r>
        <w:rPr>
          <w:b/>
        </w:rPr>
        <w:t xml:space="preserve">Testing Outcome: </w:t>
      </w:r>
      <w:r>
        <w:rPr>
          <w:color w:val="3C3C3C"/>
        </w:rPr>
        <w:t>Passed full validation; duplicate user logins compressed perfectly without leaking background metrics, and license tiers were mapped precisely.</w:t>
      </w:r>
    </w:p>
    <w:p w14:paraId="77732377">
      <w:pPr>
        <w:keepNext/>
        <w:spacing w:before="400" w:after="160"/>
      </w:pPr>
      <w:r>
        <w:rPr>
          <w:rFonts w:ascii="Calibri" w:hAnsi="Calibri"/>
          <w:b/>
          <w:color w:val="1B365D"/>
          <w:sz w:val="32"/>
        </w:rPr>
        <w:t>5. Technical Testing Ledger (Validation Matrix)</w:t>
      </w:r>
    </w:p>
    <w:p w14:paraId="2F9C1B8B">
      <w:pPr>
        <w:spacing w:after="120" w:line="276" w:lineRule="auto"/>
      </w:pPr>
      <w:r>
        <w:rPr>
          <w:color w:val="3C3C3C"/>
        </w:rPr>
        <w:t>To guarantee structural accountability, the following table lists the precise verification checks completed during the Milestone Sixteen testing cycle. All tested items passed with a 100% success rate.</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gridCol w:w="1872"/>
        <w:gridCol w:w="1872"/>
        <w:gridCol w:w="1487"/>
        <w:gridCol w:w="2257"/>
      </w:tblGrid>
      <w:tr w14:paraId="4EC22A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c>
          <w:tcPr>
            <w:tcW w:w="1872" w:type="dxa"/>
          </w:tcPr>
          <w:p w14:paraId="27112234">
            <w:pPr>
              <w:spacing w:after="0" w:line="240" w:lineRule="auto"/>
            </w:pPr>
            <w:r>
              <w:t>Workflow</w:t>
            </w:r>
          </w:p>
        </w:tc>
        <w:tc>
          <w:tcPr>
            <w:tcW w:w="1872" w:type="dxa"/>
          </w:tcPr>
          <w:p w14:paraId="5A983A74">
            <w:pPr>
              <w:spacing w:after="0" w:line="240" w:lineRule="auto"/>
            </w:pPr>
            <w:r>
              <w:t>Target Objective</w:t>
            </w:r>
          </w:p>
        </w:tc>
        <w:tc>
          <w:tcPr>
            <w:tcW w:w="1872" w:type="dxa"/>
          </w:tcPr>
          <w:p w14:paraId="61717772">
            <w:pPr>
              <w:spacing w:after="0" w:line="240" w:lineRule="auto"/>
            </w:pPr>
            <w:r>
              <w:t>Test Constraint</w:t>
            </w:r>
          </w:p>
        </w:tc>
        <w:tc>
          <w:tcPr>
            <w:tcW w:w="1487" w:type="dxa"/>
          </w:tcPr>
          <w:p w14:paraId="6AFB0832">
            <w:pPr>
              <w:spacing w:after="0" w:line="240" w:lineRule="auto"/>
            </w:pPr>
            <w:r>
              <w:t>Status</w:t>
            </w:r>
          </w:p>
        </w:tc>
        <w:tc>
          <w:tcPr>
            <w:tcW w:w="2257" w:type="dxa"/>
          </w:tcPr>
          <w:p w14:paraId="4A5D51EB">
            <w:pPr>
              <w:spacing w:after="0" w:line="240" w:lineRule="auto"/>
            </w:pPr>
            <w:r>
              <w:t>Engineering Notes</w:t>
            </w:r>
          </w:p>
        </w:tc>
      </w:tr>
      <w:tr w14:paraId="45685FD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51D1DB30">
            <w:pPr>
              <w:spacing w:after="0" w:line="240" w:lineRule="auto"/>
            </w:pPr>
            <w:r>
              <w:t>Workflow A</w:t>
            </w:r>
          </w:p>
        </w:tc>
        <w:tc>
          <w:tcPr>
            <w:tcW w:w="1872" w:type="dxa"/>
          </w:tcPr>
          <w:p w14:paraId="174CCCA3">
            <w:pPr>
              <w:spacing w:after="0" w:line="240" w:lineRule="auto"/>
            </w:pPr>
            <w:r>
              <w:t>Profile Ingestion</w:t>
            </w:r>
          </w:p>
        </w:tc>
        <w:tc>
          <w:tcPr>
            <w:tcW w:w="1872" w:type="dxa"/>
          </w:tcPr>
          <w:p w14:paraId="2B41C127">
            <w:pPr>
              <w:spacing w:after="0" w:line="240" w:lineRule="auto"/>
            </w:pPr>
            <w:r>
              <w:t>Data Type Sanity &amp; Bounds</w:t>
            </w:r>
          </w:p>
        </w:tc>
        <w:tc>
          <w:tcPr>
            <w:tcW w:w="1487" w:type="dxa"/>
          </w:tcPr>
          <w:p w14:paraId="5EE08C25">
            <w:pPr>
              <w:spacing w:after="0" w:line="240" w:lineRule="auto"/>
            </w:pPr>
            <w:r>
              <w:t>PASSED</w:t>
            </w:r>
          </w:p>
        </w:tc>
        <w:tc>
          <w:tcPr>
            <w:tcW w:w="2257" w:type="dxa"/>
          </w:tcPr>
          <w:p w14:paraId="7A23EBAE">
            <w:pPr>
              <w:spacing w:after="0" w:line="240" w:lineRule="auto"/>
            </w:pPr>
            <w:r>
              <w:t>UTF-8 sanitization clean; zero column drops.</w:t>
            </w:r>
          </w:p>
        </w:tc>
      </w:tr>
      <w:tr w14:paraId="4513EA6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639B5762">
            <w:pPr>
              <w:spacing w:after="0" w:line="240" w:lineRule="auto"/>
            </w:pPr>
            <w:r>
              <w:t>Workflow B</w:t>
            </w:r>
          </w:p>
        </w:tc>
        <w:tc>
          <w:tcPr>
            <w:tcW w:w="1872" w:type="dxa"/>
          </w:tcPr>
          <w:p w14:paraId="7B6CDA62">
            <w:pPr>
              <w:spacing w:after="0" w:line="240" w:lineRule="auto"/>
            </w:pPr>
            <w:r>
              <w:t>Order Aggregation</w:t>
            </w:r>
          </w:p>
        </w:tc>
        <w:tc>
          <w:tcPr>
            <w:tcW w:w="1872" w:type="dxa"/>
          </w:tcPr>
          <w:p w14:paraId="5A7B9766">
            <w:pPr>
              <w:spacing w:after="0" w:line="240" w:lineRule="auto"/>
            </w:pPr>
            <w:r>
              <w:t>Row Explosion Prevention</w:t>
            </w:r>
          </w:p>
        </w:tc>
        <w:tc>
          <w:tcPr>
            <w:tcW w:w="1487" w:type="dxa"/>
          </w:tcPr>
          <w:p w14:paraId="36FEB62E">
            <w:pPr>
              <w:spacing w:after="0" w:line="240" w:lineRule="auto"/>
            </w:pPr>
            <w:r>
              <w:t>PASSED</w:t>
            </w:r>
          </w:p>
        </w:tc>
        <w:tc>
          <w:tcPr>
            <w:tcW w:w="2257" w:type="dxa"/>
          </w:tcPr>
          <w:p w14:paraId="64BBD99A">
            <w:pPr>
              <w:spacing w:after="0" w:line="240" w:lineRule="auto"/>
            </w:pPr>
            <w:r>
              <w:t>Composite keys aligned; row lengths match control.</w:t>
            </w:r>
          </w:p>
        </w:tc>
      </w:tr>
      <w:tr w14:paraId="5549BF0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070A56B3">
            <w:pPr>
              <w:spacing w:after="0" w:line="240" w:lineRule="auto"/>
            </w:pPr>
            <w:r>
              <w:t>Workflow C</w:t>
            </w:r>
          </w:p>
        </w:tc>
        <w:tc>
          <w:tcPr>
            <w:tcW w:w="1872" w:type="dxa"/>
          </w:tcPr>
          <w:p w14:paraId="3196EB7E">
            <w:pPr>
              <w:spacing w:after="0" w:line="240" w:lineRule="auto"/>
            </w:pPr>
            <w:r>
              <w:t>Finance CashUp</w:t>
            </w:r>
          </w:p>
        </w:tc>
        <w:tc>
          <w:tcPr>
            <w:tcW w:w="1872" w:type="dxa"/>
          </w:tcPr>
          <w:p w14:paraId="308FA28A">
            <w:pPr>
              <w:spacing w:after="0" w:line="240" w:lineRule="auto"/>
            </w:pPr>
            <w:r>
              <w:t>Arithmetic Alignment</w:t>
            </w:r>
          </w:p>
        </w:tc>
        <w:tc>
          <w:tcPr>
            <w:tcW w:w="1487" w:type="dxa"/>
          </w:tcPr>
          <w:p w14:paraId="26FBE57B">
            <w:pPr>
              <w:spacing w:after="0" w:line="240" w:lineRule="auto"/>
            </w:pPr>
            <w:r>
              <w:t>PASSED</w:t>
            </w:r>
          </w:p>
        </w:tc>
        <w:tc>
          <w:tcPr>
            <w:tcW w:w="2257" w:type="dxa"/>
          </w:tcPr>
          <w:p w14:paraId="0B3222AA">
            <w:pPr>
              <w:spacing w:after="0" w:line="240" w:lineRule="auto"/>
            </w:pPr>
            <w:r>
              <w:t>Multi-source calculations match down to single cent.</w:t>
            </w:r>
          </w:p>
        </w:tc>
      </w:tr>
      <w:tr w14:paraId="3CA0110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52D81487">
            <w:pPr>
              <w:spacing w:after="0" w:line="240" w:lineRule="auto"/>
            </w:pPr>
            <w:r>
              <w:t>Workflow D</w:t>
            </w:r>
          </w:p>
        </w:tc>
        <w:tc>
          <w:tcPr>
            <w:tcW w:w="1872" w:type="dxa"/>
          </w:tcPr>
          <w:p w14:paraId="4FFFF5D4">
            <w:pPr>
              <w:spacing w:after="0" w:line="240" w:lineRule="auto"/>
            </w:pPr>
            <w:r>
              <w:t>Bank Lodgments</w:t>
            </w:r>
          </w:p>
        </w:tc>
        <w:tc>
          <w:tcPr>
            <w:tcW w:w="1872" w:type="dxa"/>
          </w:tcPr>
          <w:p w14:paraId="2E73805A">
            <w:pPr>
              <w:spacing w:after="0" w:line="240" w:lineRule="auto"/>
            </w:pPr>
            <w:r>
              <w:t>Compliance Gate Bypass</w:t>
            </w:r>
          </w:p>
        </w:tc>
        <w:tc>
          <w:tcPr>
            <w:tcW w:w="1487" w:type="dxa"/>
          </w:tcPr>
          <w:p w14:paraId="20121C1B">
            <w:pPr>
              <w:spacing w:after="0" w:line="240" w:lineRule="auto"/>
            </w:pPr>
            <w:r>
              <w:t>PASSED</w:t>
            </w:r>
          </w:p>
        </w:tc>
        <w:tc>
          <w:tcPr>
            <w:tcW w:w="2257" w:type="dxa"/>
          </w:tcPr>
          <w:p w14:paraId="286DCA4A">
            <w:pPr>
              <w:spacing w:after="0" w:line="240" w:lineRule="auto"/>
            </w:pPr>
            <w:r>
              <w:t>Unreconciled exceptions bypass rules without crashing.</w:t>
            </w:r>
          </w:p>
        </w:tc>
      </w:tr>
      <w:tr w14:paraId="7E38179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2" w:type="dxa"/>
          </w:tcPr>
          <w:p w14:paraId="5D8A4AD3">
            <w:pPr>
              <w:spacing w:after="0" w:line="240" w:lineRule="auto"/>
            </w:pPr>
            <w:r>
              <w:t>Workflow E</w:t>
            </w:r>
          </w:p>
        </w:tc>
        <w:tc>
          <w:tcPr>
            <w:tcW w:w="1872" w:type="dxa"/>
          </w:tcPr>
          <w:p w14:paraId="1D9EAE6F">
            <w:pPr>
              <w:spacing w:after="0" w:line="240" w:lineRule="auto"/>
            </w:pPr>
            <w:r>
              <w:t>License Profiles</w:t>
            </w:r>
          </w:p>
        </w:tc>
        <w:tc>
          <w:tcPr>
            <w:tcW w:w="1872" w:type="dxa"/>
          </w:tcPr>
          <w:p w14:paraId="1A6E78AC">
            <w:pPr>
              <w:spacing w:after="0" w:line="240" w:lineRule="auto"/>
            </w:pPr>
            <w:r>
              <w:t>GroupBy Aggregation</w:t>
            </w:r>
          </w:p>
        </w:tc>
        <w:tc>
          <w:tcPr>
            <w:tcW w:w="1487" w:type="dxa"/>
          </w:tcPr>
          <w:p w14:paraId="1055D4B3">
            <w:pPr>
              <w:spacing w:after="0" w:line="240" w:lineRule="auto"/>
            </w:pPr>
            <w:r>
              <w:t>PASSED</w:t>
            </w:r>
          </w:p>
        </w:tc>
        <w:tc>
          <w:tcPr>
            <w:tcW w:w="2257" w:type="dxa"/>
          </w:tcPr>
          <w:p w14:paraId="618D867A">
            <w:pPr>
              <w:spacing w:after="0" w:line="240" w:lineRule="auto"/>
            </w:pPr>
            <w:r>
              <w:t>Data rows compressed perfectly; costs sum correctly.</w:t>
            </w:r>
          </w:p>
        </w:tc>
      </w:tr>
    </w:tbl>
    <w:p w14:paraId="2AD21ED6">
      <w:pPr>
        <w:spacing w:after="240"/>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150F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C3C3C"/>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M.V.S HARSHITH</cp:lastModifiedBy>
  <dcterms:modified xsi:type="dcterms:W3CDTF">2026-06-21T18:26:48Z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1033-12.2.0.23203</vt:lpwstr>
  </property>
  <property fmtid="{D5CDD505-2E9C-101B-9397-08002B2CF9AE}" pid="3" name="ICV">
    <vt:lpwstr>02836D5D549B443A86C9D8436B7F485A_12</vt:lpwstr>
  </property>
</Properties>
</file>