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Calibri" w:hAnsi="Calibri"/>
          <w:b/>
          <w:color w:val="D35400"/>
          <w:sz w:val="22"/>
        </w:rPr>
        <w:t>AGRICULTURAL DEEP LEARNING &amp; PRECISION AGRONOMY SYSTEM</w:t>
      </w:r>
    </w:p>
    <w:p>
      <w:pPr>
        <w:spacing w:before="0" w:after="240"/>
      </w:pPr>
      <w:r>
        <w:rPr>
          <w:rFonts w:ascii="Calibri" w:hAnsi="Calibri"/>
          <w:b/>
          <w:color w:val="1B5E20"/>
          <w:sz w:val="48"/>
        </w:rPr>
        <w:t>🍅 TomatoGuard AI</w:t>
        <w:br/>
        <w:t>Production-Grade Two-Stage AI Crop Health &amp; Foliar Disease Diagnostic Engine</w:t>
      </w:r>
    </w:p>
    <w:p>
      <w:pPr>
        <w:spacing w:after="560"/>
      </w:pPr>
      <w:r>
        <w:rPr>
          <w:rFonts w:ascii="Calibri" w:hAnsi="Calibri"/>
          <w:color w:val="607D8B"/>
          <w:sz w:val="24"/>
        </w:rPr>
        <w:t>Comprehensive Project Documentation, Software Requirements Specification (SRS), Requirements Analysis, Architectural Design, Machine Learning Pipeline, and Verification Benchmark Report.</w:t>
      </w:r>
    </w:p>
    <w:tbl>
      <w:tblPr>
        <w:tblW w:type="auto" w:w="0"/>
        <w:jc w:val="center"/>
        <w:tblLook w:firstColumn="1" w:firstRow="1" w:lastColumn="0" w:lastRow="0" w:noHBand="0" w:noVBand="1" w:val="04A0"/>
        <w:tblBorders>
          <w:top w:val="single" w:sz="4" w:space="0" w:color="E0E0E0"/>
          <w:bottom w:val="single" w:sz="4" w:space="0" w:color="E0E0E0"/>
          <w:insideH w:val="single" w:sz="4" w:space="0" w:color="E0E0E0"/>
          <w:insideV w:val="none"/>
          <w:left w:val="none"/>
          <w:right w:val="none"/>
        </w:tblBorders>
      </w:tblPr>
      <w:tblGrid>
        <w:gridCol w:w="4680"/>
        <w:gridCol w:w="4680"/>
      </w:tblGrid>
      <w:tr>
        <w:tc>
          <w:tcPr>
            <w:tcW w:type="dxa" w:w="3168"/>
            <w:shd w:fill="F4F9F4"/>
            <w:tcMar>
              <w:top w:w="100" w:type="dxa"/>
              <w:bottom w:w="100" w:type="dxa"/>
              <w:left w:w="140" w:type="dxa"/>
              <w:right w:w="140" w:type="dxa"/>
            </w:tcMar>
          </w:tcPr>
          <w:p>
            <w:r>
              <w:rPr>
                <w:rFonts w:ascii="Calibri" w:hAnsi="Calibri"/>
                <w:b/>
                <w:color w:val="1B5E20"/>
                <w:sz w:val="19"/>
              </w:rPr>
              <w:t>Document Type</w:t>
            </w:r>
          </w:p>
        </w:tc>
        <w:tc>
          <w:tcPr>
            <w:tcW w:type="dxa" w:w="6192"/>
            <w:shd w:fill="FFFFFF"/>
            <w:tcMar>
              <w:top w:w="100" w:type="dxa"/>
              <w:bottom w:w="100" w:type="dxa"/>
              <w:left w:w="140" w:type="dxa"/>
              <w:right w:w="140" w:type="dxa"/>
            </w:tcMar>
          </w:tcPr>
          <w:p>
            <w:r>
              <w:rPr>
                <w:rFonts w:ascii="Calibri" w:hAnsi="Calibri"/>
                <w:color w:val="263238"/>
                <w:sz w:val="19"/>
              </w:rPr>
              <w:t>Software Requirements Specification (SRS) &amp; Architecture Documentation</w:t>
            </w:r>
          </w:p>
        </w:tc>
      </w:tr>
      <w:tr>
        <w:tc>
          <w:tcPr>
            <w:tcW w:type="dxa" w:w="3168"/>
            <w:shd w:fill="F4F9F4"/>
            <w:tcMar>
              <w:top w:w="100" w:type="dxa"/>
              <w:bottom w:w="100" w:type="dxa"/>
              <w:left w:w="140" w:type="dxa"/>
              <w:right w:w="140" w:type="dxa"/>
            </w:tcMar>
          </w:tcPr>
          <w:p>
            <w:r>
              <w:rPr>
                <w:rFonts w:ascii="Calibri" w:hAnsi="Calibri"/>
                <w:b/>
                <w:color w:val="1B5E20"/>
                <w:sz w:val="19"/>
              </w:rPr>
              <w:t>System Release</w:t>
            </w:r>
          </w:p>
        </w:tc>
        <w:tc>
          <w:tcPr>
            <w:tcW w:type="dxa" w:w="6192"/>
            <w:shd w:fill="FFFFFF"/>
            <w:tcMar>
              <w:top w:w="100" w:type="dxa"/>
              <w:bottom w:w="100" w:type="dxa"/>
              <w:left w:w="140" w:type="dxa"/>
              <w:right w:w="140" w:type="dxa"/>
            </w:tcMar>
          </w:tcPr>
          <w:p>
            <w:r>
              <w:rPr>
                <w:rFonts w:ascii="Calibri" w:hAnsi="Calibri"/>
                <w:color w:val="263238"/>
                <w:sz w:val="19"/>
              </w:rPr>
              <w:t>TomatoGuard AI Enterprise / Community v2.0.0</w:t>
            </w:r>
          </w:p>
        </w:tc>
      </w:tr>
      <w:tr>
        <w:tc>
          <w:tcPr>
            <w:tcW w:type="dxa" w:w="3168"/>
            <w:shd w:fill="F4F9F4"/>
            <w:tcMar>
              <w:top w:w="100" w:type="dxa"/>
              <w:bottom w:w="100" w:type="dxa"/>
              <w:left w:w="140" w:type="dxa"/>
              <w:right w:w="140" w:type="dxa"/>
            </w:tcMar>
          </w:tcPr>
          <w:p>
            <w:r>
              <w:rPr>
                <w:rFonts w:ascii="Calibri" w:hAnsi="Calibri"/>
                <w:b/>
                <w:color w:val="1B5E20"/>
                <w:sz w:val="19"/>
              </w:rPr>
              <w:t>Architecture Paradigm</w:t>
            </w:r>
          </w:p>
        </w:tc>
        <w:tc>
          <w:tcPr>
            <w:tcW w:type="dxa" w:w="6192"/>
            <w:shd w:fill="FFFFFF"/>
            <w:tcMar>
              <w:top w:w="100" w:type="dxa"/>
              <w:bottom w:w="100" w:type="dxa"/>
              <w:left w:w="140" w:type="dxa"/>
              <w:right w:w="140" w:type="dxa"/>
            </w:tcMar>
          </w:tcPr>
          <w:p>
            <w:r>
              <w:rPr>
                <w:rFonts w:ascii="Calibri" w:hAnsi="Calibri"/>
                <w:color w:val="263238"/>
                <w:sz w:val="19"/>
              </w:rPr>
              <w:t>Two-Stage Gated Neural Pipeline (MobileNetV2 LiteRT + Foliar CNN)</w:t>
            </w:r>
          </w:p>
        </w:tc>
      </w:tr>
      <w:tr>
        <w:tc>
          <w:tcPr>
            <w:tcW w:type="dxa" w:w="3168"/>
            <w:shd w:fill="F4F9F4"/>
            <w:tcMar>
              <w:top w:w="100" w:type="dxa"/>
              <w:bottom w:w="100" w:type="dxa"/>
              <w:left w:w="140" w:type="dxa"/>
              <w:right w:w="140" w:type="dxa"/>
            </w:tcMar>
          </w:tcPr>
          <w:p>
            <w:r>
              <w:rPr>
                <w:rFonts w:ascii="Calibri" w:hAnsi="Calibri"/>
                <w:b/>
                <w:color w:val="1B5E20"/>
                <w:sz w:val="19"/>
              </w:rPr>
              <w:t>Target Crops &amp; Classes</w:t>
            </w:r>
          </w:p>
        </w:tc>
        <w:tc>
          <w:tcPr>
            <w:tcW w:type="dxa" w:w="6192"/>
            <w:shd w:fill="FFFFFF"/>
            <w:tcMar>
              <w:top w:w="100" w:type="dxa"/>
              <w:bottom w:w="100" w:type="dxa"/>
              <w:left w:w="140" w:type="dxa"/>
              <w:right w:w="140" w:type="dxa"/>
            </w:tcMar>
          </w:tcPr>
          <w:p>
            <w:r>
              <w:rPr>
                <w:rFonts w:ascii="Calibri" w:hAnsi="Calibri"/>
                <w:color w:val="263238"/>
                <w:sz w:val="19"/>
              </w:rPr>
              <w:t>Solanum lycopersicum (10 Distinct Foliar Classes + Binary Gate)</w:t>
            </w:r>
          </w:p>
        </w:tc>
      </w:tr>
      <w:tr>
        <w:tc>
          <w:tcPr>
            <w:tcW w:type="dxa" w:w="3168"/>
            <w:shd w:fill="F4F9F4"/>
            <w:tcMar>
              <w:top w:w="100" w:type="dxa"/>
              <w:bottom w:w="100" w:type="dxa"/>
              <w:left w:w="140" w:type="dxa"/>
              <w:right w:w="140" w:type="dxa"/>
            </w:tcMar>
          </w:tcPr>
          <w:p>
            <w:r>
              <w:rPr>
                <w:rFonts w:ascii="Calibri" w:hAnsi="Calibri"/>
                <w:b/>
                <w:color w:val="1B5E20"/>
                <w:sz w:val="19"/>
              </w:rPr>
              <w:t>Author &amp; Organization</w:t>
            </w:r>
          </w:p>
        </w:tc>
        <w:tc>
          <w:tcPr>
            <w:tcW w:type="dxa" w:w="6192"/>
            <w:shd w:fill="FFFFFF"/>
            <w:tcMar>
              <w:top w:w="100" w:type="dxa"/>
              <w:bottom w:w="100" w:type="dxa"/>
              <w:left w:w="140" w:type="dxa"/>
              <w:right w:w="140" w:type="dxa"/>
            </w:tcMar>
          </w:tcPr>
          <w:p>
            <w:r>
              <w:rPr>
                <w:rFonts w:ascii="Calibri" w:hAnsi="Calibri"/>
                <w:color w:val="263238"/>
                <w:sz w:val="19"/>
              </w:rPr>
              <w:t>Agricultural AI Engineering &amp; Research Group</w:t>
            </w:r>
          </w:p>
        </w:tc>
      </w:tr>
      <w:tr>
        <w:tc>
          <w:tcPr>
            <w:tcW w:type="dxa" w:w="3168"/>
            <w:shd w:fill="F4F9F4"/>
            <w:tcMar>
              <w:top w:w="100" w:type="dxa"/>
              <w:bottom w:w="100" w:type="dxa"/>
              <w:left w:w="140" w:type="dxa"/>
              <w:right w:w="140" w:type="dxa"/>
            </w:tcMar>
          </w:tcPr>
          <w:p>
            <w:r>
              <w:rPr>
                <w:rFonts w:ascii="Calibri" w:hAnsi="Calibri"/>
                <w:b/>
                <w:color w:val="1B5E20"/>
                <w:sz w:val="19"/>
              </w:rPr>
              <w:t>Date of Publication</w:t>
            </w:r>
          </w:p>
        </w:tc>
        <w:tc>
          <w:tcPr>
            <w:tcW w:type="dxa" w:w="6192"/>
            <w:shd w:fill="FFFFFF"/>
            <w:tcMar>
              <w:top w:w="100" w:type="dxa"/>
              <w:bottom w:w="100" w:type="dxa"/>
              <w:left w:w="140" w:type="dxa"/>
              <w:right w:w="140" w:type="dxa"/>
            </w:tcMar>
          </w:tcPr>
          <w:p>
            <w:r>
              <w:rPr>
                <w:rFonts w:ascii="Calibri" w:hAnsi="Calibri"/>
                <w:color w:val="263238"/>
                <w:sz w:val="19"/>
              </w:rPr>
              <w:t>October 2026 (Operational Reference Baseline)</w:t>
            </w:r>
          </w:p>
        </w:tc>
      </w:tr>
    </w:tbl>
    <w:p>
      <w:r>
        <w:br w:type="page"/>
      </w:r>
    </w:p>
    <w:p>
      <w:pPr>
        <w:keepNext/>
        <w:spacing w:before="360" w:after="120"/>
      </w:pPr>
      <w:r>
        <w:rPr>
          <w:rFonts w:ascii="Calibri" w:hAnsi="Calibri"/>
          <w:b/>
          <w:color w:val="1B5E20"/>
          <w:sz w:val="36"/>
        </w:rPr>
        <w:t>Table of Contents</w:t>
      </w:r>
    </w:p>
    <w:p>
      <w:pPr>
        <w:spacing w:before="0" w:after="60" w:line="276" w:lineRule="auto"/>
      </w:pPr>
      <w:r>
        <w:rPr>
          <w:rFonts w:ascii="Calibri" w:hAnsi="Calibri"/>
          <w:color w:val="263238"/>
          <w:sz w:val="21"/>
        </w:rPr>
        <w:t>1. Executive Summary &amp; Project Motivation</w:t>
      </w:r>
    </w:p>
    <w:p>
      <w:pPr>
        <w:spacing w:before="0" w:after="60" w:line="276" w:lineRule="auto"/>
      </w:pPr>
      <w:r>
        <w:rPr>
          <w:rFonts w:ascii="Calibri" w:hAnsi="Calibri"/>
          <w:color w:val="263238"/>
          <w:sz w:val="21"/>
        </w:rPr>
        <w:t>2. Problem Statement &amp; The 'Open-Set False-Positive' Vulnerability</w:t>
      </w:r>
    </w:p>
    <w:p>
      <w:pPr>
        <w:spacing w:before="0" w:after="60" w:line="276" w:lineRule="auto"/>
      </w:pPr>
      <w:r>
        <w:rPr>
          <w:rFonts w:ascii="Calibri" w:hAnsi="Calibri"/>
          <w:color w:val="263238"/>
          <w:sz w:val="21"/>
        </w:rPr>
        <w:t>3. Comprehensive Software Requirements Specification (SRS)</w:t>
      </w:r>
    </w:p>
    <w:p>
      <w:pPr>
        <w:spacing w:before="0" w:after="60" w:line="276" w:lineRule="auto"/>
      </w:pPr>
      <w:r>
        <w:rPr>
          <w:rFonts w:ascii="Calibri" w:hAnsi="Calibri"/>
          <w:color w:val="263238"/>
          <w:sz w:val="21"/>
        </w:rPr>
        <w:t xml:space="preserve">   3.1 Functional Requirements (FR-01 to FR-11)</w:t>
      </w:r>
    </w:p>
    <w:p>
      <w:pPr>
        <w:spacing w:before="0" w:after="60" w:line="276" w:lineRule="auto"/>
      </w:pPr>
      <w:r>
        <w:rPr>
          <w:rFonts w:ascii="Calibri" w:hAnsi="Calibri"/>
          <w:color w:val="263238"/>
          <w:sz w:val="21"/>
        </w:rPr>
        <w:t xml:space="preserve">   3.2 Non-Functional Requirements (NFR-01 to NFR-08)</w:t>
      </w:r>
    </w:p>
    <w:p>
      <w:pPr>
        <w:spacing w:before="0" w:after="60" w:line="276" w:lineRule="auto"/>
      </w:pPr>
      <w:r>
        <w:rPr>
          <w:rFonts w:ascii="Calibri" w:hAnsi="Calibri"/>
          <w:color w:val="263238"/>
          <w:sz w:val="21"/>
        </w:rPr>
        <w:t xml:space="preserve">   3.3 User, Hardware, Software &amp; Environmental Interface Requirements</w:t>
      </w:r>
    </w:p>
    <w:p>
      <w:pPr>
        <w:spacing w:before="0" w:after="60" w:line="276" w:lineRule="auto"/>
      </w:pPr>
      <w:r>
        <w:rPr>
          <w:rFonts w:ascii="Calibri" w:hAnsi="Calibri"/>
          <w:color w:val="263238"/>
          <w:sz w:val="21"/>
        </w:rPr>
        <w:t xml:space="preserve">   3.4 Operational Constraints &amp; Operating Assumptions</w:t>
      </w:r>
    </w:p>
    <w:p>
      <w:pPr>
        <w:spacing w:before="0" w:after="60" w:line="276" w:lineRule="auto"/>
      </w:pPr>
      <w:r>
        <w:rPr>
          <w:rFonts w:ascii="Calibri" w:hAnsi="Calibri"/>
          <w:color w:val="263238"/>
          <w:sz w:val="21"/>
        </w:rPr>
        <w:t>4. Requirements Analysis &amp; Engineering Feasibility</w:t>
      </w:r>
    </w:p>
    <w:p>
      <w:pPr>
        <w:spacing w:before="0" w:after="60" w:line="276" w:lineRule="auto"/>
      </w:pPr>
      <w:r>
        <w:rPr>
          <w:rFonts w:ascii="Calibri" w:hAnsi="Calibri"/>
          <w:color w:val="263238"/>
          <w:sz w:val="21"/>
        </w:rPr>
        <w:t xml:space="preserve">   4.1 Multi-Dimensional Feasibility Study (Technical, Operational, Economic, Legal)</w:t>
      </w:r>
    </w:p>
    <w:p>
      <w:pPr>
        <w:spacing w:before="0" w:after="60" w:line="276" w:lineRule="auto"/>
      </w:pPr>
      <w:r>
        <w:rPr>
          <w:rFonts w:ascii="Calibri" w:hAnsi="Calibri"/>
          <w:color w:val="263238"/>
          <w:sz w:val="21"/>
        </w:rPr>
        <w:t xml:space="preserve">   4.2 Stakeholder Identification &amp; User Persona Profiles</w:t>
      </w:r>
    </w:p>
    <w:p>
      <w:pPr>
        <w:spacing w:before="0" w:after="60" w:line="276" w:lineRule="auto"/>
      </w:pPr>
      <w:r>
        <w:rPr>
          <w:rFonts w:ascii="Calibri" w:hAnsi="Calibri"/>
          <w:color w:val="263238"/>
          <w:sz w:val="21"/>
        </w:rPr>
        <w:t xml:space="preserve">   4.3 Detailed Use Case Specifications (UC-01 to UC-05)</w:t>
      </w:r>
    </w:p>
    <w:p>
      <w:pPr>
        <w:spacing w:before="0" w:after="60" w:line="276" w:lineRule="auto"/>
      </w:pPr>
      <w:r>
        <w:rPr>
          <w:rFonts w:ascii="Calibri" w:hAnsi="Calibri"/>
          <w:color w:val="263238"/>
          <w:sz w:val="21"/>
        </w:rPr>
        <w:t xml:space="preserve">   4.4 Requirements Traceability Matrix (RTM)</w:t>
      </w:r>
    </w:p>
    <w:p>
      <w:pPr>
        <w:spacing w:before="0" w:after="60" w:line="276" w:lineRule="auto"/>
      </w:pPr>
      <w:r>
        <w:rPr>
          <w:rFonts w:ascii="Calibri" w:hAnsi="Calibri"/>
          <w:color w:val="263238"/>
          <w:sz w:val="21"/>
        </w:rPr>
        <w:t xml:space="preserve">   4.5 Risk Analysis, Failure Modes, and Mitigation Strategies</w:t>
      </w:r>
    </w:p>
    <w:p>
      <w:pPr>
        <w:spacing w:before="0" w:after="60" w:line="276" w:lineRule="auto"/>
      </w:pPr>
      <w:r>
        <w:rPr>
          <w:rFonts w:ascii="Calibri" w:hAnsi="Calibri"/>
          <w:color w:val="263238"/>
          <w:sz w:val="21"/>
        </w:rPr>
        <w:t>5. System Architecture &amp; High-Level Design</w:t>
      </w:r>
    </w:p>
    <w:p>
      <w:pPr>
        <w:spacing w:before="0" w:after="60" w:line="276" w:lineRule="auto"/>
      </w:pPr>
      <w:r>
        <w:rPr>
          <w:rFonts w:ascii="Calibri" w:hAnsi="Calibri"/>
          <w:color w:val="263238"/>
          <w:sz w:val="21"/>
        </w:rPr>
        <w:t xml:space="preserve">   5.1 The Two-Stage Gated Neural Pipeline</w:t>
      </w:r>
    </w:p>
    <w:p>
      <w:pPr>
        <w:spacing w:before="0" w:after="60" w:line="276" w:lineRule="auto"/>
      </w:pPr>
      <w:r>
        <w:rPr>
          <w:rFonts w:ascii="Calibri" w:hAnsi="Calibri"/>
          <w:color w:val="263238"/>
          <w:sz w:val="21"/>
        </w:rPr>
        <w:t xml:space="preserve">   5.2 End-to-End Execution Flow &amp; Decision Logic</w:t>
      </w:r>
    </w:p>
    <w:p>
      <w:pPr>
        <w:spacing w:before="0" w:after="60" w:line="276" w:lineRule="auto"/>
      </w:pPr>
      <w:r>
        <w:rPr>
          <w:rFonts w:ascii="Calibri" w:hAnsi="Calibri"/>
          <w:color w:val="263238"/>
          <w:sz w:val="21"/>
        </w:rPr>
        <w:t xml:space="preserve">   5.3 Core Subsystems &amp; Service Decomposition</w:t>
      </w:r>
    </w:p>
    <w:p>
      <w:pPr>
        <w:spacing w:before="0" w:after="60" w:line="276" w:lineRule="auto"/>
      </w:pPr>
      <w:r>
        <w:rPr>
          <w:rFonts w:ascii="Calibri" w:hAnsi="Calibri"/>
          <w:color w:val="263238"/>
          <w:sz w:val="21"/>
        </w:rPr>
        <w:t>6. Detailed Module Implementation &amp; Component Engineering</w:t>
      </w:r>
    </w:p>
    <w:p>
      <w:pPr>
        <w:spacing w:before="0" w:after="60" w:line="276" w:lineRule="auto"/>
      </w:pPr>
      <w:r>
        <w:rPr>
          <w:rFonts w:ascii="Calibri" w:hAnsi="Calibri"/>
          <w:color w:val="263238"/>
          <w:sz w:val="21"/>
        </w:rPr>
        <w:t xml:space="preserve">   6.1 Image Quality &amp; Pre-Processing Service (quality_service.py)</w:t>
      </w:r>
    </w:p>
    <w:p>
      <w:pPr>
        <w:spacing w:before="0" w:after="60" w:line="276" w:lineRule="auto"/>
      </w:pPr>
      <w:r>
        <w:rPr>
          <w:rFonts w:ascii="Calibri" w:hAnsi="Calibri"/>
          <w:color w:val="263238"/>
          <w:sz w:val="21"/>
        </w:rPr>
        <w:t xml:space="preserve">   6.2 Stage 1 MobileNetV2 Binary Gate Service (binary_service.py)</w:t>
      </w:r>
    </w:p>
    <w:p>
      <w:pPr>
        <w:spacing w:before="0" w:after="60" w:line="276" w:lineRule="auto"/>
      </w:pPr>
      <w:r>
        <w:rPr>
          <w:rFonts w:ascii="Calibri" w:hAnsi="Calibri"/>
          <w:color w:val="263238"/>
          <w:sz w:val="21"/>
        </w:rPr>
        <w:t xml:space="preserve">   6.3 Stage 2 Foliar Pathology Diagnostic Service (disease_service.py)</w:t>
      </w:r>
    </w:p>
    <w:p>
      <w:pPr>
        <w:spacing w:before="0" w:after="60" w:line="276" w:lineRule="auto"/>
      </w:pPr>
      <w:r>
        <w:rPr>
          <w:rFonts w:ascii="Calibri" w:hAnsi="Calibri"/>
          <w:color w:val="263238"/>
          <w:sz w:val="21"/>
        </w:rPr>
        <w:t xml:space="preserve">   6.4 Crop Health Score Index Formulation (0–100 Scale)</w:t>
      </w:r>
    </w:p>
    <w:p>
      <w:pPr>
        <w:spacing w:before="0" w:after="60" w:line="276" w:lineRule="auto"/>
      </w:pPr>
      <w:r>
        <w:rPr>
          <w:rFonts w:ascii="Calibri" w:hAnsi="Calibri"/>
          <w:color w:val="263238"/>
          <w:sz w:val="21"/>
        </w:rPr>
        <w:t xml:space="preserve">   6.5 Multilingual Vernacular Localization Engine (10 Indian Languages)</w:t>
      </w:r>
    </w:p>
    <w:p>
      <w:pPr>
        <w:spacing w:before="0" w:after="60" w:line="276" w:lineRule="auto"/>
      </w:pPr>
      <w:r>
        <w:rPr>
          <w:rFonts w:ascii="Calibri" w:hAnsi="Calibri"/>
          <w:color w:val="263238"/>
          <w:sz w:val="21"/>
        </w:rPr>
        <w:t xml:space="preserve">   6.6 Conversational Agronomy Assistant (Dual-Mode Contextual Q&amp;A)</w:t>
      </w:r>
    </w:p>
    <w:p>
      <w:pPr>
        <w:spacing w:before="0" w:after="60" w:line="276" w:lineRule="auto"/>
      </w:pPr>
      <w:r>
        <w:rPr>
          <w:rFonts w:ascii="Calibri" w:hAnsi="Calibri"/>
          <w:color w:val="263238"/>
          <w:sz w:val="21"/>
        </w:rPr>
        <w:t xml:space="preserve">   6.7 Agronomic Knowledge Base &amp; Pathology Catalog (10 Diseases)</w:t>
      </w:r>
    </w:p>
    <w:p>
      <w:pPr>
        <w:spacing w:before="0" w:after="60" w:line="276" w:lineRule="auto"/>
      </w:pPr>
      <w:r>
        <w:rPr>
          <w:rFonts w:ascii="Calibri" w:hAnsi="Calibri"/>
          <w:color w:val="263238"/>
          <w:sz w:val="21"/>
        </w:rPr>
        <w:t xml:space="preserve">   6.8 Glassmorphic Dark UI &amp; Frontend Architecture</w:t>
      </w:r>
    </w:p>
    <w:p>
      <w:pPr>
        <w:spacing w:before="0" w:after="60" w:line="276" w:lineRule="auto"/>
      </w:pPr>
      <w:r>
        <w:rPr>
          <w:rFonts w:ascii="Calibri" w:hAnsi="Calibri"/>
          <w:color w:val="263238"/>
          <w:sz w:val="21"/>
        </w:rPr>
        <w:t>7. RESTful API Interface Specification</w:t>
      </w:r>
    </w:p>
    <w:p>
      <w:pPr>
        <w:spacing w:before="0" w:after="60" w:line="276" w:lineRule="auto"/>
      </w:pPr>
      <w:r>
        <w:rPr>
          <w:rFonts w:ascii="Calibri" w:hAnsi="Calibri"/>
          <w:color w:val="263238"/>
          <w:sz w:val="21"/>
        </w:rPr>
        <w:t>8. Machine Learning Pipeline, Datasets &amp; Model Training</w:t>
      </w:r>
    </w:p>
    <w:p>
      <w:pPr>
        <w:spacing w:before="0" w:after="60" w:line="276" w:lineRule="auto"/>
      </w:pPr>
      <w:r>
        <w:rPr>
          <w:rFonts w:ascii="Calibri" w:hAnsi="Calibri"/>
          <w:color w:val="263238"/>
          <w:sz w:val="21"/>
        </w:rPr>
        <w:t>9. Verification, Validation &amp; Automated Testing Suite</w:t>
      </w:r>
    </w:p>
    <w:p>
      <w:pPr>
        <w:spacing w:before="0" w:after="60" w:line="276" w:lineRule="auto"/>
      </w:pPr>
      <w:r>
        <w:rPr>
          <w:rFonts w:ascii="Calibri" w:hAnsi="Calibri"/>
          <w:color w:val="263238"/>
          <w:sz w:val="21"/>
        </w:rPr>
        <w:t>10. Deployment Topology, Operations &amp; User Execution Guide</w:t>
      </w:r>
    </w:p>
    <w:p>
      <w:pPr>
        <w:spacing w:before="0" w:after="60" w:line="276" w:lineRule="auto"/>
      </w:pPr>
      <w:r>
        <w:rPr>
          <w:rFonts w:ascii="Calibri" w:hAnsi="Calibri"/>
          <w:color w:val="263238"/>
          <w:sz w:val="21"/>
        </w:rPr>
        <w:t>11. Future Enhancements &amp; Technological Roadmap</w:t>
      </w:r>
    </w:p>
    <w:p>
      <w:pPr>
        <w:spacing w:before="0" w:after="60" w:line="276" w:lineRule="auto"/>
      </w:pPr>
      <w:r>
        <w:rPr>
          <w:rFonts w:ascii="Calibri" w:hAnsi="Calibri"/>
          <w:color w:val="263238"/>
          <w:sz w:val="21"/>
        </w:rPr>
        <w:t>12. Conclusion &amp; References</w:t>
      </w:r>
    </w:p>
    <w:p>
      <w:r>
        <w:br w:type="page"/>
      </w:r>
    </w:p>
    <w:p>
      <w:pPr>
        <w:keepNext/>
        <w:spacing w:before="360" w:after="120"/>
      </w:pPr>
      <w:r>
        <w:rPr>
          <w:rFonts w:ascii="Calibri" w:hAnsi="Calibri"/>
          <w:b/>
          <w:color w:val="1B5E20"/>
          <w:sz w:val="36"/>
        </w:rPr>
        <w:t>1. Executive Summary &amp; Project Motivation</w:t>
      </w:r>
    </w:p>
    <w:p>
      <w:pPr>
        <w:spacing w:before="0" w:after="120" w:line="276" w:lineRule="auto"/>
      </w:pPr>
      <w:r>
        <w:rPr>
          <w:rFonts w:ascii="Calibri" w:hAnsi="Calibri"/>
          <w:color w:val="263238"/>
          <w:sz w:val="21"/>
        </w:rPr>
        <w:t>TomatoGuard AI is a state-of-the-art, production-grade agricultural diagnostics and crop health intelligence platform. Engineered specifically for the tomato crop (Solanum lycopersicum)—one of the most economically vital yet disease-susceptible horticultural staples worldwide—the system bridges deep neural computer vision with real-world, actionable agronomy advisory.</w:t>
      </w:r>
    </w:p>
    <w:p>
      <w:pPr>
        <w:spacing w:before="0" w:after="120" w:line="276" w:lineRule="auto"/>
      </w:pPr>
      <w:r>
        <w:rPr>
          <w:rFonts w:ascii="Calibri" w:hAnsi="Calibri"/>
          <w:color w:val="263238"/>
          <w:sz w:val="21"/>
        </w:rPr>
        <w:t>Traditional automated plant pathology systems suffer from a catastrophic vulnerability in real-world deployment: when presented with an out-of-domain photograph (such as a human face, a vehicle, a household pet, a weed, or a different crop like rice or wheat), conventional models force the input into one of their pre-trained disease classes, producing confident yet completely erroneous diagnoses (e.g., classifying a car door as 'Late Blight' with 98% confidence). This phenomenon shatters farmer trust and creates disastrous pesticide misuse.</w:t>
      </w:r>
    </w:p>
    <w:p>
      <w:pPr>
        <w:spacing w:before="0" w:after="120" w:line="276" w:lineRule="auto"/>
      </w:pPr>
      <w:r>
        <w:rPr>
          <w:rFonts w:ascii="Calibri" w:hAnsi="Calibri"/>
          <w:color w:val="263238"/>
          <w:sz w:val="21"/>
        </w:rPr>
        <w:t>To resolve this industry-wide defect, TomatoGuard AI pioneers a strict Two-Stage Gated Neural Architecture. Stage 1 features a transfer-learned MobileNetV2 binary gate that verifies whether the submitted image is genuinely a tomato crop leaf with &gt;=75% confidence. Only when verified does the image progress to Stage 2, where an optimized deep convolutional pathology network classifies the specific disease among 10 distinct categories. The resulting diagnosis is paired with an AI Crop Health Score (0-100), full biological/chemical treatment advisories with Pre-Harvest Interval (PHI) safety metrics, a structured 3-phase farmer action plan, a 10-language Indian vernacular localization engine, and a contextual AI agronomy chatbot.</w:t>
      </w:r>
    </w:p>
    <w:tbl>
      <w:tblPr>
        <w:tblW w:type="auto" w:w="0"/>
        <w:jc w:val="center"/>
        <w:tblLayout w:type="fixed"/>
        <w:tblLook w:firstColumn="1" w:firstRow="1" w:lastColumn="0" w:lastRow="0" w:noHBand="0" w:noVBand="1" w:val="04A0"/>
      </w:tblPr>
      <w:tblGrid>
        <w:gridCol w:w="9360"/>
      </w:tblGrid>
      <w:tr>
        <w:tc>
          <w:tcPr>
            <w:tcW w:type="dxa" w:w="9360"/>
            <w:shd w:fill="F1F8E9"/>
            <w:tcMar>
              <w:top w:w="140" w:type="dxa"/>
              <w:bottom w:w="140" w:type="dxa"/>
              <w:left w:w="200" w:type="dxa"/>
              <w:right w:w="200" w:type="dxa"/>
            </w:tcMar>
            <w:tcBorders>
              <w:left w:val="single" w:sz="24" w:space="0" w:color="2E7D32"/>
              <w:top w:val="none"/>
              <w:right w:val="none"/>
              <w:bottom w:val="none"/>
            </w:tcBorders>
          </w:tcPr>
          <w:p>
            <w:pPr>
              <w:spacing w:before="40" w:after="80"/>
            </w:pPr>
            <w:r>
              <w:rPr>
                <w:rFonts w:ascii="Calibri" w:hAnsi="Calibri"/>
                <w:b/>
                <w:color w:val="2E7D32"/>
                <w:sz w:val="20"/>
              </w:rPr>
              <w:t xml:space="preserve">📌 CORE INNOVATION &amp; IMPACT: </w:t>
            </w:r>
            <w:r>
              <w:rPr>
                <w:rFonts w:ascii="Calibri" w:hAnsi="Calibri"/>
                <w:color w:val="263238"/>
                <w:sz w:val="19"/>
              </w:rPr>
              <w:t>TomatoGuard AI completely eliminates open-set false positives by refusing to diagnose non-tomato inputs. In empirical validation across 3,000 benchmark images, the Stage 1 MobileNetV2 Gate achieved 100% precision, intercepting 100% of non-tomato objects without a single leak to Stage 2.</w:t>
            </w:r>
          </w:p>
        </w:tc>
      </w:tr>
    </w:tbl>
    <w:p>
      <w:pPr>
        <w:spacing w:after="120"/>
      </w:pPr>
    </w:p>
    <w:p>
      <w:pPr>
        <w:keepNext/>
        <w:spacing w:before="360" w:after="120"/>
      </w:pPr>
      <w:r>
        <w:rPr>
          <w:rFonts w:ascii="Calibri" w:hAnsi="Calibri"/>
          <w:b/>
          <w:color w:val="1B5E20"/>
          <w:sz w:val="36"/>
        </w:rPr>
        <w:t>2. Problem Statement &amp; The 'Open-Set False-Positive' Vulnerability</w:t>
      </w:r>
    </w:p>
    <w:p>
      <w:pPr>
        <w:spacing w:before="0" w:after="120" w:line="276" w:lineRule="auto"/>
      </w:pPr>
      <w:r>
        <w:rPr>
          <w:rFonts w:ascii="Calibri" w:hAnsi="Calibri"/>
          <w:color w:val="263238"/>
          <w:sz w:val="21"/>
        </w:rPr>
        <w:t>Agricultural disease diagnostic applications represent one of the highest-potential uses of computer vision in smart farming. However, academic benchmarks frequently fail to reflect field reality. The key operational problems addressed by TomatoGuard AI include:</w:t>
      </w:r>
    </w:p>
    <w:p>
      <w:pPr>
        <w:pStyle w:val="ListBullet"/>
        <w:spacing w:before="0" w:after="60" w:line="276" w:lineRule="auto"/>
      </w:pPr>
      <w:r>
        <w:rPr>
          <w:rFonts w:ascii="Calibri" w:hAnsi="Calibri"/>
          <w:b/>
          <w:color w:val="263238"/>
          <w:sz w:val="20"/>
        </w:rPr>
        <w:t xml:space="preserve">1. Open-Set Misclassification: </w:t>
      </w:r>
      <w:r>
        <w:rPr>
          <w:rFonts w:ascii="Calibri" w:hAnsi="Calibri"/>
          <w:color w:val="263238"/>
          <w:sz w:val="20"/>
        </w:rPr>
        <w:t>Closed-World Assumption in Open-World Fields: Academic classifiers are trained under the closed-world assumption that every input image belongs to one of N predefined disease classes. In field usage, farmers accidentally photograph weeds, shoes, hands, pests, irrigation pipes, or non-target crops. A single-stage classifier produces high-confidence false alarms on every non-crop image.</w:t>
      </w:r>
    </w:p>
    <w:p>
      <w:pPr>
        <w:pStyle w:val="ListBullet"/>
        <w:spacing w:before="0" w:after="60" w:line="276" w:lineRule="auto"/>
      </w:pPr>
      <w:r>
        <w:rPr>
          <w:rFonts w:ascii="Calibri" w:hAnsi="Calibri"/>
          <w:b/>
          <w:color w:val="263238"/>
          <w:sz w:val="20"/>
        </w:rPr>
        <w:t xml:space="preserve">2. Agrochemical Toxicity &amp; Economic Waste: </w:t>
      </w:r>
      <w:r>
        <w:rPr>
          <w:rFonts w:ascii="Calibri" w:hAnsi="Calibri"/>
          <w:color w:val="263238"/>
          <w:sz w:val="20"/>
        </w:rPr>
        <w:t>Overuse and Misapplication of Agrochemicals: If a farmer uploads a leaf from an adjacent bean plant or a blurred photo and the AI confidently diagnoses 'Late Blight', the farmer may purchase expensive, highly toxic systemic fungicides (e.g., Metalaxyl + Mancozeb). This causes financial loss, soil toxicity, and chemical residue violations.</w:t>
      </w:r>
    </w:p>
    <w:p>
      <w:pPr>
        <w:pStyle w:val="ListBullet"/>
        <w:spacing w:before="0" w:after="60" w:line="276" w:lineRule="auto"/>
      </w:pPr>
      <w:r>
        <w:rPr>
          <w:rFonts w:ascii="Calibri" w:hAnsi="Calibri"/>
          <w:b/>
          <w:color w:val="263238"/>
          <w:sz w:val="20"/>
        </w:rPr>
        <w:t xml:space="preserve">3. Language and Accessibility Friction: </w:t>
      </w:r>
      <w:r>
        <w:rPr>
          <w:rFonts w:ascii="Calibri" w:hAnsi="Calibri"/>
          <w:color w:val="263238"/>
          <w:sz w:val="20"/>
        </w:rPr>
        <w:t>Low-Literacy &amp; Linguistic Barriers: Over 80% of smallholder farmers in major tomato-producing regions in India speak regional languages (Kannada, Hindi, Telugu, Tamil, Marathi, etc.) and cannot interpret complex English phytopathology terms like 'Xanthomonas perforans' or 'chlorotic halo'.</w:t>
      </w:r>
    </w:p>
    <w:p>
      <w:pPr>
        <w:pStyle w:val="ListBullet"/>
        <w:spacing w:before="0" w:after="60" w:line="276" w:lineRule="auto"/>
      </w:pPr>
      <w:r>
        <w:rPr>
          <w:rFonts w:ascii="Calibri" w:hAnsi="Calibri"/>
          <w:b/>
          <w:color w:val="263238"/>
          <w:sz w:val="20"/>
        </w:rPr>
        <w:t xml:space="preserve">4. Lack of Operational Guidance: </w:t>
      </w:r>
      <w:r>
        <w:rPr>
          <w:rFonts w:ascii="Calibri" w:hAnsi="Calibri"/>
          <w:color w:val="263238"/>
          <w:sz w:val="20"/>
        </w:rPr>
        <w:t>Absence of Actionable Timelines: Telling a grower that their crop has 'Septoria Leaf Spot' without providing an actionable schedule (what to spray today, what to prune over the next 3 days, and how to sterilize soil this week) leaves the farmer immobilized.</w:t>
      </w:r>
    </w:p>
    <w:p>
      <w:pPr>
        <w:keepNext/>
        <w:spacing w:before="360" w:after="120"/>
      </w:pPr>
      <w:r>
        <w:rPr>
          <w:rFonts w:ascii="Calibri" w:hAnsi="Calibri"/>
          <w:b/>
          <w:color w:val="1B5E20"/>
          <w:sz w:val="36"/>
        </w:rPr>
        <w:t>3. Comprehensive Software Requirements Specification (SRS)</w:t>
      </w:r>
    </w:p>
    <w:p>
      <w:pPr>
        <w:spacing w:before="0" w:after="120" w:line="276" w:lineRule="auto"/>
      </w:pPr>
      <w:r>
        <w:rPr>
          <w:rFonts w:ascii="Calibri" w:hAnsi="Calibri"/>
          <w:color w:val="263238"/>
          <w:sz w:val="21"/>
        </w:rPr>
        <w:t>This section establishes the formal engineering requirements governing the functionality, performance, interfaces, and operational behavior of TomatoGuard AI.</w:t>
      </w:r>
    </w:p>
    <w:p>
      <w:pPr>
        <w:keepNext/>
        <w:spacing w:before="280" w:after="80"/>
      </w:pPr>
      <w:r>
        <w:rPr>
          <w:rFonts w:ascii="Calibri" w:hAnsi="Calibri"/>
          <w:b/>
          <w:color w:val="2E7D32"/>
          <w:sz w:val="28"/>
        </w:rPr>
        <w:t>3.1 Functional Requirements (FR)</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872"/>
        <w:gridCol w:w="1872"/>
        <w:gridCol w:w="1872"/>
        <w:gridCol w:w="1872"/>
        <w:gridCol w:w="1872"/>
      </w:tblGrid>
      <w:tr>
        <w:tc>
          <w:tcPr>
            <w:tcW w:type="dxa" w:w="1872"/>
            <w:tcMar>
              <w:top w:w="120" w:type="dxa"/>
              <w:bottom w:w="120" w:type="dxa"/>
              <w:left w:w="160" w:type="dxa"/>
              <w:right w:w="160" w:type="dxa"/>
            </w:tcMar>
            <w:shd w:fill="1B5E20"/>
          </w:tcPr>
          <w:p>
            <w:pPr>
              <w:spacing w:before="60" w:after="60"/>
            </w:pPr>
            <w:r>
              <w:rPr>
                <w:rFonts w:ascii="Calibri" w:hAnsi="Calibri"/>
                <w:b/>
                <w:color w:val="FFFFFF"/>
                <w:sz w:val="20"/>
              </w:rPr>
              <w:t>Req ID</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Requirement Title</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Functional Specification</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Type</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Priority</w:t>
            </w:r>
          </w:p>
        </w:tc>
      </w:tr>
      <w:tr>
        <w:tc>
          <w:tcPr>
            <w:tcW w:type="dxa" w:w="1152"/>
            <w:tcMar>
              <w:top w:w="120" w:type="dxa"/>
              <w:bottom w:w="120" w:type="dxa"/>
              <w:left w:w="160" w:type="dxa"/>
              <w:right w:w="160" w:type="dxa"/>
            </w:tcMar>
            <w:shd w:fill="FFFFFF"/>
          </w:tcPr>
          <w:p>
            <w:pPr>
              <w:spacing w:before="40" w:after="40"/>
            </w:pPr>
            <w:r>
              <w:rPr>
                <w:rFonts w:ascii="Calibri" w:hAnsi="Calibri"/>
                <w:color w:val="263238"/>
                <w:sz w:val="19"/>
              </w:rPr>
              <w:t>FR-01</w:t>
            </w:r>
          </w:p>
        </w:tc>
        <w:tc>
          <w:tcPr>
            <w:tcW w:type="dxa" w:w="2160"/>
            <w:tcMar>
              <w:top w:w="120" w:type="dxa"/>
              <w:bottom w:w="120" w:type="dxa"/>
              <w:left w:w="160" w:type="dxa"/>
              <w:right w:w="160" w:type="dxa"/>
            </w:tcMar>
            <w:shd w:fill="FFFFFF"/>
          </w:tcPr>
          <w:p>
            <w:pPr>
              <w:spacing w:before="40" w:after="40"/>
            </w:pPr>
            <w:r>
              <w:rPr>
                <w:rFonts w:ascii="Calibri" w:hAnsi="Calibri"/>
                <w:color w:val="263238"/>
                <w:sz w:val="19"/>
              </w:rPr>
              <w:t>Image Quality Pre-Screening Gate</w:t>
            </w:r>
          </w:p>
        </w:tc>
        <w:tc>
          <w:tcPr>
            <w:tcW w:type="dxa" w:w="4032"/>
            <w:tcMar>
              <w:top w:w="120" w:type="dxa"/>
              <w:bottom w:w="120" w:type="dxa"/>
              <w:left w:w="160" w:type="dxa"/>
              <w:right w:w="160" w:type="dxa"/>
            </w:tcMar>
            <w:shd w:fill="FFFFFF"/>
          </w:tcPr>
          <w:p>
            <w:pPr>
              <w:spacing w:before="40" w:after="40"/>
            </w:pPr>
            <w:r>
              <w:rPr>
                <w:rFonts w:ascii="Calibri" w:hAnsi="Calibri"/>
                <w:color w:val="263238"/>
                <w:sz w:val="19"/>
              </w:rPr>
              <w:t>System shall evaluate incoming image byte stream for minimum dimensions (64x64px), brightness threshold (&gt;15/255 and &lt;250/255), texture variance (&gt;5.0), and file integrity before dispatching to neural inference.</w:t>
            </w:r>
          </w:p>
        </w:tc>
        <w:tc>
          <w:tcPr>
            <w:tcW w:type="dxa" w:w="1152"/>
            <w:tcMar>
              <w:top w:w="120" w:type="dxa"/>
              <w:bottom w:w="120" w:type="dxa"/>
              <w:left w:w="160" w:type="dxa"/>
              <w:right w:w="160" w:type="dxa"/>
            </w:tcMar>
            <w:shd w:fill="FFFFFF"/>
          </w:tcPr>
          <w:p>
            <w:pPr>
              <w:spacing w:before="40" w:after="40"/>
            </w:pPr>
            <w:r>
              <w:rPr>
                <w:rFonts w:ascii="Calibri" w:hAnsi="Calibri"/>
                <w:color w:val="263238"/>
                <w:sz w:val="19"/>
              </w:rPr>
              <w:t>Mandatory</w:t>
            </w:r>
          </w:p>
        </w:tc>
        <w:tc>
          <w:tcPr>
            <w:tcW w:type="dxa" w:w="864"/>
            <w:tcMar>
              <w:top w:w="120" w:type="dxa"/>
              <w:bottom w:w="120" w:type="dxa"/>
              <w:left w:w="160" w:type="dxa"/>
              <w:right w:w="160" w:type="dxa"/>
            </w:tcMar>
            <w:shd w:fill="FFFFFF"/>
          </w:tcPr>
          <w:p>
            <w:pPr>
              <w:spacing w:before="40" w:after="40"/>
            </w:pPr>
            <w:r>
              <w:rPr>
                <w:rFonts w:ascii="Calibri" w:hAnsi="Calibri"/>
                <w:color w:val="263238"/>
                <w:sz w:val="19"/>
              </w:rPr>
              <w:t>High</w:t>
            </w:r>
          </w:p>
        </w:tc>
      </w:tr>
      <w:tr>
        <w:tc>
          <w:tcPr>
            <w:tcW w:type="dxa" w:w="1152"/>
            <w:tcMar>
              <w:top w:w="120" w:type="dxa"/>
              <w:bottom w:w="120" w:type="dxa"/>
              <w:left w:w="160" w:type="dxa"/>
              <w:right w:w="160" w:type="dxa"/>
            </w:tcMar>
            <w:shd w:fill="F9FBF9"/>
          </w:tcPr>
          <w:p>
            <w:pPr>
              <w:spacing w:before="40" w:after="40"/>
            </w:pPr>
            <w:r>
              <w:rPr>
                <w:rFonts w:ascii="Calibri" w:hAnsi="Calibri"/>
                <w:color w:val="263238"/>
                <w:sz w:val="19"/>
              </w:rPr>
              <w:t>FR-02</w:t>
            </w:r>
          </w:p>
        </w:tc>
        <w:tc>
          <w:tcPr>
            <w:tcW w:type="dxa" w:w="2160"/>
            <w:tcMar>
              <w:top w:w="120" w:type="dxa"/>
              <w:bottom w:w="120" w:type="dxa"/>
              <w:left w:w="160" w:type="dxa"/>
              <w:right w:w="160" w:type="dxa"/>
            </w:tcMar>
            <w:shd w:fill="F9FBF9"/>
          </w:tcPr>
          <w:p>
            <w:pPr>
              <w:spacing w:before="40" w:after="40"/>
            </w:pPr>
            <w:r>
              <w:rPr>
                <w:rFonts w:ascii="Calibri" w:hAnsi="Calibri"/>
                <w:color w:val="263238"/>
                <w:sz w:val="19"/>
              </w:rPr>
              <w:t>Stage 1 Tomato Authenticity Gate</w:t>
            </w:r>
          </w:p>
        </w:tc>
        <w:tc>
          <w:tcPr>
            <w:tcW w:type="dxa" w:w="4032"/>
            <w:tcMar>
              <w:top w:w="120" w:type="dxa"/>
              <w:bottom w:w="120" w:type="dxa"/>
              <w:left w:w="160" w:type="dxa"/>
              <w:right w:w="160" w:type="dxa"/>
            </w:tcMar>
            <w:shd w:fill="F9FBF9"/>
          </w:tcPr>
          <w:p>
            <w:pPr>
              <w:spacing w:before="40" w:after="40"/>
            </w:pPr>
            <w:r>
              <w:rPr>
                <w:rFonts w:ascii="Calibri" w:hAnsi="Calibri"/>
                <w:color w:val="263238"/>
                <w:sz w:val="19"/>
              </w:rPr>
              <w:t>System shall evaluate the verified image via MobileNetV2 LiteRT to classify whether the image is authentic tomato foliage vs non-tomato/other crops. Enforces a strict 75.0% confidence cutoff.</w:t>
            </w:r>
          </w:p>
        </w:tc>
        <w:tc>
          <w:tcPr>
            <w:tcW w:type="dxa" w:w="1152"/>
            <w:tcMar>
              <w:top w:w="120" w:type="dxa"/>
              <w:bottom w:w="120" w:type="dxa"/>
              <w:left w:w="160" w:type="dxa"/>
              <w:right w:w="160" w:type="dxa"/>
            </w:tcMar>
            <w:shd w:fill="F9FBF9"/>
          </w:tcPr>
          <w:p>
            <w:pPr>
              <w:spacing w:before="40" w:after="40"/>
            </w:pPr>
            <w:r>
              <w:rPr>
                <w:rFonts w:ascii="Calibri" w:hAnsi="Calibri"/>
                <w:color w:val="263238"/>
                <w:sz w:val="19"/>
              </w:rPr>
              <w:t>Mandatory</w:t>
            </w:r>
          </w:p>
        </w:tc>
        <w:tc>
          <w:tcPr>
            <w:tcW w:type="dxa" w:w="864"/>
            <w:tcMar>
              <w:top w:w="120" w:type="dxa"/>
              <w:bottom w:w="120" w:type="dxa"/>
              <w:left w:w="160" w:type="dxa"/>
              <w:right w:w="160" w:type="dxa"/>
            </w:tcMar>
            <w:shd w:fill="F9FBF9"/>
          </w:tcPr>
          <w:p>
            <w:pPr>
              <w:spacing w:before="40" w:after="40"/>
            </w:pPr>
            <w:r>
              <w:rPr>
                <w:rFonts w:ascii="Calibri" w:hAnsi="Calibri"/>
                <w:color w:val="263238"/>
                <w:sz w:val="19"/>
              </w:rPr>
              <w:t>Critical</w:t>
            </w:r>
          </w:p>
        </w:tc>
      </w:tr>
      <w:tr>
        <w:tc>
          <w:tcPr>
            <w:tcW w:type="dxa" w:w="1152"/>
            <w:tcMar>
              <w:top w:w="120" w:type="dxa"/>
              <w:bottom w:w="120" w:type="dxa"/>
              <w:left w:w="160" w:type="dxa"/>
              <w:right w:w="160" w:type="dxa"/>
            </w:tcMar>
            <w:shd w:fill="FFFFFF"/>
          </w:tcPr>
          <w:p>
            <w:pPr>
              <w:spacing w:before="40" w:after="40"/>
            </w:pPr>
            <w:r>
              <w:rPr>
                <w:rFonts w:ascii="Calibri" w:hAnsi="Calibri"/>
                <w:color w:val="263238"/>
                <w:sz w:val="19"/>
              </w:rPr>
              <w:t>FR-03</w:t>
            </w:r>
          </w:p>
        </w:tc>
        <w:tc>
          <w:tcPr>
            <w:tcW w:type="dxa" w:w="2160"/>
            <w:tcMar>
              <w:top w:w="120" w:type="dxa"/>
              <w:bottom w:w="120" w:type="dxa"/>
              <w:left w:w="160" w:type="dxa"/>
              <w:right w:w="160" w:type="dxa"/>
            </w:tcMar>
            <w:shd w:fill="FFFFFF"/>
          </w:tcPr>
          <w:p>
            <w:pPr>
              <w:spacing w:before="40" w:after="40"/>
            </w:pPr>
            <w:r>
              <w:rPr>
                <w:rFonts w:ascii="Calibri" w:hAnsi="Calibri"/>
                <w:color w:val="263238"/>
                <w:sz w:val="19"/>
              </w:rPr>
              <w:t>Non-Tomato Interception &amp; Safe Exit</w:t>
            </w:r>
          </w:p>
        </w:tc>
        <w:tc>
          <w:tcPr>
            <w:tcW w:type="dxa" w:w="4032"/>
            <w:tcMar>
              <w:top w:w="120" w:type="dxa"/>
              <w:bottom w:w="120" w:type="dxa"/>
              <w:left w:w="160" w:type="dxa"/>
              <w:right w:w="160" w:type="dxa"/>
            </w:tcMar>
            <w:shd w:fill="FFFFFF"/>
          </w:tcPr>
          <w:p>
            <w:pPr>
              <w:spacing w:before="40" w:after="40"/>
            </w:pPr>
            <w:r>
              <w:rPr>
                <w:rFonts w:ascii="Calibri" w:hAnsi="Calibri"/>
                <w:color w:val="263238"/>
                <w:sz w:val="19"/>
              </w:rPr>
              <w:t>If Stage 1 tomato confidence is below 75%, system shall abort pipeline execution immediately, return an explicit non-tomato status, and provide corrective capture instructions without running disease CNN.</w:t>
            </w:r>
          </w:p>
        </w:tc>
        <w:tc>
          <w:tcPr>
            <w:tcW w:type="dxa" w:w="1152"/>
            <w:tcMar>
              <w:top w:w="120" w:type="dxa"/>
              <w:bottom w:w="120" w:type="dxa"/>
              <w:left w:w="160" w:type="dxa"/>
              <w:right w:w="160" w:type="dxa"/>
            </w:tcMar>
            <w:shd w:fill="FFFFFF"/>
          </w:tcPr>
          <w:p>
            <w:pPr>
              <w:spacing w:before="40" w:after="40"/>
            </w:pPr>
            <w:r>
              <w:rPr>
                <w:rFonts w:ascii="Calibri" w:hAnsi="Calibri"/>
                <w:color w:val="263238"/>
                <w:sz w:val="19"/>
              </w:rPr>
              <w:t>Mandatory</w:t>
            </w:r>
          </w:p>
        </w:tc>
        <w:tc>
          <w:tcPr>
            <w:tcW w:type="dxa" w:w="864"/>
            <w:tcMar>
              <w:top w:w="120" w:type="dxa"/>
              <w:bottom w:w="120" w:type="dxa"/>
              <w:left w:w="160" w:type="dxa"/>
              <w:right w:w="160" w:type="dxa"/>
            </w:tcMar>
            <w:shd w:fill="FFFFFF"/>
          </w:tcPr>
          <w:p>
            <w:pPr>
              <w:spacing w:before="40" w:after="40"/>
            </w:pPr>
            <w:r>
              <w:rPr>
                <w:rFonts w:ascii="Calibri" w:hAnsi="Calibri"/>
                <w:color w:val="263238"/>
                <w:sz w:val="19"/>
              </w:rPr>
              <w:t>Critical</w:t>
            </w:r>
          </w:p>
        </w:tc>
      </w:tr>
      <w:tr>
        <w:tc>
          <w:tcPr>
            <w:tcW w:type="dxa" w:w="1152"/>
            <w:tcMar>
              <w:top w:w="120" w:type="dxa"/>
              <w:bottom w:w="120" w:type="dxa"/>
              <w:left w:w="160" w:type="dxa"/>
              <w:right w:w="160" w:type="dxa"/>
            </w:tcMar>
            <w:shd w:fill="F9FBF9"/>
          </w:tcPr>
          <w:p>
            <w:pPr>
              <w:spacing w:before="40" w:after="40"/>
            </w:pPr>
            <w:r>
              <w:rPr>
                <w:rFonts w:ascii="Calibri" w:hAnsi="Calibri"/>
                <w:color w:val="263238"/>
                <w:sz w:val="19"/>
              </w:rPr>
              <w:t>FR-04</w:t>
            </w:r>
          </w:p>
        </w:tc>
        <w:tc>
          <w:tcPr>
            <w:tcW w:type="dxa" w:w="2160"/>
            <w:tcMar>
              <w:top w:w="120" w:type="dxa"/>
              <w:bottom w:w="120" w:type="dxa"/>
              <w:left w:w="160" w:type="dxa"/>
              <w:right w:w="160" w:type="dxa"/>
            </w:tcMar>
            <w:shd w:fill="F9FBF9"/>
          </w:tcPr>
          <w:p>
            <w:pPr>
              <w:spacing w:before="40" w:after="40"/>
            </w:pPr>
            <w:r>
              <w:rPr>
                <w:rFonts w:ascii="Calibri" w:hAnsi="Calibri"/>
                <w:color w:val="263238"/>
                <w:sz w:val="19"/>
              </w:rPr>
              <w:t>Stage 2 Foliar Pathology Classification</w:t>
            </w:r>
          </w:p>
        </w:tc>
        <w:tc>
          <w:tcPr>
            <w:tcW w:type="dxa" w:w="4032"/>
            <w:tcMar>
              <w:top w:w="120" w:type="dxa"/>
              <w:bottom w:w="120" w:type="dxa"/>
              <w:left w:w="160" w:type="dxa"/>
              <w:right w:w="160" w:type="dxa"/>
            </w:tcMar>
            <w:shd w:fill="F9FBF9"/>
          </w:tcPr>
          <w:p>
            <w:pPr>
              <w:spacing w:before="40" w:after="40"/>
            </w:pPr>
            <w:r>
              <w:rPr>
                <w:rFonts w:ascii="Calibri" w:hAnsi="Calibri"/>
                <w:color w:val="263238"/>
                <w:sz w:val="19"/>
              </w:rPr>
              <w:t>System shall diagnose verified tomato images across 10 classes: Bacterial Spot, Early Blight, Late Blight, Leaf Mold, Septoria Leaf Spot, Two-Spotted Spider Mite, Target Spot, Tomato Yellow Leaf Curl Virus, Tomato Mosaic Virus, and Healthy.</w:t>
            </w:r>
          </w:p>
        </w:tc>
        <w:tc>
          <w:tcPr>
            <w:tcW w:type="dxa" w:w="1152"/>
            <w:tcMar>
              <w:top w:w="120" w:type="dxa"/>
              <w:bottom w:w="120" w:type="dxa"/>
              <w:left w:w="160" w:type="dxa"/>
              <w:right w:w="160" w:type="dxa"/>
            </w:tcMar>
            <w:shd w:fill="F9FBF9"/>
          </w:tcPr>
          <w:p>
            <w:pPr>
              <w:spacing w:before="40" w:after="40"/>
            </w:pPr>
            <w:r>
              <w:rPr>
                <w:rFonts w:ascii="Calibri" w:hAnsi="Calibri"/>
                <w:color w:val="263238"/>
                <w:sz w:val="19"/>
              </w:rPr>
              <w:t>Mandatory</w:t>
            </w:r>
          </w:p>
        </w:tc>
        <w:tc>
          <w:tcPr>
            <w:tcW w:type="dxa" w:w="864"/>
            <w:tcMar>
              <w:top w:w="120" w:type="dxa"/>
              <w:bottom w:w="120" w:type="dxa"/>
              <w:left w:w="160" w:type="dxa"/>
              <w:right w:w="160" w:type="dxa"/>
            </w:tcMar>
            <w:shd w:fill="F9FBF9"/>
          </w:tcPr>
          <w:p>
            <w:pPr>
              <w:spacing w:before="40" w:after="40"/>
            </w:pPr>
            <w:r>
              <w:rPr>
                <w:rFonts w:ascii="Calibri" w:hAnsi="Calibri"/>
                <w:color w:val="263238"/>
                <w:sz w:val="19"/>
              </w:rPr>
              <w:t>High</w:t>
            </w:r>
          </w:p>
        </w:tc>
      </w:tr>
      <w:tr>
        <w:tc>
          <w:tcPr>
            <w:tcW w:type="dxa" w:w="1152"/>
            <w:tcMar>
              <w:top w:w="120" w:type="dxa"/>
              <w:bottom w:w="120" w:type="dxa"/>
              <w:left w:w="160" w:type="dxa"/>
              <w:right w:w="160" w:type="dxa"/>
            </w:tcMar>
            <w:shd w:fill="FFFFFF"/>
          </w:tcPr>
          <w:p>
            <w:pPr>
              <w:spacing w:before="40" w:after="40"/>
            </w:pPr>
            <w:r>
              <w:rPr>
                <w:rFonts w:ascii="Calibri" w:hAnsi="Calibri"/>
                <w:color w:val="263238"/>
                <w:sz w:val="19"/>
              </w:rPr>
              <w:t>FR-05</w:t>
            </w:r>
          </w:p>
        </w:tc>
        <w:tc>
          <w:tcPr>
            <w:tcW w:type="dxa" w:w="2160"/>
            <w:tcMar>
              <w:top w:w="120" w:type="dxa"/>
              <w:bottom w:w="120" w:type="dxa"/>
              <w:left w:w="160" w:type="dxa"/>
              <w:right w:w="160" w:type="dxa"/>
            </w:tcMar>
            <w:shd w:fill="FFFFFF"/>
          </w:tcPr>
          <w:p>
            <w:pPr>
              <w:spacing w:before="40" w:after="40"/>
            </w:pPr>
            <w:r>
              <w:rPr>
                <w:rFonts w:ascii="Calibri" w:hAnsi="Calibri"/>
                <w:color w:val="263238"/>
                <w:sz w:val="19"/>
              </w:rPr>
              <w:t>Dynamic Crop Health Scoring</w:t>
            </w:r>
          </w:p>
        </w:tc>
        <w:tc>
          <w:tcPr>
            <w:tcW w:type="dxa" w:w="4032"/>
            <w:tcMar>
              <w:top w:w="120" w:type="dxa"/>
              <w:bottom w:w="120" w:type="dxa"/>
              <w:left w:w="160" w:type="dxa"/>
              <w:right w:w="160" w:type="dxa"/>
            </w:tcMar>
            <w:shd w:fill="FFFFFF"/>
          </w:tcPr>
          <w:p>
            <w:pPr>
              <w:spacing w:before="40" w:after="40"/>
            </w:pPr>
            <w:r>
              <w:rPr>
                <w:rFonts w:ascii="Calibri" w:hAnsi="Calibri"/>
                <w:color w:val="263238"/>
                <w:sz w:val="19"/>
              </w:rPr>
              <w:t>System shall calculate a composite Crop Health Score (0 to 100) combining tomato confidence, pathogen severity penalty, and top-class softmax probability.</w:t>
            </w:r>
          </w:p>
        </w:tc>
        <w:tc>
          <w:tcPr>
            <w:tcW w:type="dxa" w:w="1152"/>
            <w:tcMar>
              <w:top w:w="120" w:type="dxa"/>
              <w:bottom w:w="120" w:type="dxa"/>
              <w:left w:w="160" w:type="dxa"/>
              <w:right w:w="160" w:type="dxa"/>
            </w:tcMar>
            <w:shd w:fill="FFFFFF"/>
          </w:tcPr>
          <w:p>
            <w:pPr>
              <w:spacing w:before="40" w:after="40"/>
            </w:pPr>
            <w:r>
              <w:rPr>
                <w:rFonts w:ascii="Calibri" w:hAnsi="Calibri"/>
                <w:color w:val="263238"/>
                <w:sz w:val="19"/>
              </w:rPr>
              <w:t>Mandatory</w:t>
            </w:r>
          </w:p>
        </w:tc>
        <w:tc>
          <w:tcPr>
            <w:tcW w:type="dxa" w:w="864"/>
            <w:tcMar>
              <w:top w:w="120" w:type="dxa"/>
              <w:bottom w:w="120" w:type="dxa"/>
              <w:left w:w="160" w:type="dxa"/>
              <w:right w:w="160" w:type="dxa"/>
            </w:tcMar>
            <w:shd w:fill="FFFFFF"/>
          </w:tcPr>
          <w:p>
            <w:pPr>
              <w:spacing w:before="40" w:after="40"/>
            </w:pPr>
            <w:r>
              <w:rPr>
                <w:rFonts w:ascii="Calibri" w:hAnsi="Calibri"/>
                <w:color w:val="263238"/>
                <w:sz w:val="19"/>
              </w:rPr>
              <w:t>Medium</w:t>
            </w:r>
          </w:p>
        </w:tc>
      </w:tr>
      <w:tr>
        <w:tc>
          <w:tcPr>
            <w:tcW w:type="dxa" w:w="1152"/>
            <w:tcMar>
              <w:top w:w="120" w:type="dxa"/>
              <w:bottom w:w="120" w:type="dxa"/>
              <w:left w:w="160" w:type="dxa"/>
              <w:right w:w="160" w:type="dxa"/>
            </w:tcMar>
            <w:shd w:fill="F9FBF9"/>
          </w:tcPr>
          <w:p>
            <w:pPr>
              <w:spacing w:before="40" w:after="40"/>
            </w:pPr>
            <w:r>
              <w:rPr>
                <w:rFonts w:ascii="Calibri" w:hAnsi="Calibri"/>
                <w:color w:val="263238"/>
                <w:sz w:val="19"/>
              </w:rPr>
              <w:t>FR-06</w:t>
            </w:r>
          </w:p>
        </w:tc>
        <w:tc>
          <w:tcPr>
            <w:tcW w:type="dxa" w:w="2160"/>
            <w:tcMar>
              <w:top w:w="120" w:type="dxa"/>
              <w:bottom w:w="120" w:type="dxa"/>
              <w:left w:w="160" w:type="dxa"/>
              <w:right w:w="160" w:type="dxa"/>
            </w:tcMar>
            <w:shd w:fill="F9FBF9"/>
          </w:tcPr>
          <w:p>
            <w:pPr>
              <w:spacing w:before="40" w:after="40"/>
            </w:pPr>
            <w:r>
              <w:rPr>
                <w:rFonts w:ascii="Calibri" w:hAnsi="Calibri"/>
                <w:color w:val="263238"/>
                <w:sz w:val="19"/>
              </w:rPr>
              <w:t>Structured Agronomy Advisory Delivery</w:t>
            </w:r>
          </w:p>
        </w:tc>
        <w:tc>
          <w:tcPr>
            <w:tcW w:type="dxa" w:w="4032"/>
            <w:tcMar>
              <w:top w:w="120" w:type="dxa"/>
              <w:bottom w:w="120" w:type="dxa"/>
              <w:left w:w="160" w:type="dxa"/>
              <w:right w:w="160" w:type="dxa"/>
            </w:tcMar>
            <w:shd w:fill="F9FBF9"/>
          </w:tcPr>
          <w:p>
            <w:pPr>
              <w:spacing w:before="40" w:after="40"/>
            </w:pPr>
            <w:r>
              <w:rPr>
                <w:rFonts w:ascii="Calibri" w:hAnsi="Calibri"/>
                <w:color w:val="263238"/>
                <w:sz w:val="19"/>
              </w:rPr>
              <w:t>System shall retrieve and return structured agronomic intelligence including: Pathogen classification, key foliar symptoms, organic bio-control protocols, chemical treatments, and Pre-Harvest Interval (PHI) safety metrics.</w:t>
            </w:r>
          </w:p>
        </w:tc>
        <w:tc>
          <w:tcPr>
            <w:tcW w:type="dxa" w:w="1152"/>
            <w:tcMar>
              <w:top w:w="120" w:type="dxa"/>
              <w:bottom w:w="120" w:type="dxa"/>
              <w:left w:w="160" w:type="dxa"/>
              <w:right w:w="160" w:type="dxa"/>
            </w:tcMar>
            <w:shd w:fill="F9FBF9"/>
          </w:tcPr>
          <w:p>
            <w:pPr>
              <w:spacing w:before="40" w:after="40"/>
            </w:pPr>
            <w:r>
              <w:rPr>
                <w:rFonts w:ascii="Calibri" w:hAnsi="Calibri"/>
                <w:color w:val="263238"/>
                <w:sz w:val="19"/>
              </w:rPr>
              <w:t>Mandatory</w:t>
            </w:r>
          </w:p>
        </w:tc>
        <w:tc>
          <w:tcPr>
            <w:tcW w:type="dxa" w:w="864"/>
            <w:tcMar>
              <w:top w:w="120" w:type="dxa"/>
              <w:bottom w:w="120" w:type="dxa"/>
              <w:left w:w="160" w:type="dxa"/>
              <w:right w:w="160" w:type="dxa"/>
            </w:tcMar>
            <w:shd w:fill="F9FBF9"/>
          </w:tcPr>
          <w:p>
            <w:pPr>
              <w:spacing w:before="40" w:after="40"/>
            </w:pPr>
            <w:r>
              <w:rPr>
                <w:rFonts w:ascii="Calibri" w:hAnsi="Calibri"/>
                <w:color w:val="263238"/>
                <w:sz w:val="19"/>
              </w:rPr>
              <w:t>High</w:t>
            </w:r>
          </w:p>
        </w:tc>
      </w:tr>
      <w:tr>
        <w:tc>
          <w:tcPr>
            <w:tcW w:type="dxa" w:w="1152"/>
            <w:tcMar>
              <w:top w:w="120" w:type="dxa"/>
              <w:bottom w:w="120" w:type="dxa"/>
              <w:left w:w="160" w:type="dxa"/>
              <w:right w:w="160" w:type="dxa"/>
            </w:tcMar>
            <w:shd w:fill="FFFFFF"/>
          </w:tcPr>
          <w:p>
            <w:pPr>
              <w:spacing w:before="40" w:after="40"/>
            </w:pPr>
            <w:r>
              <w:rPr>
                <w:rFonts w:ascii="Calibri" w:hAnsi="Calibri"/>
                <w:color w:val="263238"/>
                <w:sz w:val="19"/>
              </w:rPr>
              <w:t>FR-07</w:t>
            </w:r>
          </w:p>
        </w:tc>
        <w:tc>
          <w:tcPr>
            <w:tcW w:type="dxa" w:w="2160"/>
            <w:tcMar>
              <w:top w:w="120" w:type="dxa"/>
              <w:bottom w:w="120" w:type="dxa"/>
              <w:left w:w="160" w:type="dxa"/>
              <w:right w:w="160" w:type="dxa"/>
            </w:tcMar>
            <w:shd w:fill="FFFFFF"/>
          </w:tcPr>
          <w:p>
            <w:pPr>
              <w:spacing w:before="40" w:after="40"/>
            </w:pPr>
            <w:r>
              <w:rPr>
                <w:rFonts w:ascii="Calibri" w:hAnsi="Calibri"/>
                <w:color w:val="263238"/>
                <w:sz w:val="19"/>
              </w:rPr>
              <w:t>Tri-Phase Farmer Action Plan</w:t>
            </w:r>
          </w:p>
        </w:tc>
        <w:tc>
          <w:tcPr>
            <w:tcW w:type="dxa" w:w="4032"/>
            <w:tcMar>
              <w:top w:w="120" w:type="dxa"/>
              <w:bottom w:w="120" w:type="dxa"/>
              <w:left w:w="160" w:type="dxa"/>
              <w:right w:w="160" w:type="dxa"/>
            </w:tcMar>
            <w:shd w:fill="FFFFFF"/>
          </w:tcPr>
          <w:p>
            <w:pPr>
              <w:spacing w:before="40" w:after="40"/>
            </w:pPr>
            <w:r>
              <w:rPr>
                <w:rFonts w:ascii="Calibri" w:hAnsi="Calibri"/>
                <w:color w:val="263238"/>
                <w:sz w:val="19"/>
              </w:rPr>
              <w:t>System shall generate a time-sequenced mitigation roadmap divided into: 'Today (Immediate Isolation/Sanitation)', 'Next 3 Days (Curative/Protectant Spraying)', and 'This Week (Field Pruning &amp; Cultural Controls)'.</w:t>
            </w:r>
          </w:p>
        </w:tc>
        <w:tc>
          <w:tcPr>
            <w:tcW w:type="dxa" w:w="1152"/>
            <w:tcMar>
              <w:top w:w="120" w:type="dxa"/>
              <w:bottom w:w="120" w:type="dxa"/>
              <w:left w:w="160" w:type="dxa"/>
              <w:right w:w="160" w:type="dxa"/>
            </w:tcMar>
            <w:shd w:fill="FFFFFF"/>
          </w:tcPr>
          <w:p>
            <w:pPr>
              <w:spacing w:before="40" w:after="40"/>
            </w:pPr>
            <w:r>
              <w:rPr>
                <w:rFonts w:ascii="Calibri" w:hAnsi="Calibri"/>
                <w:color w:val="263238"/>
                <w:sz w:val="19"/>
              </w:rPr>
              <w:t>Mandatory</w:t>
            </w:r>
          </w:p>
        </w:tc>
        <w:tc>
          <w:tcPr>
            <w:tcW w:type="dxa" w:w="864"/>
            <w:tcMar>
              <w:top w:w="120" w:type="dxa"/>
              <w:bottom w:w="120" w:type="dxa"/>
              <w:left w:w="160" w:type="dxa"/>
              <w:right w:w="160" w:type="dxa"/>
            </w:tcMar>
            <w:shd w:fill="FFFFFF"/>
          </w:tcPr>
          <w:p>
            <w:pPr>
              <w:spacing w:before="40" w:after="40"/>
            </w:pPr>
            <w:r>
              <w:rPr>
                <w:rFonts w:ascii="Calibri" w:hAnsi="Calibri"/>
                <w:color w:val="263238"/>
                <w:sz w:val="19"/>
              </w:rPr>
              <w:t>High</w:t>
            </w:r>
          </w:p>
        </w:tc>
      </w:tr>
      <w:tr>
        <w:tc>
          <w:tcPr>
            <w:tcW w:type="dxa" w:w="1152"/>
            <w:tcMar>
              <w:top w:w="120" w:type="dxa"/>
              <w:bottom w:w="120" w:type="dxa"/>
              <w:left w:w="160" w:type="dxa"/>
              <w:right w:w="160" w:type="dxa"/>
            </w:tcMar>
            <w:shd w:fill="F9FBF9"/>
          </w:tcPr>
          <w:p>
            <w:pPr>
              <w:spacing w:before="40" w:after="40"/>
            </w:pPr>
            <w:r>
              <w:rPr>
                <w:rFonts w:ascii="Calibri" w:hAnsi="Calibri"/>
                <w:color w:val="263238"/>
                <w:sz w:val="19"/>
              </w:rPr>
              <w:t>FR-08</w:t>
            </w:r>
          </w:p>
        </w:tc>
        <w:tc>
          <w:tcPr>
            <w:tcW w:type="dxa" w:w="2160"/>
            <w:tcMar>
              <w:top w:w="120" w:type="dxa"/>
              <w:bottom w:w="120" w:type="dxa"/>
              <w:left w:w="160" w:type="dxa"/>
              <w:right w:w="160" w:type="dxa"/>
            </w:tcMar>
            <w:shd w:fill="F9FBF9"/>
          </w:tcPr>
          <w:p>
            <w:pPr>
              <w:spacing w:before="40" w:after="40"/>
            </w:pPr>
            <w:r>
              <w:rPr>
                <w:rFonts w:ascii="Calibri" w:hAnsi="Calibri"/>
                <w:color w:val="263238"/>
                <w:sz w:val="19"/>
              </w:rPr>
              <w:t>Multilingual Vernacular Localization</w:t>
            </w:r>
          </w:p>
        </w:tc>
        <w:tc>
          <w:tcPr>
            <w:tcW w:type="dxa" w:w="4032"/>
            <w:tcMar>
              <w:top w:w="120" w:type="dxa"/>
              <w:bottom w:w="120" w:type="dxa"/>
              <w:left w:w="160" w:type="dxa"/>
              <w:right w:w="160" w:type="dxa"/>
            </w:tcMar>
            <w:shd w:fill="F9FBF9"/>
          </w:tcPr>
          <w:p>
            <w:pPr>
              <w:spacing w:before="40" w:after="40"/>
            </w:pPr>
            <w:r>
              <w:rPr>
                <w:rFonts w:ascii="Calibri" w:hAnsi="Calibri"/>
                <w:color w:val="263238"/>
                <w:sz w:val="19"/>
              </w:rPr>
              <w:t>System shall localize all diagnostic results, symptoms, advisories, action plans, and UI labels across 10 languages: English, Kannada, Hindi, Telugu, Tamil, Malayalam, Marathi, Bengali, Gujarati, and Punjabi.</w:t>
            </w:r>
          </w:p>
        </w:tc>
        <w:tc>
          <w:tcPr>
            <w:tcW w:type="dxa" w:w="1152"/>
            <w:tcMar>
              <w:top w:w="120" w:type="dxa"/>
              <w:bottom w:w="120" w:type="dxa"/>
              <w:left w:w="160" w:type="dxa"/>
              <w:right w:w="160" w:type="dxa"/>
            </w:tcMar>
            <w:shd w:fill="F9FBF9"/>
          </w:tcPr>
          <w:p>
            <w:pPr>
              <w:spacing w:before="40" w:after="40"/>
            </w:pPr>
            <w:r>
              <w:rPr>
                <w:rFonts w:ascii="Calibri" w:hAnsi="Calibri"/>
                <w:color w:val="263238"/>
                <w:sz w:val="19"/>
              </w:rPr>
              <w:t>Mandatory</w:t>
            </w:r>
          </w:p>
        </w:tc>
        <w:tc>
          <w:tcPr>
            <w:tcW w:type="dxa" w:w="864"/>
            <w:tcMar>
              <w:top w:w="120" w:type="dxa"/>
              <w:bottom w:w="120" w:type="dxa"/>
              <w:left w:w="160" w:type="dxa"/>
              <w:right w:w="160" w:type="dxa"/>
            </w:tcMar>
            <w:shd w:fill="F9FBF9"/>
          </w:tcPr>
          <w:p>
            <w:pPr>
              <w:spacing w:before="40" w:after="40"/>
            </w:pPr>
            <w:r>
              <w:rPr>
                <w:rFonts w:ascii="Calibri" w:hAnsi="Calibri"/>
                <w:color w:val="263238"/>
                <w:sz w:val="19"/>
              </w:rPr>
              <w:t>High</w:t>
            </w:r>
          </w:p>
        </w:tc>
      </w:tr>
      <w:tr>
        <w:tc>
          <w:tcPr>
            <w:tcW w:type="dxa" w:w="1152"/>
            <w:tcMar>
              <w:top w:w="120" w:type="dxa"/>
              <w:bottom w:w="120" w:type="dxa"/>
              <w:left w:w="160" w:type="dxa"/>
              <w:right w:w="160" w:type="dxa"/>
            </w:tcMar>
            <w:shd w:fill="FFFFFF"/>
          </w:tcPr>
          <w:p>
            <w:pPr>
              <w:spacing w:before="40" w:after="40"/>
            </w:pPr>
            <w:r>
              <w:rPr>
                <w:rFonts w:ascii="Calibri" w:hAnsi="Calibri"/>
                <w:color w:val="263238"/>
                <w:sz w:val="19"/>
              </w:rPr>
              <w:t>FR-09</w:t>
            </w:r>
          </w:p>
        </w:tc>
        <w:tc>
          <w:tcPr>
            <w:tcW w:type="dxa" w:w="2160"/>
            <w:tcMar>
              <w:top w:w="120" w:type="dxa"/>
              <w:bottom w:w="120" w:type="dxa"/>
              <w:left w:w="160" w:type="dxa"/>
              <w:right w:w="160" w:type="dxa"/>
            </w:tcMar>
            <w:shd w:fill="FFFFFF"/>
          </w:tcPr>
          <w:p>
            <w:pPr>
              <w:spacing w:before="40" w:after="40"/>
            </w:pPr>
            <w:r>
              <w:rPr>
                <w:rFonts w:ascii="Calibri" w:hAnsi="Calibri"/>
                <w:color w:val="263238"/>
                <w:sz w:val="19"/>
              </w:rPr>
              <w:t>Contextual AI Agronomy Assistant</w:t>
            </w:r>
          </w:p>
        </w:tc>
        <w:tc>
          <w:tcPr>
            <w:tcW w:type="dxa" w:w="4032"/>
            <w:tcMar>
              <w:top w:w="120" w:type="dxa"/>
              <w:bottom w:w="120" w:type="dxa"/>
              <w:left w:w="160" w:type="dxa"/>
              <w:right w:w="160" w:type="dxa"/>
            </w:tcMar>
            <w:shd w:fill="FFFFFF"/>
          </w:tcPr>
          <w:p>
            <w:pPr>
              <w:spacing w:before="40" w:after="40"/>
            </w:pPr>
            <w:r>
              <w:rPr>
                <w:rFonts w:ascii="Calibri" w:hAnsi="Calibri"/>
                <w:color w:val="263238"/>
                <w:sz w:val="19"/>
              </w:rPr>
              <w:t>System shall provide a conversational Q&amp;A endpoint ('Ask TomatoGuard') that combines current diagnosis context with agronomy knowledge base, supporting cloud LLM providers and zero-dependency local rule fallbacks.</w:t>
            </w:r>
          </w:p>
        </w:tc>
        <w:tc>
          <w:tcPr>
            <w:tcW w:type="dxa" w:w="1152"/>
            <w:tcMar>
              <w:top w:w="120" w:type="dxa"/>
              <w:bottom w:w="120" w:type="dxa"/>
              <w:left w:w="160" w:type="dxa"/>
              <w:right w:w="160" w:type="dxa"/>
            </w:tcMar>
            <w:shd w:fill="FFFFFF"/>
          </w:tcPr>
          <w:p>
            <w:pPr>
              <w:spacing w:before="40" w:after="40"/>
            </w:pPr>
            <w:r>
              <w:rPr>
                <w:rFonts w:ascii="Calibri" w:hAnsi="Calibri"/>
                <w:color w:val="263238"/>
                <w:sz w:val="19"/>
              </w:rPr>
              <w:t>Optional / Configurable</w:t>
            </w:r>
          </w:p>
        </w:tc>
        <w:tc>
          <w:tcPr>
            <w:tcW w:type="dxa" w:w="864"/>
            <w:tcMar>
              <w:top w:w="120" w:type="dxa"/>
              <w:bottom w:w="120" w:type="dxa"/>
              <w:left w:w="160" w:type="dxa"/>
              <w:right w:w="160" w:type="dxa"/>
            </w:tcMar>
            <w:shd w:fill="FFFFFF"/>
          </w:tcPr>
          <w:p>
            <w:pPr>
              <w:spacing w:before="40" w:after="40"/>
            </w:pPr>
            <w:r>
              <w:rPr>
                <w:rFonts w:ascii="Calibri" w:hAnsi="Calibri"/>
                <w:color w:val="263238"/>
                <w:sz w:val="19"/>
              </w:rPr>
              <w:t>Medium</w:t>
            </w:r>
          </w:p>
        </w:tc>
      </w:tr>
      <w:tr>
        <w:tc>
          <w:tcPr>
            <w:tcW w:type="dxa" w:w="1152"/>
            <w:tcMar>
              <w:top w:w="120" w:type="dxa"/>
              <w:bottom w:w="120" w:type="dxa"/>
              <w:left w:w="160" w:type="dxa"/>
              <w:right w:w="160" w:type="dxa"/>
            </w:tcMar>
            <w:shd w:fill="F9FBF9"/>
          </w:tcPr>
          <w:p>
            <w:pPr>
              <w:spacing w:before="40" w:after="40"/>
            </w:pPr>
            <w:r>
              <w:rPr>
                <w:rFonts w:ascii="Calibri" w:hAnsi="Calibri"/>
                <w:color w:val="263238"/>
                <w:sz w:val="19"/>
              </w:rPr>
              <w:t>FR-10</w:t>
            </w:r>
          </w:p>
        </w:tc>
        <w:tc>
          <w:tcPr>
            <w:tcW w:type="dxa" w:w="2160"/>
            <w:tcMar>
              <w:top w:w="120" w:type="dxa"/>
              <w:bottom w:w="120" w:type="dxa"/>
              <w:left w:w="160" w:type="dxa"/>
              <w:right w:w="160" w:type="dxa"/>
            </w:tcMar>
            <w:shd w:fill="F9FBF9"/>
          </w:tcPr>
          <w:p>
            <w:pPr>
              <w:spacing w:before="40" w:after="40"/>
            </w:pPr>
            <w:r>
              <w:rPr>
                <w:rFonts w:ascii="Calibri" w:hAnsi="Calibri"/>
                <w:color w:val="263238"/>
                <w:sz w:val="19"/>
              </w:rPr>
              <w:t>Catalog &amp; Sample Image Serving</w:t>
            </w:r>
          </w:p>
        </w:tc>
        <w:tc>
          <w:tcPr>
            <w:tcW w:type="dxa" w:w="4032"/>
            <w:tcMar>
              <w:top w:w="120" w:type="dxa"/>
              <w:bottom w:w="120" w:type="dxa"/>
              <w:left w:w="160" w:type="dxa"/>
              <w:right w:w="160" w:type="dxa"/>
            </w:tcMar>
            <w:shd w:fill="F9FBF9"/>
          </w:tcPr>
          <w:p>
            <w:pPr>
              <w:spacing w:before="40" w:after="40"/>
            </w:pPr>
            <w:r>
              <w:rPr>
                <w:rFonts w:ascii="Calibri" w:hAnsi="Calibri"/>
                <w:color w:val="263238"/>
                <w:sz w:val="19"/>
              </w:rPr>
              <w:t>System shall expose API endpoints and UI libraries listing all 10 supported pathologies with symptoms and serving sample benchmark images from the validation set.</w:t>
            </w:r>
          </w:p>
        </w:tc>
        <w:tc>
          <w:tcPr>
            <w:tcW w:type="dxa" w:w="1152"/>
            <w:tcMar>
              <w:top w:w="120" w:type="dxa"/>
              <w:bottom w:w="120" w:type="dxa"/>
              <w:left w:w="160" w:type="dxa"/>
              <w:right w:w="160" w:type="dxa"/>
            </w:tcMar>
            <w:shd w:fill="F9FBF9"/>
          </w:tcPr>
          <w:p>
            <w:pPr>
              <w:spacing w:before="40" w:after="40"/>
            </w:pPr>
            <w:r>
              <w:rPr>
                <w:rFonts w:ascii="Calibri" w:hAnsi="Calibri"/>
                <w:color w:val="263238"/>
                <w:sz w:val="19"/>
              </w:rPr>
              <w:t>Mandatory</w:t>
            </w:r>
          </w:p>
        </w:tc>
        <w:tc>
          <w:tcPr>
            <w:tcW w:type="dxa" w:w="864"/>
            <w:tcMar>
              <w:top w:w="120" w:type="dxa"/>
              <w:bottom w:w="120" w:type="dxa"/>
              <w:left w:w="160" w:type="dxa"/>
              <w:right w:w="160" w:type="dxa"/>
            </w:tcMar>
            <w:shd w:fill="F9FBF9"/>
          </w:tcPr>
          <w:p>
            <w:pPr>
              <w:spacing w:before="40" w:after="40"/>
            </w:pPr>
            <w:r>
              <w:rPr>
                <w:rFonts w:ascii="Calibri" w:hAnsi="Calibri"/>
                <w:color w:val="263238"/>
                <w:sz w:val="19"/>
              </w:rPr>
              <w:t>Medium</w:t>
            </w:r>
          </w:p>
        </w:tc>
      </w:tr>
      <w:tr>
        <w:tc>
          <w:tcPr>
            <w:tcW w:type="dxa" w:w="1152"/>
            <w:tcMar>
              <w:top w:w="120" w:type="dxa"/>
              <w:bottom w:w="120" w:type="dxa"/>
              <w:left w:w="160" w:type="dxa"/>
              <w:right w:w="160" w:type="dxa"/>
            </w:tcMar>
            <w:shd w:fill="FFFFFF"/>
          </w:tcPr>
          <w:p>
            <w:pPr>
              <w:spacing w:before="40" w:after="40"/>
            </w:pPr>
            <w:r>
              <w:rPr>
                <w:rFonts w:ascii="Calibri" w:hAnsi="Calibri"/>
                <w:color w:val="263238"/>
                <w:sz w:val="19"/>
              </w:rPr>
              <w:t>FR-11</w:t>
            </w:r>
          </w:p>
        </w:tc>
        <w:tc>
          <w:tcPr>
            <w:tcW w:type="dxa" w:w="2160"/>
            <w:tcMar>
              <w:top w:w="120" w:type="dxa"/>
              <w:bottom w:w="120" w:type="dxa"/>
              <w:left w:w="160" w:type="dxa"/>
              <w:right w:w="160" w:type="dxa"/>
            </w:tcMar>
            <w:shd w:fill="FFFFFF"/>
          </w:tcPr>
          <w:p>
            <w:pPr>
              <w:spacing w:before="40" w:after="40"/>
            </w:pPr>
            <w:r>
              <w:rPr>
                <w:rFonts w:ascii="Calibri" w:hAnsi="Calibri"/>
                <w:color w:val="263238"/>
                <w:sz w:val="19"/>
              </w:rPr>
              <w:t>Client-Side Ingestion &amp; Camera Stream</w:t>
            </w:r>
          </w:p>
        </w:tc>
        <w:tc>
          <w:tcPr>
            <w:tcW w:type="dxa" w:w="4032"/>
            <w:tcMar>
              <w:top w:w="120" w:type="dxa"/>
              <w:bottom w:w="120" w:type="dxa"/>
              <w:left w:w="160" w:type="dxa"/>
              <w:right w:w="160" w:type="dxa"/>
            </w:tcMar>
            <w:shd w:fill="FFFFFF"/>
          </w:tcPr>
          <w:p>
            <w:pPr>
              <w:spacing w:before="40" w:after="40"/>
            </w:pPr>
            <w:r>
              <w:rPr>
                <w:rFonts w:ascii="Calibri" w:hAnsi="Calibri"/>
                <w:color w:val="263238"/>
                <w:sz w:val="19"/>
              </w:rPr>
              <w:t>Frontend shall support real-time HTML5 camera viewfinder capture, image file drag-and-drop, client-side preview, and local scan session history tracking.</w:t>
            </w:r>
          </w:p>
        </w:tc>
        <w:tc>
          <w:tcPr>
            <w:tcW w:type="dxa" w:w="1152"/>
            <w:tcMar>
              <w:top w:w="120" w:type="dxa"/>
              <w:bottom w:w="120" w:type="dxa"/>
              <w:left w:w="160" w:type="dxa"/>
              <w:right w:w="160" w:type="dxa"/>
            </w:tcMar>
            <w:shd w:fill="FFFFFF"/>
          </w:tcPr>
          <w:p>
            <w:pPr>
              <w:spacing w:before="40" w:after="40"/>
            </w:pPr>
            <w:r>
              <w:rPr>
                <w:rFonts w:ascii="Calibri" w:hAnsi="Calibri"/>
                <w:color w:val="263238"/>
                <w:sz w:val="19"/>
              </w:rPr>
              <w:t>Mandatory</w:t>
            </w:r>
          </w:p>
        </w:tc>
        <w:tc>
          <w:tcPr>
            <w:tcW w:type="dxa" w:w="864"/>
            <w:tcMar>
              <w:top w:w="120" w:type="dxa"/>
              <w:bottom w:w="120" w:type="dxa"/>
              <w:left w:w="160" w:type="dxa"/>
              <w:right w:w="160" w:type="dxa"/>
            </w:tcMar>
            <w:shd w:fill="FFFFFF"/>
          </w:tcPr>
          <w:p>
            <w:pPr>
              <w:spacing w:before="40" w:after="40"/>
            </w:pPr>
            <w:r>
              <w:rPr>
                <w:rFonts w:ascii="Calibri" w:hAnsi="Calibri"/>
                <w:color w:val="263238"/>
                <w:sz w:val="19"/>
              </w:rPr>
              <w:t>High</w:t>
            </w:r>
          </w:p>
        </w:tc>
      </w:tr>
    </w:tbl>
    <w:p>
      <w:pPr>
        <w:spacing w:after="160"/>
      </w:pPr>
    </w:p>
    <w:p>
      <w:pPr>
        <w:keepNext/>
        <w:spacing w:before="280" w:after="80"/>
      </w:pPr>
      <w:r>
        <w:rPr>
          <w:rFonts w:ascii="Calibri" w:hAnsi="Calibri"/>
          <w:b/>
          <w:color w:val="2E7D32"/>
          <w:sz w:val="28"/>
        </w:rPr>
        <w:t>3.2 Non-Functional Requirements (NFR)</w:t>
      </w:r>
    </w:p>
    <w:p>
      <w:pPr>
        <w:pStyle w:val="ListBullet"/>
        <w:spacing w:before="0" w:after="60" w:line="276" w:lineRule="auto"/>
      </w:pPr>
      <w:r>
        <w:rPr>
          <w:rFonts w:ascii="Calibri" w:hAnsi="Calibri"/>
          <w:b/>
          <w:color w:val="263238"/>
          <w:sz w:val="20"/>
        </w:rPr>
        <w:t xml:space="preserve">NFR-01: Low Latency Inference: </w:t>
      </w:r>
      <w:r>
        <w:rPr>
          <w:rFonts w:ascii="Calibri" w:hAnsi="Calibri"/>
          <w:color w:val="263238"/>
          <w:sz w:val="20"/>
        </w:rPr>
        <w:t>End-to-end two-stage neural inference (Quality check + Stage 1 Gate + Stage 2 Classifier) shall execute in less than 200 milliseconds on commodity CPU hardware using LiteRT / TFLite runtime.</w:t>
      </w:r>
    </w:p>
    <w:p>
      <w:pPr>
        <w:pStyle w:val="ListBullet"/>
        <w:spacing w:before="0" w:after="60" w:line="276" w:lineRule="auto"/>
      </w:pPr>
      <w:r>
        <w:rPr>
          <w:rFonts w:ascii="Calibri" w:hAnsi="Calibri"/>
          <w:b/>
          <w:color w:val="263238"/>
          <w:sz w:val="20"/>
        </w:rPr>
        <w:t xml:space="preserve">NFR-02: Zero-Tolerance Non-Tomato Leakage: </w:t>
      </w:r>
      <w:r>
        <w:rPr>
          <w:rFonts w:ascii="Calibri" w:hAnsi="Calibri"/>
          <w:color w:val="263238"/>
          <w:sz w:val="20"/>
        </w:rPr>
        <w:t>The false positive acceptance rate for non-crop and out-of-domain imagery (cars, faces, buildings, animals, weeds) into Stage 2 shall be strictly 0.0% at the default 75% threshold.</w:t>
      </w:r>
    </w:p>
    <w:p>
      <w:pPr>
        <w:pStyle w:val="ListBullet"/>
        <w:spacing w:before="0" w:after="60" w:line="276" w:lineRule="auto"/>
      </w:pPr>
      <w:r>
        <w:rPr>
          <w:rFonts w:ascii="Calibri" w:hAnsi="Calibri"/>
          <w:b/>
          <w:color w:val="263238"/>
          <w:sz w:val="20"/>
        </w:rPr>
        <w:t xml:space="preserve">NFR-03: Asynchronous Scalability: </w:t>
      </w:r>
      <w:r>
        <w:rPr>
          <w:rFonts w:ascii="Calibri" w:hAnsi="Calibri"/>
          <w:color w:val="263238"/>
          <w:sz w:val="20"/>
        </w:rPr>
        <w:t>The backend shall be implemented on FastAPI ASGI framework with non-blocking I/O capable of handling concurrent multi-user image submissions without thread exhaustion.</w:t>
      </w:r>
    </w:p>
    <w:p>
      <w:pPr>
        <w:pStyle w:val="ListBullet"/>
        <w:spacing w:before="0" w:after="60" w:line="276" w:lineRule="auto"/>
      </w:pPr>
      <w:r>
        <w:rPr>
          <w:rFonts w:ascii="Calibri" w:hAnsi="Calibri"/>
          <w:b/>
          <w:color w:val="263238"/>
          <w:sz w:val="20"/>
        </w:rPr>
        <w:t xml:space="preserve">NFR-04: Edge &amp; Cloud Portability: </w:t>
      </w:r>
      <w:r>
        <w:rPr>
          <w:rFonts w:ascii="Calibri" w:hAnsi="Calibri"/>
          <w:color w:val="263238"/>
          <w:sz w:val="20"/>
        </w:rPr>
        <w:t>Inference artifacts shall use lightweight TFLite format allowing deployment on standard Linux/Windows servers, Docker micro-containers, and serverless environments (Vercel, Render) within 512MB RAM constraints.</w:t>
      </w:r>
    </w:p>
    <w:p>
      <w:pPr>
        <w:pStyle w:val="ListBullet"/>
        <w:spacing w:before="0" w:after="60" w:line="276" w:lineRule="auto"/>
      </w:pPr>
      <w:r>
        <w:rPr>
          <w:rFonts w:ascii="Calibri" w:hAnsi="Calibri"/>
          <w:b/>
          <w:color w:val="263238"/>
          <w:sz w:val="20"/>
        </w:rPr>
        <w:t xml:space="preserve">NFR-05: User Experience &amp; Visual Accessibility: </w:t>
      </w:r>
      <w:r>
        <w:rPr>
          <w:rFonts w:ascii="Calibri" w:hAnsi="Calibri"/>
          <w:color w:val="263238"/>
          <w:sz w:val="20"/>
        </w:rPr>
        <w:t>The client interface shall adopt a modern glassmorphic responsive design adhering to WCAG 2.1 contrast ratios, operating seamlessly on desktop and mobile viewports down to 320px width.</w:t>
      </w:r>
    </w:p>
    <w:p>
      <w:pPr>
        <w:pStyle w:val="ListBullet"/>
        <w:spacing w:before="0" w:after="60" w:line="276" w:lineRule="auto"/>
      </w:pPr>
      <w:r>
        <w:rPr>
          <w:rFonts w:ascii="Calibri" w:hAnsi="Calibri"/>
          <w:b/>
          <w:color w:val="263238"/>
          <w:sz w:val="20"/>
        </w:rPr>
        <w:t xml:space="preserve">NFR-06: Robust Error Containment: </w:t>
      </w:r>
      <w:r>
        <w:rPr>
          <w:rFonts w:ascii="Calibri" w:hAnsi="Calibri"/>
          <w:color w:val="263238"/>
          <w:sz w:val="20"/>
        </w:rPr>
        <w:t>System shall gracefully capture and recover from corrupted image files, malformed multipart streams, missing models, or external API timeouts without crashing the ASGI worker process.</w:t>
      </w:r>
    </w:p>
    <w:p>
      <w:pPr>
        <w:pStyle w:val="ListBullet"/>
        <w:spacing w:before="0" w:after="60" w:line="276" w:lineRule="auto"/>
      </w:pPr>
      <w:r>
        <w:rPr>
          <w:rFonts w:ascii="Calibri" w:hAnsi="Calibri"/>
          <w:b/>
          <w:color w:val="263238"/>
          <w:sz w:val="20"/>
        </w:rPr>
        <w:t xml:space="preserve">NFR-07: Data Privacy &amp; Ephemeral Processing: </w:t>
      </w:r>
      <w:r>
        <w:rPr>
          <w:rFonts w:ascii="Calibri" w:hAnsi="Calibri"/>
          <w:color w:val="263238"/>
          <w:sz w:val="20"/>
        </w:rPr>
        <w:t>Client uploaded leaf images shall be processed ephemerally in RAM byte buffers and not persisted to disk or external databases without explicit user consent.</w:t>
      </w:r>
    </w:p>
    <w:p>
      <w:pPr>
        <w:pStyle w:val="ListBullet"/>
        <w:spacing w:before="0" w:after="60" w:line="276" w:lineRule="auto"/>
      </w:pPr>
      <w:r>
        <w:rPr>
          <w:rFonts w:ascii="Calibri" w:hAnsi="Calibri"/>
          <w:b/>
          <w:color w:val="263238"/>
          <w:sz w:val="20"/>
        </w:rPr>
        <w:t xml:space="preserve">NFR-08: Codebase Maintainability: </w:t>
      </w:r>
      <w:r>
        <w:rPr>
          <w:rFonts w:ascii="Calibri" w:hAnsi="Calibri"/>
          <w:color w:val="263238"/>
          <w:sz w:val="20"/>
        </w:rPr>
        <w:t>Architecture shall enforce strict separation of concerns into core configuration, domain services, API route controllers, and static client assets.</w:t>
      </w:r>
    </w:p>
    <w:p>
      <w:pPr>
        <w:keepNext/>
        <w:spacing w:before="280" w:after="80"/>
      </w:pPr>
      <w:r>
        <w:rPr>
          <w:rFonts w:ascii="Calibri" w:hAnsi="Calibri"/>
          <w:b/>
          <w:color w:val="2E7D32"/>
          <w:sz w:val="28"/>
        </w:rPr>
        <w:t>3.3 Interface Requirements</w:t>
      </w:r>
    </w:p>
    <w:p>
      <w:pPr>
        <w:spacing w:before="0" w:after="120" w:line="276" w:lineRule="auto"/>
      </w:pPr>
      <w:r>
        <w:rPr>
          <w:rFonts w:ascii="Calibri" w:hAnsi="Calibri"/>
          <w:b/>
          <w:color w:val="263238"/>
          <w:sz w:val="21"/>
        </w:rPr>
        <w:t xml:space="preserve">Interface Dimensions: </w:t>
      </w:r>
      <w:r>
        <w:rPr>
          <w:rFonts w:ascii="Calibri" w:hAnsi="Calibri"/>
          <w:color w:val="263238"/>
          <w:sz w:val="21"/>
        </w:rPr>
        <w:t>The system specifies four primary interface dimensions:</w:t>
      </w:r>
    </w:p>
    <w:p>
      <w:pPr>
        <w:pStyle w:val="ListBullet"/>
        <w:spacing w:before="0" w:after="60" w:line="276" w:lineRule="auto"/>
      </w:pPr>
      <w:r>
        <w:rPr>
          <w:rFonts w:ascii="Calibri" w:hAnsi="Calibri"/>
          <w:b/>
          <w:color w:val="263238"/>
          <w:sz w:val="20"/>
        </w:rPr>
        <w:t xml:space="preserve">A. </w:t>
      </w:r>
      <w:r>
        <w:rPr>
          <w:rFonts w:ascii="Calibri" w:hAnsi="Calibri"/>
          <w:color w:val="263238"/>
          <w:sz w:val="20"/>
        </w:rPr>
        <w:t>User Interface (UI): Glassmorphic Single Page Application (SPA) offering dual input modalities (HTML5 MediaDevices WebRTC camera stream and drag-and-drop file upload), visual progress indicators, disease confidence meters, and tabbed guidance navigation.</w:t>
      </w:r>
    </w:p>
    <w:p>
      <w:pPr>
        <w:pStyle w:val="ListBullet"/>
        <w:spacing w:before="0" w:after="60" w:line="276" w:lineRule="auto"/>
      </w:pPr>
      <w:r>
        <w:rPr>
          <w:rFonts w:ascii="Calibri" w:hAnsi="Calibri"/>
          <w:b/>
          <w:color w:val="263238"/>
          <w:sz w:val="20"/>
        </w:rPr>
        <w:t xml:space="preserve">B. </w:t>
      </w:r>
      <w:r>
        <w:rPr>
          <w:rFonts w:ascii="Calibri" w:hAnsi="Calibri"/>
          <w:color w:val="263238"/>
          <w:sz w:val="20"/>
        </w:rPr>
        <w:t>Application Programming Interface (API): Standards-compliant RESTful JSON API documented via OpenAPI 3.0 (Swagger UI at /docs and ReDoc at /redoc). All payloads are validated using Pydantic schemas.</w:t>
      </w:r>
    </w:p>
    <w:p>
      <w:pPr>
        <w:pStyle w:val="ListBullet"/>
        <w:spacing w:before="0" w:after="60" w:line="276" w:lineRule="auto"/>
      </w:pPr>
      <w:r>
        <w:rPr>
          <w:rFonts w:ascii="Calibri" w:hAnsi="Calibri"/>
          <w:b/>
          <w:color w:val="263238"/>
          <w:sz w:val="20"/>
        </w:rPr>
        <w:t xml:space="preserve">C. </w:t>
      </w:r>
      <w:r>
        <w:rPr>
          <w:rFonts w:ascii="Calibri" w:hAnsi="Calibri"/>
          <w:color w:val="263238"/>
          <w:sz w:val="20"/>
        </w:rPr>
        <w:t>Hardware Interface: Compatible with standard CMOS smartphone cameras, webcams, and digital cameras capable of capturing minimum 64x64 pixel resolution (recommended 224x224 or higher).</w:t>
      </w:r>
    </w:p>
    <w:p>
      <w:pPr>
        <w:pStyle w:val="ListBullet"/>
        <w:spacing w:before="0" w:after="60" w:line="276" w:lineRule="auto"/>
      </w:pPr>
      <w:r>
        <w:rPr>
          <w:rFonts w:ascii="Calibri" w:hAnsi="Calibri"/>
          <w:b/>
          <w:color w:val="263238"/>
          <w:sz w:val="20"/>
        </w:rPr>
        <w:t xml:space="preserve">D. </w:t>
      </w:r>
      <w:r>
        <w:rPr>
          <w:rFonts w:ascii="Calibri" w:hAnsi="Calibri"/>
          <w:color w:val="263238"/>
          <w:sz w:val="20"/>
        </w:rPr>
        <w:t>Software / Platform Interface: Compatible with Python 3.10+, LiteRT runtime, modern ECMAScript 6+ web browsers (Chrome, Edge, Firefox, Safari) on Android, iOS, Windows, macOS, and Linux.</w:t>
      </w:r>
    </w:p>
    <w:p>
      <w:pPr>
        <w:keepNext/>
        <w:spacing w:before="280" w:after="80"/>
      </w:pPr>
      <w:r>
        <w:rPr>
          <w:rFonts w:ascii="Calibri" w:hAnsi="Calibri"/>
          <w:b/>
          <w:color w:val="2E7D32"/>
          <w:sz w:val="28"/>
        </w:rPr>
        <w:t>3.4 Operating Assumptions &amp; Domain Constraints</w:t>
      </w:r>
    </w:p>
    <w:p>
      <w:pPr>
        <w:pStyle w:val="ListBullet"/>
        <w:spacing w:before="0" w:after="60" w:line="276" w:lineRule="auto"/>
      </w:pPr>
      <w:r>
        <w:rPr>
          <w:rFonts w:ascii="Calibri" w:hAnsi="Calibri"/>
          <w:b/>
          <w:color w:val="263238"/>
          <w:sz w:val="20"/>
        </w:rPr>
        <w:t xml:space="preserve">1. Leaf Scale: </w:t>
      </w:r>
      <w:r>
        <w:rPr>
          <w:rFonts w:ascii="Calibri" w:hAnsi="Calibri"/>
          <w:color w:val="263238"/>
          <w:sz w:val="20"/>
        </w:rPr>
        <w:t>Single Leaf Focal Priority: The AI pipeline expects the user to photograph or focus on a single tomato leaf or close-up foliage cluster rather than an entire broad field landscape.</w:t>
      </w:r>
    </w:p>
    <w:p>
      <w:pPr>
        <w:pStyle w:val="ListBullet"/>
        <w:spacing w:before="0" w:after="60" w:line="276" w:lineRule="auto"/>
      </w:pPr>
      <w:r>
        <w:rPr>
          <w:rFonts w:ascii="Calibri" w:hAnsi="Calibri"/>
          <w:b/>
          <w:color w:val="263238"/>
          <w:sz w:val="20"/>
        </w:rPr>
        <w:t xml:space="preserve">2. Illumination: </w:t>
      </w:r>
      <w:r>
        <w:rPr>
          <w:rFonts w:ascii="Calibri" w:hAnsi="Calibri"/>
          <w:color w:val="263238"/>
          <w:sz w:val="20"/>
        </w:rPr>
        <w:t>Adequate Lighting: Photos must be taken in natural daylight or with torch illumination. The quality pre-screener will reject images with average brightness &lt; 15/255 (pitch black).</w:t>
      </w:r>
    </w:p>
    <w:p>
      <w:pPr>
        <w:pStyle w:val="ListBullet"/>
        <w:spacing w:before="0" w:after="60" w:line="276" w:lineRule="auto"/>
      </w:pPr>
      <w:r>
        <w:rPr>
          <w:rFonts w:ascii="Calibri" w:hAnsi="Calibri"/>
          <w:b/>
          <w:color w:val="263238"/>
          <w:sz w:val="20"/>
        </w:rPr>
        <w:t xml:space="preserve">3. Crop Boundary: </w:t>
      </w:r>
      <w:r>
        <w:rPr>
          <w:rFonts w:ascii="Calibri" w:hAnsi="Calibri"/>
          <w:color w:val="263238"/>
          <w:sz w:val="20"/>
        </w:rPr>
        <w:t>Solanaceous Specificity: The Stage 2 disease classifier is specialized exclusively for tomato foliage. Diseases affecting other Solanaceae (such as potato late blight or eggplant wilt) must not be diagnosed using this model unless specifically retrained.</w:t>
      </w:r>
    </w:p>
    <w:p>
      <w:pPr>
        <w:keepNext/>
        <w:spacing w:before="360" w:after="120"/>
      </w:pPr>
      <w:r>
        <w:rPr>
          <w:rFonts w:ascii="Calibri" w:hAnsi="Calibri"/>
          <w:b/>
          <w:color w:val="1B5E20"/>
          <w:sz w:val="36"/>
        </w:rPr>
        <w:t>4. Requirements Analysis &amp; Engineering Feasibility</w:t>
      </w:r>
    </w:p>
    <w:p>
      <w:pPr>
        <w:spacing w:before="0" w:after="120" w:line="276" w:lineRule="auto"/>
      </w:pPr>
      <w:r>
        <w:rPr>
          <w:rFonts w:ascii="Calibri" w:hAnsi="Calibri"/>
          <w:color w:val="263238"/>
          <w:sz w:val="21"/>
        </w:rPr>
        <w:t>Requirements analysis is a structured engineering process that examines the gathered functional and non-functional requirements to ensure they are complete, consistent, technically viable, economically sound, and aligned with stakeholder needs.</w:t>
      </w:r>
    </w:p>
    <w:p>
      <w:pPr>
        <w:keepNext/>
        <w:spacing w:before="280" w:after="80"/>
      </w:pPr>
      <w:r>
        <w:rPr>
          <w:rFonts w:ascii="Calibri" w:hAnsi="Calibri"/>
          <w:b/>
          <w:color w:val="2E7D32"/>
          <w:sz w:val="28"/>
        </w:rPr>
        <w:t>4.1 Multi-Dimensional Feasibility Study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592"/>
        <w:gridCol w:w="2016"/>
        <w:gridCol w:w="4752"/>
      </w:tblGrid>
      <w:tr>
        <w:tc>
          <w:tcPr>
            <w:tcW w:type="dxa" w:w="3120"/>
            <w:tcMar>
              <w:top w:w="120" w:type="dxa"/>
              <w:bottom w:w="120" w:type="dxa"/>
              <w:left w:w="160" w:type="dxa"/>
              <w:right w:w="160" w:type="dxa"/>
            </w:tcMar>
            <w:shd w:fill="1B5E20"/>
          </w:tcPr>
          <w:p>
            <w:pPr>
              <w:spacing w:before="60" w:after="60"/>
            </w:pPr>
            <w:r>
              <w:rPr>
                <w:rFonts w:ascii="Calibri" w:hAnsi="Calibri"/>
                <w:b/>
                <w:color w:val="FFFFFF"/>
                <w:sz w:val="20"/>
              </w:rPr>
              <w:t>Feasibility Dimension</w:t>
            </w:r>
          </w:p>
        </w:tc>
        <w:tc>
          <w:tcPr>
            <w:tcW w:type="dxa" w:w="3120"/>
            <w:tcMar>
              <w:top w:w="120" w:type="dxa"/>
              <w:bottom w:w="120" w:type="dxa"/>
              <w:left w:w="160" w:type="dxa"/>
              <w:right w:w="160" w:type="dxa"/>
            </w:tcMar>
            <w:shd w:fill="1B5E20"/>
          </w:tcPr>
          <w:p>
            <w:pPr>
              <w:spacing w:before="60" w:after="60"/>
            </w:pPr>
            <w:r>
              <w:rPr>
                <w:rFonts w:ascii="Calibri" w:hAnsi="Calibri"/>
                <w:b/>
                <w:color w:val="FFFFFF"/>
                <w:sz w:val="20"/>
              </w:rPr>
              <w:t>Status Rating</w:t>
            </w:r>
          </w:p>
        </w:tc>
        <w:tc>
          <w:tcPr>
            <w:tcW w:type="dxa" w:w="3120"/>
            <w:tcMar>
              <w:top w:w="120" w:type="dxa"/>
              <w:bottom w:w="120" w:type="dxa"/>
              <w:left w:w="160" w:type="dxa"/>
              <w:right w:w="160" w:type="dxa"/>
            </w:tcMar>
            <w:shd w:fill="1B5E20"/>
          </w:tcPr>
          <w:p>
            <w:pPr>
              <w:spacing w:before="60" w:after="60"/>
            </w:pPr>
            <w:r>
              <w:rPr>
                <w:rFonts w:ascii="Calibri" w:hAnsi="Calibri"/>
                <w:b/>
                <w:color w:val="FFFFFF"/>
                <w:sz w:val="20"/>
              </w:rPr>
              <w:t>Detailed Analysis &amp; Evidence</w:t>
            </w:r>
          </w:p>
        </w:tc>
      </w:tr>
      <w:tr>
        <w:tc>
          <w:tcPr>
            <w:tcW w:type="dxa" w:w="3120"/>
            <w:tcMar>
              <w:top w:w="120" w:type="dxa"/>
              <w:bottom w:w="120" w:type="dxa"/>
              <w:left w:w="160" w:type="dxa"/>
              <w:right w:w="160" w:type="dxa"/>
            </w:tcMar>
            <w:shd w:fill="FFFFFF"/>
          </w:tcPr>
          <w:p>
            <w:pPr>
              <w:spacing w:before="40" w:after="40"/>
            </w:pPr>
            <w:r>
              <w:rPr>
                <w:rFonts w:ascii="Calibri" w:hAnsi="Calibri"/>
                <w:color w:val="263238"/>
                <w:sz w:val="19"/>
              </w:rPr>
              <w:t>Technical Feasibility</w:t>
            </w:r>
          </w:p>
        </w:tc>
        <w:tc>
          <w:tcPr>
            <w:tcW w:type="dxa" w:w="3120"/>
            <w:tcMar>
              <w:top w:w="120" w:type="dxa"/>
              <w:bottom w:w="120" w:type="dxa"/>
              <w:left w:w="160" w:type="dxa"/>
              <w:right w:w="160" w:type="dxa"/>
            </w:tcMar>
            <w:shd w:fill="FFFFFF"/>
          </w:tcPr>
          <w:p>
            <w:pPr>
              <w:spacing w:before="40" w:after="40"/>
            </w:pPr>
            <w:r>
              <w:rPr>
                <w:rFonts w:ascii="Calibri" w:hAnsi="Calibri"/>
                <w:color w:val="263238"/>
                <w:sz w:val="19"/>
              </w:rPr>
              <w:t>HIGH (Validated)</w:t>
            </w:r>
          </w:p>
        </w:tc>
        <w:tc>
          <w:tcPr>
            <w:tcW w:type="dxa" w:w="3120"/>
            <w:tcMar>
              <w:top w:w="120" w:type="dxa"/>
              <w:bottom w:w="120" w:type="dxa"/>
              <w:left w:w="160" w:type="dxa"/>
              <w:right w:w="160" w:type="dxa"/>
            </w:tcMar>
            <w:shd w:fill="FFFFFF"/>
          </w:tcPr>
          <w:p>
            <w:pPr>
              <w:spacing w:before="40" w:after="40"/>
            </w:pPr>
            <w:r>
              <w:rPr>
                <w:rFonts w:ascii="Calibri" w:hAnsi="Calibri"/>
                <w:color w:val="263238"/>
                <w:sz w:val="19"/>
              </w:rPr>
              <w:t>MobileNetV2 transfer learning provides 100% binary discrimination at low parameter counts (2.2M parameters). Converting models to LiteRT/TFLite reduces model size from ~90MB to ~9MB, enabling CPU inference in 45-90ms. FastAPI provides sub-millisecond ASGI overhead.</w:t>
            </w:r>
          </w:p>
        </w:tc>
      </w:tr>
      <w:tr>
        <w:tc>
          <w:tcPr>
            <w:tcW w:type="dxa" w:w="3120"/>
            <w:tcMar>
              <w:top w:w="120" w:type="dxa"/>
              <w:bottom w:w="120" w:type="dxa"/>
              <w:left w:w="160" w:type="dxa"/>
              <w:right w:w="160" w:type="dxa"/>
            </w:tcMar>
            <w:shd w:fill="F9FBF9"/>
          </w:tcPr>
          <w:p>
            <w:pPr>
              <w:spacing w:before="40" w:after="40"/>
            </w:pPr>
            <w:r>
              <w:rPr>
                <w:rFonts w:ascii="Calibri" w:hAnsi="Calibri"/>
                <w:color w:val="263238"/>
                <w:sz w:val="19"/>
              </w:rPr>
              <w:t>Operational Feasibility</w:t>
            </w:r>
          </w:p>
        </w:tc>
        <w:tc>
          <w:tcPr>
            <w:tcW w:type="dxa" w:w="3120"/>
            <w:tcMar>
              <w:top w:w="120" w:type="dxa"/>
              <w:bottom w:w="120" w:type="dxa"/>
              <w:left w:w="160" w:type="dxa"/>
              <w:right w:w="160" w:type="dxa"/>
            </w:tcMar>
            <w:shd w:fill="F9FBF9"/>
          </w:tcPr>
          <w:p>
            <w:pPr>
              <w:spacing w:before="40" w:after="40"/>
            </w:pPr>
            <w:r>
              <w:rPr>
                <w:rFonts w:ascii="Calibri" w:hAnsi="Calibri"/>
                <w:color w:val="263238"/>
                <w:sz w:val="19"/>
              </w:rPr>
              <w:t>HIGH (Validated)</w:t>
            </w:r>
          </w:p>
        </w:tc>
        <w:tc>
          <w:tcPr>
            <w:tcW w:type="dxa" w:w="3120"/>
            <w:tcMar>
              <w:top w:w="120" w:type="dxa"/>
              <w:bottom w:w="120" w:type="dxa"/>
              <w:left w:w="160" w:type="dxa"/>
              <w:right w:w="160" w:type="dxa"/>
            </w:tcMar>
            <w:shd w:fill="F9FBF9"/>
          </w:tcPr>
          <w:p>
            <w:pPr>
              <w:spacing w:before="40" w:after="40"/>
            </w:pPr>
            <w:r>
              <w:rPr>
                <w:rFonts w:ascii="Calibri" w:hAnsi="Calibri"/>
                <w:color w:val="263238"/>
                <w:sz w:val="19"/>
              </w:rPr>
              <w:t>Designed specifically for rural farming contexts. Multilingual support across 10 Indian regional languages overcomes literacy barriers. Clean 3-step farmer action plan gives immediate practical steps. Web app works directly in mobile browsers without requiring heavy app store downloads.</w:t>
            </w:r>
          </w:p>
        </w:tc>
      </w:tr>
      <w:tr>
        <w:tc>
          <w:tcPr>
            <w:tcW w:type="dxa" w:w="3120"/>
            <w:tcMar>
              <w:top w:w="120" w:type="dxa"/>
              <w:bottom w:w="120" w:type="dxa"/>
              <w:left w:w="160" w:type="dxa"/>
              <w:right w:w="160" w:type="dxa"/>
            </w:tcMar>
            <w:shd w:fill="FFFFFF"/>
          </w:tcPr>
          <w:p>
            <w:pPr>
              <w:spacing w:before="40" w:after="40"/>
            </w:pPr>
            <w:r>
              <w:rPr>
                <w:rFonts w:ascii="Calibri" w:hAnsi="Calibri"/>
                <w:color w:val="263238"/>
                <w:sz w:val="19"/>
              </w:rPr>
              <w:t>Economic Feasibility</w:t>
            </w:r>
          </w:p>
        </w:tc>
        <w:tc>
          <w:tcPr>
            <w:tcW w:type="dxa" w:w="3120"/>
            <w:tcMar>
              <w:top w:w="120" w:type="dxa"/>
              <w:bottom w:w="120" w:type="dxa"/>
              <w:left w:w="160" w:type="dxa"/>
              <w:right w:w="160" w:type="dxa"/>
            </w:tcMar>
            <w:shd w:fill="FFFFFF"/>
          </w:tcPr>
          <w:p>
            <w:pPr>
              <w:spacing w:before="40" w:after="40"/>
            </w:pPr>
            <w:r>
              <w:rPr>
                <w:rFonts w:ascii="Calibri" w:hAnsi="Calibri"/>
                <w:color w:val="263238"/>
                <w:sz w:val="19"/>
              </w:rPr>
              <w:t>EXCELLENT (Zero Cost)</w:t>
            </w:r>
          </w:p>
        </w:tc>
        <w:tc>
          <w:tcPr>
            <w:tcW w:type="dxa" w:w="3120"/>
            <w:tcMar>
              <w:top w:w="120" w:type="dxa"/>
              <w:bottom w:w="120" w:type="dxa"/>
              <w:left w:w="160" w:type="dxa"/>
              <w:right w:w="160" w:type="dxa"/>
            </w:tcMar>
            <w:shd w:fill="FFFFFF"/>
          </w:tcPr>
          <w:p>
            <w:pPr>
              <w:spacing w:before="40" w:after="40"/>
            </w:pPr>
            <w:r>
              <w:rPr>
                <w:rFonts w:ascii="Calibri" w:hAnsi="Calibri"/>
                <w:color w:val="263238"/>
                <w:sz w:val="19"/>
              </w:rPr>
              <w:t>Entire technology stack is built on open-source frameworks (FastAPI, TensorFlow/LiteRT, Pillow, Vanilla JS). Hosting can be sustained on free-tier or micro cloud tiers (Vercel, Render, Railway) within 512MB RAM, incurring $0 capital expenditure.</w:t>
            </w:r>
          </w:p>
        </w:tc>
      </w:tr>
      <w:tr>
        <w:tc>
          <w:tcPr>
            <w:tcW w:type="dxa" w:w="3120"/>
            <w:tcMar>
              <w:top w:w="120" w:type="dxa"/>
              <w:bottom w:w="120" w:type="dxa"/>
              <w:left w:w="160" w:type="dxa"/>
              <w:right w:w="160" w:type="dxa"/>
            </w:tcMar>
            <w:shd w:fill="F9FBF9"/>
          </w:tcPr>
          <w:p>
            <w:pPr>
              <w:spacing w:before="40" w:after="40"/>
            </w:pPr>
            <w:r>
              <w:rPr>
                <w:rFonts w:ascii="Calibri" w:hAnsi="Calibri"/>
                <w:color w:val="263238"/>
                <w:sz w:val="19"/>
              </w:rPr>
              <w:t>Schedule / Delivery Feasibility</w:t>
            </w:r>
          </w:p>
        </w:tc>
        <w:tc>
          <w:tcPr>
            <w:tcW w:type="dxa" w:w="3120"/>
            <w:tcMar>
              <w:top w:w="120" w:type="dxa"/>
              <w:bottom w:w="120" w:type="dxa"/>
              <w:left w:w="160" w:type="dxa"/>
              <w:right w:w="160" w:type="dxa"/>
            </w:tcMar>
            <w:shd w:fill="F9FBF9"/>
          </w:tcPr>
          <w:p>
            <w:pPr>
              <w:spacing w:before="40" w:after="40"/>
            </w:pPr>
            <w:r>
              <w:rPr>
                <w:rFonts w:ascii="Calibri" w:hAnsi="Calibri"/>
                <w:color w:val="263238"/>
                <w:sz w:val="19"/>
              </w:rPr>
              <w:t>COMPLETE (Production-Ready)</w:t>
            </w:r>
          </w:p>
        </w:tc>
        <w:tc>
          <w:tcPr>
            <w:tcW w:type="dxa" w:w="3120"/>
            <w:tcMar>
              <w:top w:w="120" w:type="dxa"/>
              <w:bottom w:w="120" w:type="dxa"/>
              <w:left w:w="160" w:type="dxa"/>
              <w:right w:w="160" w:type="dxa"/>
            </w:tcMar>
            <w:shd w:fill="F9FBF9"/>
          </w:tcPr>
          <w:p>
            <w:pPr>
              <w:spacing w:before="40" w:after="40"/>
            </w:pPr>
            <w:r>
              <w:rPr>
                <w:rFonts w:ascii="Calibri" w:hAnsi="Calibri"/>
                <w:color w:val="263238"/>
                <w:sz w:val="19"/>
              </w:rPr>
              <w:t>Codebase has been completely engineered, tested, and validated. Test suite demonstrates 8/8 automated suites passing (100% test pass rate). Complete API and frontend integration is functional.</w:t>
            </w:r>
          </w:p>
        </w:tc>
      </w:tr>
      <w:tr>
        <w:tc>
          <w:tcPr>
            <w:tcW w:type="dxa" w:w="3120"/>
            <w:tcMar>
              <w:top w:w="120" w:type="dxa"/>
              <w:bottom w:w="120" w:type="dxa"/>
              <w:left w:w="160" w:type="dxa"/>
              <w:right w:w="160" w:type="dxa"/>
            </w:tcMar>
            <w:shd w:fill="FFFFFF"/>
          </w:tcPr>
          <w:p>
            <w:pPr>
              <w:spacing w:before="40" w:after="40"/>
            </w:pPr>
            <w:r>
              <w:rPr>
                <w:rFonts w:ascii="Calibri" w:hAnsi="Calibri"/>
                <w:color w:val="263238"/>
                <w:sz w:val="19"/>
              </w:rPr>
              <w:t>Legal &amp; Safety Feasibility</w:t>
            </w:r>
          </w:p>
        </w:tc>
        <w:tc>
          <w:tcPr>
            <w:tcW w:type="dxa" w:w="3120"/>
            <w:tcMar>
              <w:top w:w="120" w:type="dxa"/>
              <w:bottom w:w="120" w:type="dxa"/>
              <w:left w:w="160" w:type="dxa"/>
              <w:right w:w="160" w:type="dxa"/>
            </w:tcMar>
            <w:shd w:fill="FFFFFF"/>
          </w:tcPr>
          <w:p>
            <w:pPr>
              <w:spacing w:before="40" w:after="40"/>
            </w:pPr>
            <w:r>
              <w:rPr>
                <w:rFonts w:ascii="Calibri" w:hAnsi="Calibri"/>
                <w:color w:val="263238"/>
                <w:sz w:val="19"/>
              </w:rPr>
              <w:t>HIGH (Mitigated)</w:t>
            </w:r>
          </w:p>
        </w:tc>
        <w:tc>
          <w:tcPr>
            <w:tcW w:type="dxa" w:w="3120"/>
            <w:tcMar>
              <w:top w:w="120" w:type="dxa"/>
              <w:bottom w:w="120" w:type="dxa"/>
              <w:left w:w="160" w:type="dxa"/>
              <w:right w:w="160" w:type="dxa"/>
            </w:tcMar>
            <w:shd w:fill="FFFFFF"/>
          </w:tcPr>
          <w:p>
            <w:pPr>
              <w:spacing w:before="40" w:after="40"/>
            </w:pPr>
            <w:r>
              <w:rPr>
                <w:rFonts w:ascii="Calibri" w:hAnsi="Calibri"/>
                <w:color w:val="263238"/>
                <w:sz w:val="19"/>
              </w:rPr>
              <w:t>All chemical treatment advisories include mandatory Pre-Harvest Interval (PHI) warnings and an agronomic disclaimer advising consultation with certified local extension specialists before handling restricted pesticides.</w:t>
            </w:r>
          </w:p>
        </w:tc>
      </w:tr>
    </w:tbl>
    <w:p>
      <w:pPr>
        <w:spacing w:after="160"/>
      </w:pPr>
    </w:p>
    <w:p>
      <w:pPr>
        <w:keepNext/>
        <w:spacing w:before="280" w:after="80"/>
      </w:pPr>
      <w:r>
        <w:rPr>
          <w:rFonts w:ascii="Calibri" w:hAnsi="Calibri"/>
          <w:b/>
          <w:color w:val="2E7D32"/>
          <w:sz w:val="28"/>
        </w:rPr>
        <w:t>4.2 Stakeholder &amp; User Persona Profiles</w:t>
      </w:r>
    </w:p>
    <w:p>
      <w:pPr>
        <w:spacing w:before="0" w:after="120" w:line="276" w:lineRule="auto"/>
      </w:pPr>
      <w:r>
        <w:rPr>
          <w:rFonts w:ascii="Calibri" w:hAnsi="Calibri"/>
          <w:color w:val="263238"/>
          <w:sz w:val="21"/>
        </w:rPr>
        <w:t>To ensure human-centered design, the system models three primary user personas:</w:t>
      </w:r>
    </w:p>
    <w:p>
      <w:pPr>
        <w:pStyle w:val="ListBullet"/>
        <w:spacing w:before="0" w:after="60" w:line="276" w:lineRule="auto"/>
      </w:pPr>
      <w:r>
        <w:rPr>
          <w:rFonts w:ascii="Calibri" w:hAnsi="Calibri"/>
          <w:b/>
          <w:color w:val="263238"/>
          <w:sz w:val="20"/>
        </w:rPr>
        <w:t xml:space="preserve">Persona 1: Ramesh (Smallholder Farmer) — </w:t>
      </w:r>
      <w:r>
        <w:rPr>
          <w:rFonts w:ascii="Calibri" w:hAnsi="Calibri"/>
          <w:color w:val="263238"/>
          <w:sz w:val="20"/>
        </w:rPr>
        <w:t>Demographics: 42-year-old tomato grower in Kolar, Karnataka. Primary language Kannada; basic smartphone literacy. Primary Needs: Immediate, simple diagnosis in Kannada; clear answer on whether to spray fungicide today; low data consumption. Pain Points: Cannot understand complex English chemical brochures; gets cheated by unauthorized pesticide dealers.</w:t>
      </w:r>
    </w:p>
    <w:p>
      <w:pPr>
        <w:pStyle w:val="ListBullet"/>
        <w:spacing w:before="0" w:after="60" w:line="276" w:lineRule="auto"/>
      </w:pPr>
      <w:r>
        <w:rPr>
          <w:rFonts w:ascii="Calibri" w:hAnsi="Calibri"/>
          <w:b/>
          <w:color w:val="263238"/>
          <w:sz w:val="20"/>
        </w:rPr>
        <w:t xml:space="preserve">Persona 2: Dr. Ananya (Field Agronomist &amp; Extension Officer) — </w:t>
      </w:r>
      <w:r>
        <w:rPr>
          <w:rFonts w:ascii="Calibri" w:hAnsi="Calibri"/>
          <w:color w:val="263238"/>
          <w:sz w:val="20"/>
        </w:rPr>
        <w:t>Demographics: 29-year-old Agronomy Officer with Department of Agriculture. Uses smartphone and laptop in field offices. Primary Needs: Scientific pathogen taxonomy (Xanthomonas, Alternaria), severity classification, organic vs chemical alternatives, verifiable test confidence. Pain Points: Needs to quickly distinguish look-alike symptoms (Early Blight vs Septoria Leaf Spot).</w:t>
      </w:r>
    </w:p>
    <w:p>
      <w:pPr>
        <w:pStyle w:val="ListBullet"/>
        <w:spacing w:before="0" w:after="60" w:line="276" w:lineRule="auto"/>
      </w:pPr>
      <w:r>
        <w:rPr>
          <w:rFonts w:ascii="Calibri" w:hAnsi="Calibri"/>
          <w:b/>
          <w:color w:val="263238"/>
          <w:sz w:val="20"/>
        </w:rPr>
        <w:t xml:space="preserve">Persona 3: Vikram (AI Researcher &amp; Academic Evaluator) — </w:t>
      </w:r>
      <w:r>
        <w:rPr>
          <w:rFonts w:ascii="Calibri" w:hAnsi="Calibri"/>
          <w:color w:val="263238"/>
          <w:sz w:val="20"/>
        </w:rPr>
        <w:t>Demographics: Machine learning researcher reviewing edge AI deployment for precision agriculture. Primary Needs: Zero-tolerance false positive rate, confusion matrix verification, decoupled model gates, REST API integration with telemetry data.</w:t>
      </w:r>
    </w:p>
    <w:p>
      <w:pPr>
        <w:keepNext/>
        <w:spacing w:before="280" w:after="80"/>
      </w:pPr>
      <w:r>
        <w:rPr>
          <w:rFonts w:ascii="Calibri" w:hAnsi="Calibri"/>
          <w:b/>
          <w:color w:val="2E7D32"/>
          <w:sz w:val="28"/>
        </w:rPr>
        <w:t>4.3 Detailed Use Case Specifications</w:t>
      </w:r>
    </w:p>
    <w:p>
      <w:pPr>
        <w:spacing w:before="0" w:after="120" w:line="276" w:lineRule="auto"/>
      </w:pPr>
      <w:r>
        <w:rPr>
          <w:rFonts w:ascii="Calibri" w:hAnsi="Calibri"/>
          <w:color w:val="263238"/>
          <w:sz w:val="21"/>
        </w:rPr>
        <w:t>The system architecture satisfies five primary operational use cases: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008"/>
        <w:gridCol w:w="2160"/>
        <w:gridCol w:w="2016"/>
        <w:gridCol w:w="3168"/>
        <w:gridCol w:w="1728"/>
      </w:tblGrid>
      <w:tr>
        <w:tc>
          <w:tcPr>
            <w:tcW w:type="dxa" w:w="1872"/>
            <w:tcMar>
              <w:top w:w="120" w:type="dxa"/>
              <w:bottom w:w="120" w:type="dxa"/>
              <w:left w:w="160" w:type="dxa"/>
              <w:right w:w="160" w:type="dxa"/>
            </w:tcMar>
            <w:shd w:fill="1B5E20"/>
          </w:tcPr>
          <w:p>
            <w:pPr>
              <w:spacing w:before="60" w:after="60"/>
            </w:pPr>
            <w:r>
              <w:rPr>
                <w:rFonts w:ascii="Calibri" w:hAnsi="Calibri"/>
                <w:b/>
                <w:color w:val="FFFFFF"/>
                <w:sz w:val="20"/>
              </w:rPr>
              <w:t>UC ID</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Use Case Title</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Trigger / Precondition</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Execution Steps</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Postcondition</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UC-01</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End-to-End Disease Diagnosis (Authentic Tomato Leaf)</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Farmer captures or uploads a leaf with visible dark bullseye spots.</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1. System performs quality check (Pass).</w:t>
              <w:br/>
              <w:t>2. Stage 1 MobileNetV2 evaluates tomato confidence (98.4% &gt;= 75%).</w:t>
              <w:br/>
              <w:t>3. Stage 2 CNN diagnoses 'Early Blight' (94.2% conf).</w:t>
              <w:br/>
              <w:t>4. System computes Health Score: 48/100.</w:t>
              <w:br/>
              <w:t>5. Returns symptoms, Mancozeb/Trichoderma guidance, and 3-day action plan in selected language.</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Diagnostic Report Rendered with Action Plan</w:t>
            </w:r>
          </w:p>
        </w:tc>
      </w:tr>
      <w:tr>
        <w:tc>
          <w:tcPr>
            <w:tcW w:type="dxa" w:w="1872"/>
            <w:tcMar>
              <w:top w:w="120" w:type="dxa"/>
              <w:bottom w:w="120" w:type="dxa"/>
              <w:left w:w="160" w:type="dxa"/>
              <w:right w:w="160" w:type="dxa"/>
            </w:tcMar>
            <w:shd w:fill="F9FBF9"/>
          </w:tcPr>
          <w:p>
            <w:pPr>
              <w:spacing w:before="40" w:after="40"/>
            </w:pPr>
            <w:r>
              <w:rPr>
                <w:rFonts w:ascii="Calibri" w:hAnsi="Calibri"/>
                <w:color w:val="263238"/>
                <w:sz w:val="19"/>
              </w:rPr>
              <w:t>UC-02</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Non-Tomato Out-of-Distribution Rejection</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User uploads a picture of a car, human, building, or wheat leaf.</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1. System performs quality check (Pass).</w:t>
              <w:br/>
              <w:t>2. Stage 1 MobileNetV2 evaluates tomato confidence (0.01% &lt; 75%).</w:t>
              <w:br/>
              <w:t>3. System triggers CRITICAL GATE SAFETY interception.</w:t>
              <w:br/>
              <w:t>4. Stage 2 disease model is NOT executed.</w:t>
              <w:br/>
              <w:t>5. Returns clear warning: 'This image does not appear to belong to tomato crop.'</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Execution Stopped; User Prompted for Tomato Leaf</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UC-03</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Low Quality / Pitch-Black Image Rejection</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User takes an image inside a dark pocket or with covered lens.</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1. System calculates average brightness (4.2/255 &lt; 15.0).</w:t>
              <w:br/>
              <w:t>2. Quality screener detects severe underexposure.</w:t>
              <w:br/>
              <w:t>3. Pipeline halts immediately before neural inference.</w:t>
              <w:br/>
              <w:t>4. Returns corrective guidance: 'Image is too dark. Capture under natural daylight.'</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Inference Aborted; Farmer Advised on Illumination</w:t>
            </w:r>
          </w:p>
        </w:tc>
      </w:tr>
      <w:tr>
        <w:tc>
          <w:tcPr>
            <w:tcW w:type="dxa" w:w="1872"/>
            <w:tcMar>
              <w:top w:w="120" w:type="dxa"/>
              <w:bottom w:w="120" w:type="dxa"/>
              <w:left w:w="160" w:type="dxa"/>
              <w:right w:w="160" w:type="dxa"/>
            </w:tcMar>
            <w:shd w:fill="F9FBF9"/>
          </w:tcPr>
          <w:p>
            <w:pPr>
              <w:spacing w:before="40" w:after="40"/>
            </w:pPr>
            <w:r>
              <w:rPr>
                <w:rFonts w:ascii="Calibri" w:hAnsi="Calibri"/>
                <w:color w:val="263238"/>
                <w:sz w:val="19"/>
              </w:rPr>
              <w:t>UC-04</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Vernacular Language Localization</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Farmer switches UI language dropdown from English to Kannada or Hindi.</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1. UI triggers /api/translate or requests prediction with target_language='kn'.</w:t>
              <w:br/>
              <w:t>2. Backend translation engine localizes disease name, symptoms, chemical advisories, and action plans.</w:t>
              <w:br/>
              <w:t>3. Frontend DOM immediately updates in regional script.</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Full UI and Advisory Rendered in Regional Language</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UC-05</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Contextual Agronomy Consultation ('Ask AI')</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Farmer types: 'How frequently should I spray copper fungicide for bacterial spot?'</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1. Request dispatched to /api/assistant/ask with current disease context.</w:t>
              <w:br/>
              <w:t>2. Service evaluates prompt against grounded knowledge base or LLM.</w:t>
              <w:br/>
              <w:t>3. Returns concise, scientifically grounded advice on spray frequency and safety.</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Agronomic Advice Provided in Farmer Context</w:t>
            </w:r>
          </w:p>
        </w:tc>
      </w:tr>
    </w:tbl>
    <w:p>
      <w:pPr>
        <w:spacing w:after="160"/>
      </w:pPr>
    </w:p>
    <w:p>
      <w:pPr>
        <w:keepNext/>
        <w:spacing w:before="280" w:after="80"/>
      </w:pPr>
      <w:r>
        <w:rPr>
          <w:rFonts w:ascii="Calibri" w:hAnsi="Calibri"/>
          <w:b/>
          <w:color w:val="2E7D32"/>
          <w:sz w:val="28"/>
        </w:rPr>
        <w:t>4.4 Requirements Traceability Matrix (RTM)</w:t>
      </w:r>
    </w:p>
    <w:p>
      <w:pPr>
        <w:spacing w:before="0" w:after="120" w:line="276" w:lineRule="auto"/>
      </w:pPr>
      <w:r>
        <w:rPr>
          <w:rFonts w:ascii="Calibri" w:hAnsi="Calibri"/>
          <w:color w:val="263238"/>
          <w:sz w:val="21"/>
        </w:rPr>
        <w:t>The Requirements Traceability Matrix guarantees forward and backward traceability between user requirements, system modules, API contracts, and test verification cases.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008"/>
        <w:gridCol w:w="1872"/>
        <w:gridCol w:w="1872"/>
        <w:gridCol w:w="1728"/>
        <w:gridCol w:w="2592"/>
        <w:gridCol w:w="1008"/>
      </w:tblGrid>
      <w:tr>
        <w:tc>
          <w:tcPr>
            <w:tcW w:type="dxa" w:w="1560"/>
            <w:tcMar>
              <w:top w:w="120" w:type="dxa"/>
              <w:bottom w:w="120" w:type="dxa"/>
              <w:left w:w="160" w:type="dxa"/>
              <w:right w:w="160" w:type="dxa"/>
            </w:tcMar>
            <w:shd w:fill="1B5E20"/>
          </w:tcPr>
          <w:p>
            <w:pPr>
              <w:spacing w:before="60" w:after="60"/>
            </w:pPr>
            <w:r>
              <w:rPr>
                <w:rFonts w:ascii="Calibri" w:hAnsi="Calibri"/>
                <w:b/>
                <w:color w:val="FFFFFF"/>
                <w:sz w:val="20"/>
              </w:rPr>
              <w:t>Req ID</w:t>
            </w:r>
          </w:p>
        </w:tc>
        <w:tc>
          <w:tcPr>
            <w:tcW w:type="dxa" w:w="1560"/>
            <w:tcMar>
              <w:top w:w="120" w:type="dxa"/>
              <w:bottom w:w="120" w:type="dxa"/>
              <w:left w:w="160" w:type="dxa"/>
              <w:right w:w="160" w:type="dxa"/>
            </w:tcMar>
            <w:shd w:fill="1B5E20"/>
          </w:tcPr>
          <w:p>
            <w:pPr>
              <w:spacing w:before="60" w:after="60"/>
            </w:pPr>
            <w:r>
              <w:rPr>
                <w:rFonts w:ascii="Calibri" w:hAnsi="Calibri"/>
                <w:b/>
                <w:color w:val="FFFFFF"/>
                <w:sz w:val="20"/>
              </w:rPr>
              <w:t>Description</w:t>
            </w:r>
          </w:p>
        </w:tc>
        <w:tc>
          <w:tcPr>
            <w:tcW w:type="dxa" w:w="1560"/>
            <w:tcMar>
              <w:top w:w="120" w:type="dxa"/>
              <w:bottom w:w="120" w:type="dxa"/>
              <w:left w:w="160" w:type="dxa"/>
              <w:right w:w="160" w:type="dxa"/>
            </w:tcMar>
            <w:shd w:fill="1B5E20"/>
          </w:tcPr>
          <w:p>
            <w:pPr>
              <w:spacing w:before="60" w:after="60"/>
            </w:pPr>
            <w:r>
              <w:rPr>
                <w:rFonts w:ascii="Calibri" w:hAnsi="Calibri"/>
                <w:b/>
                <w:color w:val="FFFFFF"/>
                <w:sz w:val="20"/>
              </w:rPr>
              <w:t>Source Module</w:t>
            </w:r>
          </w:p>
        </w:tc>
        <w:tc>
          <w:tcPr>
            <w:tcW w:type="dxa" w:w="1560"/>
            <w:tcMar>
              <w:top w:w="120" w:type="dxa"/>
              <w:bottom w:w="120" w:type="dxa"/>
              <w:left w:w="160" w:type="dxa"/>
              <w:right w:w="160" w:type="dxa"/>
            </w:tcMar>
            <w:shd w:fill="1B5E20"/>
          </w:tcPr>
          <w:p>
            <w:pPr>
              <w:spacing w:before="60" w:after="60"/>
            </w:pPr>
            <w:r>
              <w:rPr>
                <w:rFonts w:ascii="Calibri" w:hAnsi="Calibri"/>
                <w:b/>
                <w:color w:val="FFFFFF"/>
                <w:sz w:val="20"/>
              </w:rPr>
              <w:t>API Route</w:t>
            </w:r>
          </w:p>
        </w:tc>
        <w:tc>
          <w:tcPr>
            <w:tcW w:type="dxa" w:w="1560"/>
            <w:tcMar>
              <w:top w:w="120" w:type="dxa"/>
              <w:bottom w:w="120" w:type="dxa"/>
              <w:left w:w="160" w:type="dxa"/>
              <w:right w:w="160" w:type="dxa"/>
            </w:tcMar>
            <w:shd w:fill="1B5E20"/>
          </w:tcPr>
          <w:p>
            <w:pPr>
              <w:spacing w:before="60" w:after="60"/>
            </w:pPr>
            <w:r>
              <w:rPr>
                <w:rFonts w:ascii="Calibri" w:hAnsi="Calibri"/>
                <w:b/>
                <w:color w:val="FFFFFF"/>
                <w:sz w:val="20"/>
              </w:rPr>
              <w:t>Verification Suite</w:t>
            </w:r>
          </w:p>
        </w:tc>
        <w:tc>
          <w:tcPr>
            <w:tcW w:type="dxa" w:w="1560"/>
            <w:tcMar>
              <w:top w:w="120" w:type="dxa"/>
              <w:bottom w:w="120" w:type="dxa"/>
              <w:left w:w="160" w:type="dxa"/>
              <w:right w:w="160" w:type="dxa"/>
            </w:tcMar>
            <w:shd w:fill="1B5E20"/>
          </w:tcPr>
          <w:p>
            <w:pPr>
              <w:spacing w:before="60" w:after="60"/>
            </w:pPr>
            <w:r>
              <w:rPr>
                <w:rFonts w:ascii="Calibri" w:hAnsi="Calibri"/>
                <w:b/>
                <w:color w:val="FFFFFF"/>
                <w:sz w:val="20"/>
              </w:rPr>
              <w:t>Status</w:t>
            </w:r>
          </w:p>
        </w:tc>
      </w:tr>
      <w:tr>
        <w:tc>
          <w:tcPr>
            <w:tcW w:type="dxa" w:w="1560"/>
            <w:tcMar>
              <w:top w:w="120" w:type="dxa"/>
              <w:bottom w:w="120" w:type="dxa"/>
              <w:left w:w="160" w:type="dxa"/>
              <w:right w:w="160" w:type="dxa"/>
            </w:tcMar>
            <w:shd w:fill="FFFFFF"/>
          </w:tcPr>
          <w:p>
            <w:pPr>
              <w:spacing w:before="40" w:after="40"/>
            </w:pPr>
            <w:r>
              <w:rPr>
                <w:rFonts w:ascii="Calibri" w:hAnsi="Calibri"/>
                <w:color w:val="263238"/>
                <w:sz w:val="19"/>
              </w:rPr>
              <w:t>FR-01</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Quality Pre-Screening</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quality_service.py</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POST /api/predict</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Test 5: Quality Gate (Dark Image Rejection)</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VERIFIED (100%)</w:t>
            </w:r>
          </w:p>
        </w:tc>
      </w:tr>
      <w:tr>
        <w:tc>
          <w:tcPr>
            <w:tcW w:type="dxa" w:w="1560"/>
            <w:tcMar>
              <w:top w:w="120" w:type="dxa"/>
              <w:bottom w:w="120" w:type="dxa"/>
              <w:left w:w="160" w:type="dxa"/>
              <w:right w:w="160" w:type="dxa"/>
            </w:tcMar>
            <w:shd w:fill="F9FBF9"/>
          </w:tcPr>
          <w:p>
            <w:pPr>
              <w:spacing w:before="40" w:after="40"/>
            </w:pPr>
            <w:r>
              <w:rPr>
                <w:rFonts w:ascii="Calibri" w:hAnsi="Calibri"/>
                <w:color w:val="263238"/>
                <w:sz w:val="19"/>
              </w:rPr>
              <w:t>FR-02</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Stage 1 Tomato Gate</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binary_service.py</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POST /api/predict</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Test 1 &amp; Test 4: Tomato Acceptance Suite</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VERIFIED (100%)</w:t>
            </w:r>
          </w:p>
        </w:tc>
      </w:tr>
      <w:tr>
        <w:tc>
          <w:tcPr>
            <w:tcW w:type="dxa" w:w="1560"/>
            <w:tcMar>
              <w:top w:w="120" w:type="dxa"/>
              <w:bottom w:w="120" w:type="dxa"/>
              <w:left w:w="160" w:type="dxa"/>
              <w:right w:w="160" w:type="dxa"/>
            </w:tcMar>
            <w:shd w:fill="FFFFFF"/>
          </w:tcPr>
          <w:p>
            <w:pPr>
              <w:spacing w:before="40" w:after="40"/>
            </w:pPr>
            <w:r>
              <w:rPr>
                <w:rFonts w:ascii="Calibri" w:hAnsi="Calibri"/>
                <w:color w:val="263238"/>
                <w:sz w:val="19"/>
              </w:rPr>
              <w:t>FR-03</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Non-Tomato Rejection</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binary_service.py</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POST /api/predict</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Test 3: Non-Tomato Rejection Suite</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VERIFIED (100%)</w:t>
            </w:r>
          </w:p>
        </w:tc>
      </w:tr>
      <w:tr>
        <w:tc>
          <w:tcPr>
            <w:tcW w:type="dxa" w:w="1560"/>
            <w:tcMar>
              <w:top w:w="120" w:type="dxa"/>
              <w:bottom w:w="120" w:type="dxa"/>
              <w:left w:w="160" w:type="dxa"/>
              <w:right w:w="160" w:type="dxa"/>
            </w:tcMar>
            <w:shd w:fill="F9FBF9"/>
          </w:tcPr>
          <w:p>
            <w:pPr>
              <w:spacing w:before="40" w:after="40"/>
            </w:pPr>
            <w:r>
              <w:rPr>
                <w:rFonts w:ascii="Calibri" w:hAnsi="Calibri"/>
                <w:color w:val="263238"/>
                <w:sz w:val="19"/>
              </w:rPr>
              <w:t>FR-04</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Stage 2 Foliar Diagnosis</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disease_service.py</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POST /api/predict</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Test 2: Stage 2 Disease Model Loaded</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VERIFIED (100%)</w:t>
            </w:r>
          </w:p>
        </w:tc>
      </w:tr>
      <w:tr>
        <w:tc>
          <w:tcPr>
            <w:tcW w:type="dxa" w:w="1560"/>
            <w:tcMar>
              <w:top w:w="120" w:type="dxa"/>
              <w:bottom w:w="120" w:type="dxa"/>
              <w:left w:w="160" w:type="dxa"/>
              <w:right w:w="160" w:type="dxa"/>
            </w:tcMar>
            <w:shd w:fill="FFFFFF"/>
          </w:tcPr>
          <w:p>
            <w:pPr>
              <w:spacing w:before="40" w:after="40"/>
            </w:pPr>
            <w:r>
              <w:rPr>
                <w:rFonts w:ascii="Calibri" w:hAnsi="Calibri"/>
                <w:color w:val="263238"/>
                <w:sz w:val="19"/>
              </w:rPr>
              <w:t>FR-05</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Health Score Index</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disease_service.py</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POST /api/predict</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Test 8: Health Score Logic Benchmark</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VERIFIED (100%)</w:t>
            </w:r>
          </w:p>
        </w:tc>
      </w:tr>
      <w:tr>
        <w:tc>
          <w:tcPr>
            <w:tcW w:type="dxa" w:w="1560"/>
            <w:tcMar>
              <w:top w:w="120" w:type="dxa"/>
              <w:bottom w:w="120" w:type="dxa"/>
              <w:left w:w="160" w:type="dxa"/>
              <w:right w:w="160" w:type="dxa"/>
            </w:tcMar>
            <w:shd w:fill="F9FBF9"/>
          </w:tcPr>
          <w:p>
            <w:pPr>
              <w:spacing w:before="40" w:after="40"/>
            </w:pPr>
            <w:r>
              <w:rPr>
                <w:rFonts w:ascii="Calibri" w:hAnsi="Calibri"/>
                <w:color w:val="263238"/>
                <w:sz w:val="19"/>
              </w:rPr>
              <w:t>FR-06</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Agronomy Advisory</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disease_info.py</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POST /api/predict</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Catalog Coverage &amp; Integration Test</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VERIFIED (100%)</w:t>
            </w:r>
          </w:p>
        </w:tc>
      </w:tr>
      <w:tr>
        <w:tc>
          <w:tcPr>
            <w:tcW w:type="dxa" w:w="1560"/>
            <w:tcMar>
              <w:top w:w="120" w:type="dxa"/>
              <w:bottom w:w="120" w:type="dxa"/>
              <w:left w:w="160" w:type="dxa"/>
              <w:right w:w="160" w:type="dxa"/>
            </w:tcMar>
            <w:shd w:fill="FFFFFF"/>
          </w:tcPr>
          <w:p>
            <w:pPr>
              <w:spacing w:before="40" w:after="40"/>
            </w:pPr>
            <w:r>
              <w:rPr>
                <w:rFonts w:ascii="Calibri" w:hAnsi="Calibri"/>
                <w:color w:val="263238"/>
                <w:sz w:val="19"/>
              </w:rPr>
              <w:t>FR-07</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Tri-Phase Action Plan</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disease_info.py</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POST /api/predict</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Prediction Route Schema Validation</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VERIFIED (100%)</w:t>
            </w:r>
          </w:p>
        </w:tc>
      </w:tr>
      <w:tr>
        <w:tc>
          <w:tcPr>
            <w:tcW w:type="dxa" w:w="1560"/>
            <w:tcMar>
              <w:top w:w="120" w:type="dxa"/>
              <w:bottom w:w="120" w:type="dxa"/>
              <w:left w:w="160" w:type="dxa"/>
              <w:right w:w="160" w:type="dxa"/>
            </w:tcMar>
            <w:shd w:fill="F9FBF9"/>
          </w:tcPr>
          <w:p>
            <w:pPr>
              <w:spacing w:before="40" w:after="40"/>
            </w:pPr>
            <w:r>
              <w:rPr>
                <w:rFonts w:ascii="Calibri" w:hAnsi="Calibri"/>
                <w:color w:val="263238"/>
                <w:sz w:val="19"/>
              </w:rPr>
              <w:t>FR-08</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Multilingual Localization</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translation_service.py</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POST /api/translate</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Test 6: Hindi &amp; Kannada Translation</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VERIFIED (100%)</w:t>
            </w:r>
          </w:p>
        </w:tc>
      </w:tr>
      <w:tr>
        <w:tc>
          <w:tcPr>
            <w:tcW w:type="dxa" w:w="1560"/>
            <w:tcMar>
              <w:top w:w="120" w:type="dxa"/>
              <w:bottom w:w="120" w:type="dxa"/>
              <w:left w:w="160" w:type="dxa"/>
              <w:right w:w="160" w:type="dxa"/>
            </w:tcMar>
            <w:shd w:fill="FFFFFF"/>
          </w:tcPr>
          <w:p>
            <w:pPr>
              <w:spacing w:before="40" w:after="40"/>
            </w:pPr>
            <w:r>
              <w:rPr>
                <w:rFonts w:ascii="Calibri" w:hAnsi="Calibri"/>
                <w:color w:val="263238"/>
                <w:sz w:val="19"/>
              </w:rPr>
              <w:t>FR-09</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Agronomy AI Assistant</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assistant_service.py</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POST /api/assistant/ask</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Test 7: Contextual AI Assistant Query</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VERIFIED (100%)</w:t>
            </w:r>
          </w:p>
        </w:tc>
      </w:tr>
      <w:tr>
        <w:tc>
          <w:tcPr>
            <w:tcW w:type="dxa" w:w="1560"/>
            <w:tcMar>
              <w:top w:w="120" w:type="dxa"/>
              <w:bottom w:w="120" w:type="dxa"/>
              <w:left w:w="160" w:type="dxa"/>
              <w:right w:w="160" w:type="dxa"/>
            </w:tcMar>
            <w:shd w:fill="F9FBF9"/>
          </w:tcPr>
          <w:p>
            <w:pPr>
              <w:spacing w:before="40" w:after="40"/>
            </w:pPr>
            <w:r>
              <w:rPr>
                <w:rFonts w:ascii="Calibri" w:hAnsi="Calibri"/>
                <w:color w:val="263238"/>
                <w:sz w:val="19"/>
              </w:rPr>
              <w:t>FR-10</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Catalog &amp; Samples</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catalog.py</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GET /api/classes</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API Health &amp; Catalog Integration</w:t>
            </w:r>
          </w:p>
        </w:tc>
        <w:tc>
          <w:tcPr>
            <w:tcW w:type="dxa" w:w="1560"/>
            <w:tcMar>
              <w:top w:w="120" w:type="dxa"/>
              <w:bottom w:w="120" w:type="dxa"/>
              <w:left w:w="160" w:type="dxa"/>
              <w:right w:w="160" w:type="dxa"/>
            </w:tcMar>
            <w:shd w:fill="F9FBF9"/>
          </w:tcPr>
          <w:p>
            <w:pPr>
              <w:spacing w:before="40" w:after="40"/>
            </w:pPr>
            <w:r>
              <w:rPr>
                <w:rFonts w:ascii="Calibri" w:hAnsi="Calibri"/>
                <w:color w:val="263238"/>
                <w:sz w:val="19"/>
              </w:rPr>
              <w:t>VERIFIED (100%)</w:t>
            </w:r>
          </w:p>
        </w:tc>
      </w:tr>
      <w:tr>
        <w:tc>
          <w:tcPr>
            <w:tcW w:type="dxa" w:w="1560"/>
            <w:tcMar>
              <w:top w:w="120" w:type="dxa"/>
              <w:bottom w:w="120" w:type="dxa"/>
              <w:left w:w="160" w:type="dxa"/>
              <w:right w:w="160" w:type="dxa"/>
            </w:tcMar>
            <w:shd w:fill="FFFFFF"/>
          </w:tcPr>
          <w:p>
            <w:pPr>
              <w:spacing w:before="40" w:after="40"/>
            </w:pPr>
            <w:r>
              <w:rPr>
                <w:rFonts w:ascii="Calibri" w:hAnsi="Calibri"/>
                <w:color w:val="263238"/>
                <w:sz w:val="19"/>
              </w:rPr>
              <w:t>FR-11</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Client-Side Ingestion</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camera.js, prediction.js</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GET /</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Full-Stack End-to-End Browser Test</w:t>
            </w:r>
          </w:p>
        </w:tc>
        <w:tc>
          <w:tcPr>
            <w:tcW w:type="dxa" w:w="1560"/>
            <w:tcMar>
              <w:top w:w="120" w:type="dxa"/>
              <w:bottom w:w="120" w:type="dxa"/>
              <w:left w:w="160" w:type="dxa"/>
              <w:right w:w="160" w:type="dxa"/>
            </w:tcMar>
            <w:shd w:fill="FFFFFF"/>
          </w:tcPr>
          <w:p>
            <w:pPr>
              <w:spacing w:before="40" w:after="40"/>
            </w:pPr>
            <w:r>
              <w:rPr>
                <w:rFonts w:ascii="Calibri" w:hAnsi="Calibri"/>
                <w:color w:val="263238"/>
                <w:sz w:val="19"/>
              </w:rPr>
              <w:t>VERIFIED (100%)</w:t>
            </w:r>
          </w:p>
        </w:tc>
      </w:tr>
    </w:tbl>
    <w:p>
      <w:pPr>
        <w:spacing w:after="160"/>
      </w:pPr>
    </w:p>
    <w:p>
      <w:pPr>
        <w:keepNext/>
        <w:spacing w:before="280" w:after="80"/>
      </w:pPr>
      <w:r>
        <w:rPr>
          <w:rFonts w:ascii="Calibri" w:hAnsi="Calibri"/>
          <w:b/>
          <w:color w:val="2E7D32"/>
          <w:sz w:val="28"/>
        </w:rPr>
        <w:t>4.5 Risk Analysis &amp; Mitigation Matrix</w:t>
      </w:r>
    </w:p>
    <w:p>
      <w:pPr>
        <w:spacing w:before="0" w:after="120" w:line="276" w:lineRule="auto"/>
      </w:pPr>
      <w:r>
        <w:rPr>
          <w:rFonts w:ascii="Calibri" w:hAnsi="Calibri"/>
          <w:color w:val="263238"/>
          <w:sz w:val="21"/>
        </w:rPr>
        <w:t>A comprehensive Failure Modes and Effects Analysis (FMEA) was conducted to identify and mitigate risks: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872"/>
        <w:gridCol w:w="1152"/>
        <w:gridCol w:w="1008"/>
        <w:gridCol w:w="2880"/>
        <w:gridCol w:w="3168"/>
      </w:tblGrid>
      <w:tr>
        <w:tc>
          <w:tcPr>
            <w:tcW w:type="dxa" w:w="1872"/>
            <w:tcMar>
              <w:top w:w="120" w:type="dxa"/>
              <w:bottom w:w="120" w:type="dxa"/>
              <w:left w:w="160" w:type="dxa"/>
              <w:right w:w="160" w:type="dxa"/>
            </w:tcMar>
            <w:shd w:fill="1B5E20"/>
          </w:tcPr>
          <w:p>
            <w:pPr>
              <w:spacing w:before="60" w:after="60"/>
            </w:pPr>
            <w:r>
              <w:rPr>
                <w:rFonts w:ascii="Calibri" w:hAnsi="Calibri"/>
                <w:b/>
                <w:color w:val="FFFFFF"/>
                <w:sz w:val="20"/>
              </w:rPr>
              <w:t>Risk Factor</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Likelihood</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Severity</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Potential Operational Impact</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Mitigation Strategy Implemented</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Non-Crop False Alarm</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High</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Critical</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Farmer buys unneeded toxic chemicals due to false classification of foreign object.</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Mitigated via Stage 1 MobileNetV2 Gate with 75% cutoff and 100% rejection benchmark.</w:t>
            </w:r>
          </w:p>
        </w:tc>
      </w:tr>
      <w:tr>
        <w:tc>
          <w:tcPr>
            <w:tcW w:type="dxa" w:w="1872"/>
            <w:tcMar>
              <w:top w:w="120" w:type="dxa"/>
              <w:bottom w:w="120" w:type="dxa"/>
              <w:left w:w="160" w:type="dxa"/>
              <w:right w:w="160" w:type="dxa"/>
            </w:tcMar>
            <w:shd w:fill="F9FBF9"/>
          </w:tcPr>
          <w:p>
            <w:pPr>
              <w:spacing w:before="40" w:after="40"/>
            </w:pPr>
            <w:r>
              <w:rPr>
                <w:rFonts w:ascii="Calibri" w:hAnsi="Calibri"/>
                <w:color w:val="263238"/>
                <w:sz w:val="19"/>
              </w:rPr>
              <w:t>Low-Light Field Capture</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High</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Medium</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Underexposed image produces corrupted feature maps and false leaf segmentation.</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Mitigated via ImageQualityService brightness check rejecting images with brightness &lt; 15/255.</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Chemical Resistance Misuse</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Medium</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High</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Repeated application of single chemical creates fungicide-resistant pathogen strains.</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Mitigated via FRAC rotation guidelines in chemical recommendations and organic bio-control priority.</w:t>
            </w:r>
          </w:p>
        </w:tc>
      </w:tr>
      <w:tr>
        <w:tc>
          <w:tcPr>
            <w:tcW w:type="dxa" w:w="1872"/>
            <w:tcMar>
              <w:top w:w="120" w:type="dxa"/>
              <w:bottom w:w="120" w:type="dxa"/>
              <w:left w:w="160" w:type="dxa"/>
              <w:right w:w="160" w:type="dxa"/>
            </w:tcMar>
            <w:shd w:fill="F9FBF9"/>
          </w:tcPr>
          <w:p>
            <w:pPr>
              <w:spacing w:before="40" w:after="40"/>
            </w:pPr>
            <w:r>
              <w:rPr>
                <w:rFonts w:ascii="Calibri" w:hAnsi="Calibri"/>
                <w:color w:val="263238"/>
                <w:sz w:val="19"/>
              </w:rPr>
              <w:t>Cloud Provider Outage</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Low</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Medium</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External LLM API failure prevents agronomy Q&amp;A from answering farmer queries.</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Mitigated via dual-mode GenAIService featuring robust offline rule-based agronomy fallback.</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High Mobile Data Latency</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Medium</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Low</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Slow rural 2G/3G connections cause upload timeouts on heavy uncompressed images.</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Mitigated via client-side canvas downsampling and compact multipart POST streams.</w:t>
            </w:r>
          </w:p>
        </w:tc>
      </w:tr>
    </w:tbl>
    <w:p>
      <w:pPr>
        <w:keepNext/>
        <w:spacing w:before="360" w:after="120"/>
      </w:pPr>
      <w:r>
        <w:rPr>
          <w:rFonts w:ascii="Calibri" w:hAnsi="Calibri"/>
          <w:b/>
          <w:color w:val="1B5E20"/>
          <w:sz w:val="36"/>
        </w:rPr>
        <w:t>5. System Architecture &amp; High-Level Design</w:t>
      </w:r>
    </w:p>
    <w:p>
      <w:pPr>
        <w:spacing w:before="0" w:after="120" w:line="276" w:lineRule="auto"/>
      </w:pPr>
      <w:r>
        <w:rPr>
          <w:rFonts w:ascii="Calibri" w:hAnsi="Calibri"/>
          <w:color w:val="263238"/>
          <w:sz w:val="21"/>
        </w:rPr>
        <w:t>TomatoGuard AI is built upon an asynchronous, decoupled Service-Oriented Architecture (SOA). The system segregates responsibilities across four distinct layers: Ingestion &amp; Presentation, Gateway &amp; Pre-Screening, Neural Inference Core, and Agronomy Advisory &amp; Localization.</w:t>
      </w:r>
    </w:p>
    <w:p>
      <w:pPr>
        <w:keepNext/>
        <w:spacing w:before="280" w:after="80"/>
      </w:pPr>
      <w:r>
        <w:rPr>
          <w:rFonts w:ascii="Calibri" w:hAnsi="Calibri"/>
          <w:b/>
          <w:color w:val="2E7D32"/>
          <w:sz w:val="28"/>
        </w:rPr>
        <w:t>5.1 The Four-Step Processing Pipeline</w:t>
      </w:r>
    </w:p>
    <w:p>
      <w:pPr>
        <w:pStyle w:val="ListBullet"/>
        <w:spacing w:before="0" w:after="60" w:line="276" w:lineRule="auto"/>
      </w:pPr>
      <w:r>
        <w:rPr>
          <w:rFonts w:ascii="Calibri" w:hAnsi="Calibri"/>
          <w:b/>
          <w:color w:val="263238"/>
          <w:sz w:val="20"/>
        </w:rPr>
        <w:t xml:space="preserve">Step 1: Quality &amp; Pre-Screening — </w:t>
      </w:r>
      <w:r>
        <w:rPr>
          <w:rFonts w:ascii="Calibri" w:hAnsi="Calibri"/>
          <w:color w:val="263238"/>
          <w:sz w:val="20"/>
        </w:rPr>
        <w:t>Validates image size, format (JPG/PNG/WEBP), brightness (15–250), contrast variance (&gt;5.0), and byte stream integrity.</w:t>
      </w:r>
    </w:p>
    <w:p>
      <w:pPr>
        <w:pStyle w:val="ListBullet"/>
        <w:spacing w:before="0" w:after="60" w:line="276" w:lineRule="auto"/>
      </w:pPr>
      <w:r>
        <w:rPr>
          <w:rFonts w:ascii="Calibri" w:hAnsi="Calibri"/>
          <w:b/>
          <w:color w:val="263238"/>
          <w:sz w:val="20"/>
        </w:rPr>
        <w:t xml:space="preserve">Step 2: Stage 1 Tomato Authenticity Gate — </w:t>
      </w:r>
      <w:r>
        <w:rPr>
          <w:rFonts w:ascii="Calibri" w:hAnsi="Calibri"/>
          <w:color w:val="263238"/>
          <w:sz w:val="20"/>
        </w:rPr>
        <w:t>MobileNetV2 binary classifier processes 224x224 normalized RGB tensor to compute authentic tomato probability. If &lt; 75%, pipeline HALTS immediately.</w:t>
      </w:r>
    </w:p>
    <w:p>
      <w:pPr>
        <w:pStyle w:val="ListBullet"/>
        <w:spacing w:before="0" w:after="60" w:line="276" w:lineRule="auto"/>
      </w:pPr>
      <w:r>
        <w:rPr>
          <w:rFonts w:ascii="Calibri" w:hAnsi="Calibri"/>
          <w:b/>
          <w:color w:val="263238"/>
          <w:sz w:val="20"/>
        </w:rPr>
        <w:t xml:space="preserve">Step 3: Stage 2 Foliar Pathology Classifier — </w:t>
      </w:r>
      <w:r>
        <w:rPr>
          <w:rFonts w:ascii="Calibri" w:hAnsi="Calibri"/>
          <w:color w:val="263238"/>
          <w:sz w:val="20"/>
        </w:rPr>
        <w:t>10-class deep convolutional network classifies specific pathology, generating class probabilities, top-3 candidates, and computing composite Health Score.</w:t>
      </w:r>
    </w:p>
    <w:p>
      <w:pPr>
        <w:pStyle w:val="ListBullet"/>
        <w:spacing w:before="0" w:after="60" w:line="276" w:lineRule="auto"/>
      </w:pPr>
      <w:r>
        <w:rPr>
          <w:rFonts w:ascii="Calibri" w:hAnsi="Calibri"/>
          <w:b/>
          <w:color w:val="263238"/>
          <w:sz w:val="20"/>
        </w:rPr>
        <w:t xml:space="preserve">Step 4: Advisory &amp; Vernacular Localization — </w:t>
      </w:r>
      <w:r>
        <w:rPr>
          <w:rFonts w:ascii="Calibri" w:hAnsi="Calibri"/>
          <w:color w:val="263238"/>
          <w:sz w:val="20"/>
        </w:rPr>
        <w:t>Retrieves biological/chemical treatments, PHI intervals, 3-phase action plan, localizes output into requested Indian language, and provides contextual Q&amp;A.</w:t>
      </w:r>
    </w:p>
    <w:p>
      <w:pPr>
        <w:keepNext/>
        <w:spacing w:before="280" w:after="80"/>
      </w:pPr>
      <w:r>
        <w:rPr>
          <w:rFonts w:ascii="Calibri" w:hAnsi="Calibri"/>
          <w:b/>
          <w:color w:val="2E7D32"/>
          <w:sz w:val="28"/>
        </w:rPr>
        <w:t>5.2 System Architecture Diagram (Conceptual)</w:t>
      </w:r>
    </w:p>
    <w:p>
      <w:pPr>
        <w:spacing w:before="0" w:after="120" w:line="276" w:lineRule="auto"/>
      </w:pPr>
      <w:r>
        <w:rPr>
          <w:rFonts w:ascii="Calibri" w:hAnsi="Calibri"/>
          <w:color w:val="263238"/>
          <w:sz w:val="21"/>
        </w:rPr>
        <w:t>The architectural dataflow is structured as follows:</w:t>
        <w:br/>
        <w:br/>
        <w:t>[Client Device / Camera]</w:t>
        <w:br/>
        <w:t xml:space="preserve">       │  Multipart/Form-Data (Image Bytes + Target Lang)</w:t>
        <w:br/>
        <w:t xml:space="preserve">       ▼</w:t>
        <w:br/>
        <w:t>[FastAPI REST API Gateway : 8000]</w:t>
        <w:br/>
        <w:t xml:space="preserve">       │</w:t>
        <w:br/>
        <w:t xml:space="preserve">       ├───&gt; [Step 1: ImageQualityService] ──(Low Res / Dark)──&gt; [HTTP 400 / Quality Rejection]</w:t>
        <w:br/>
        <w:t xml:space="preserve">       │</w:t>
        <w:br/>
        <w:t xml:space="preserve">       ├───&gt; [Step 2: TomatoBinaryGateService] (MobileNetV2 LiteRT)</w:t>
        <w:br/>
        <w:t xml:space="preserve">       │            │</w:t>
        <w:br/>
        <w:t xml:space="preserve">       │            ├───(Tomato Conf &lt; 75%)───&gt; [HALT: Safe Non-Tomato Interception]</w:t>
        <w:br/>
        <w:t xml:space="preserve">       │            ▼</w:t>
        <w:br/>
        <w:t xml:space="preserve">       │         (Tomato Conf &gt;= 75%)</w:t>
        <w:br/>
        <w:t xml:space="preserve">       │            │</w:t>
        <w:br/>
        <w:t xml:space="preserve">       ├───&gt; [Step 3: TomatoDiseaseClassifierService] (10-Class Foliar LiteRT)</w:t>
        <w:br/>
        <w:t xml:space="preserve">       │            │</w:t>
        <w:br/>
        <w:t xml:space="preserve">       │            ├───&gt; Pathogen Class &amp; Softmax Probabilities</w:t>
        <w:br/>
        <w:t xml:space="preserve">       │            └───&gt; Composite Crop Health Score (0-100)</w:t>
        <w:br/>
        <w:t xml:space="preserve">       │</w:t>
        <w:br/>
        <w:t xml:space="preserve">       ├───&gt; [Step 4: Agronomy Knowledge Base &amp; Translation Engine]</w:t>
        <w:br/>
        <w:t xml:space="preserve">       │            ├───&gt; Bio-Control &amp; Chemical Treatments (PHI Safety)</w:t>
        <w:br/>
        <w:t xml:space="preserve">       │            ├───&gt; Action Plan Timeline (Today, 3 Days, This Week)</w:t>
        <w:br/>
        <w:t xml:space="preserve">       │            └───&gt; 10-Language Indian Vernacular Localization</w:t>
        <w:br/>
        <w:t xml:space="preserve">       ▼</w:t>
        <w:br/>
        <w:t>[JSON Response Payload -&gt; Glassmorphic UI Dashboard]</w:t>
      </w:r>
    </w:p>
    <w:p>
      <w:pPr>
        <w:keepNext/>
        <w:spacing w:before="360" w:after="120"/>
      </w:pPr>
      <w:r>
        <w:rPr>
          <w:rFonts w:ascii="Calibri" w:hAnsi="Calibri"/>
          <w:b/>
          <w:color w:val="1B5E20"/>
          <w:sz w:val="36"/>
        </w:rPr>
        <w:t>6. Detailed Module Implementation &amp; Component Engineering</w:t>
      </w:r>
    </w:p>
    <w:p>
      <w:pPr>
        <w:spacing w:before="0" w:after="120" w:line="276" w:lineRule="auto"/>
      </w:pPr>
      <w:r>
        <w:rPr>
          <w:rFonts w:ascii="Calibri" w:hAnsi="Calibri"/>
          <w:color w:val="263238"/>
          <w:sz w:val="21"/>
        </w:rPr>
        <w:t>This section documents the technical implementation details of each individual Python and JavaScript module comprising the TomatoGuard AI ecosystem.</w:t>
      </w:r>
    </w:p>
    <w:p>
      <w:pPr>
        <w:keepNext/>
        <w:spacing w:before="280" w:after="80"/>
      </w:pPr>
      <w:r>
        <w:rPr>
          <w:rFonts w:ascii="Calibri" w:hAnsi="Calibri"/>
          <w:b/>
          <w:color w:val="2E7D32"/>
          <w:sz w:val="28"/>
        </w:rPr>
        <w:t>6.1 Image Quality Pre-Screening Engine (quality_service.py)</w:t>
      </w:r>
    </w:p>
    <w:p>
      <w:pPr>
        <w:spacing w:before="0" w:after="120" w:line="276" w:lineRule="auto"/>
      </w:pPr>
      <w:r>
        <w:rPr>
          <w:rFonts w:ascii="Calibri" w:hAnsi="Calibri"/>
          <w:color w:val="263238"/>
          <w:sz w:val="21"/>
        </w:rPr>
        <w:t>The ImageQualityService acts as the initial firewall protecting the neural models from garbage inputs. It evaluates three optical metrics using Pillow and ImageStat:</w:t>
        <w:br/>
        <w:t>1. Resolution Check: Ensures image width &gt;= 64px and height &gt;= 64px (rejects thumbnails and corrupted icon files).</w:t>
        <w:br/>
        <w:t>2. Brightness Check: Converts image to grayscale ('L') and measures mean pixel intensity. Values &lt; 15.0 are flagged as underexposed (pitch dark); values &gt; 250.0 are flagged as washed out/overexposed.</w:t>
        <w:br/>
        <w:t>3. Texture &amp; Contrast Variance: Measures variance of pixel intensities. Solid color images (e.g. blank white or green backgrounds) exhibit variance &lt; 5.0 and are rejected before consuming inference compute.</w:t>
      </w:r>
    </w:p>
    <w:p>
      <w:pPr>
        <w:keepNext/>
        <w:spacing w:before="280" w:after="80"/>
      </w:pPr>
      <w:r>
        <w:rPr>
          <w:rFonts w:ascii="Calibri" w:hAnsi="Calibri"/>
          <w:b/>
          <w:color w:val="2E7D32"/>
          <w:sz w:val="28"/>
        </w:rPr>
        <w:t>6.2 Stage 1 MobileNetV2 Binary Gate Engine (binary_service.py)</w:t>
      </w:r>
    </w:p>
    <w:p>
      <w:pPr>
        <w:spacing w:before="0" w:after="120" w:line="276" w:lineRule="auto"/>
      </w:pPr>
      <w:r>
        <w:rPr>
          <w:rFonts w:ascii="Calibri" w:hAnsi="Calibri"/>
          <w:color w:val="263238"/>
          <w:sz w:val="21"/>
        </w:rPr>
        <w:t>The Stage 1 Gate utilizes a transfer-learned MobileNetV2 architecture compiled to LiteRT (TFLite). Input imagery is resized to (224, 224, 3) and scaled to [0.0, 1.0] using preprocess_for_mobilenet. The model produces a single sigmoid output probability representing authentic tomato foliar features. The system enforces a configurable gate threshold (TOMATO_CONFIDENCE_THRESHOLD = 0.75). If prob &lt; 0.75, the pipeline immediately returns is_tomato=False, halting Stage 2 disease inference.</w:t>
      </w:r>
    </w:p>
    <w:p>
      <w:pPr>
        <w:keepNext/>
        <w:spacing w:before="280" w:after="80"/>
      </w:pPr>
      <w:r>
        <w:rPr>
          <w:rFonts w:ascii="Calibri" w:hAnsi="Calibri"/>
          <w:b/>
          <w:color w:val="2E7D32"/>
          <w:sz w:val="28"/>
        </w:rPr>
        <w:t>6.3 Stage 2 Foliar Pathology Classifier Engine (disease_service.py)</w:t>
      </w:r>
    </w:p>
    <w:p>
      <w:pPr>
        <w:spacing w:before="0" w:after="120" w:line="276" w:lineRule="auto"/>
      </w:pPr>
      <w:r>
        <w:rPr>
          <w:rFonts w:ascii="Calibri" w:hAnsi="Calibri"/>
          <w:color w:val="263238"/>
          <w:sz w:val="21"/>
        </w:rPr>
        <w:t>Once verified by Stage 1, the image is passed to the Stage 2 Disease Classifier (MobileNetV2 Transfer Learning Engine). The output tensor evaluates 10 softmax probabilities corresponding to the 10 supported foliar categories. The service extracts the top-1 prediction, formats a breakdown of the top-3 candidate diseases, and calculates the AI Tomato Crop Health Score.</w:t>
      </w:r>
    </w:p>
    <w:p>
      <w:pPr>
        <w:keepNext/>
        <w:spacing w:before="280" w:after="80"/>
      </w:pPr>
      <w:r>
        <w:rPr>
          <w:rFonts w:ascii="Calibri" w:hAnsi="Calibri"/>
          <w:b/>
          <w:color w:val="2E7D32"/>
          <w:sz w:val="28"/>
        </w:rPr>
        <w:t>6.4 Crop Health Score Index Formulation (0–100 Scale)</w:t>
      </w:r>
    </w:p>
    <w:p>
      <w:pPr>
        <w:spacing w:before="0" w:after="120" w:line="276" w:lineRule="auto"/>
      </w:pPr>
      <w:r>
        <w:rPr>
          <w:rFonts w:ascii="Calibri" w:hAnsi="Calibri"/>
          <w:color w:val="263238"/>
          <w:sz w:val="21"/>
        </w:rPr>
        <w:t>TomatoGuard AI computes an intuitive 0-100 Crop Health Score representing overall plant vigor:</w:t>
        <w:br/>
        <w:t>• For Healthy Plants: Base score starts at 85, scaling up to 100 based on healthy confidence: Score = min(100, max(80, 85 + (Confidence / 100) * 13)).</w:t>
        <w:br/>
        <w:t>• For Diseased Plants: Each pathology has an agronomic severity weight (Health Score Impact): Late Blight (65), TYLCV (60), Bacterial Spot (45), Early Blight (40), Septoria (35), Spider Mites (40), Target Spot (35), Leaf Mold (30), Mosaic Virus (50).</w:t>
        <w:br/>
        <w:t>The score is calculated as: Score = max(15, min(75, 100 - (Impact * (Confidence / 100)))).</w:t>
        <w:br/>
        <w:t>This formula guarantees that healthy crops score &gt;= 80, mild infections score 50–75, and critical blights score &lt;= 40.</w:t>
      </w:r>
    </w:p>
    <w:p>
      <w:pPr>
        <w:keepNext/>
        <w:spacing w:before="280" w:after="80"/>
      </w:pPr>
      <w:r>
        <w:rPr>
          <w:rFonts w:ascii="Calibri" w:hAnsi="Calibri"/>
          <w:b/>
          <w:color w:val="2E7D32"/>
          <w:sz w:val="28"/>
        </w:rPr>
        <w:t>6.5 Supported Pathology Knowledge Base (10 Foliar Classes)</w:t>
      </w:r>
    </w:p>
    <w:p>
      <w:pPr>
        <w:spacing w:before="0" w:after="120" w:line="276" w:lineRule="auto"/>
      </w:pPr>
      <w:r>
        <w:rPr>
          <w:rFonts w:ascii="Calibri" w:hAnsi="Calibri"/>
          <w:color w:val="263238"/>
          <w:sz w:val="21"/>
        </w:rPr>
        <w:t>The system incorporates complete phytopathological data for all 10 classes in disease_info.py: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584"/>
        <w:gridCol w:w="1728"/>
        <w:gridCol w:w="1008"/>
        <w:gridCol w:w="1008"/>
        <w:gridCol w:w="1728"/>
        <w:gridCol w:w="1872"/>
        <w:gridCol w:w="1872"/>
      </w:tblGrid>
      <w:tr>
        <w:tc>
          <w:tcPr>
            <w:tcW w:type="dxa" w:w="1337"/>
            <w:tcMar>
              <w:top w:w="120" w:type="dxa"/>
              <w:bottom w:w="120" w:type="dxa"/>
              <w:left w:w="160" w:type="dxa"/>
              <w:right w:w="160" w:type="dxa"/>
            </w:tcMar>
            <w:shd w:fill="1B5E20"/>
          </w:tcPr>
          <w:p>
            <w:pPr>
              <w:spacing w:before="60" w:after="60"/>
            </w:pPr>
            <w:r>
              <w:rPr>
                <w:rFonts w:ascii="Calibri" w:hAnsi="Calibri"/>
                <w:b/>
                <w:color w:val="FFFFFF"/>
                <w:sz w:val="20"/>
              </w:rPr>
              <w:t>Disease Name</w:t>
            </w:r>
          </w:p>
        </w:tc>
        <w:tc>
          <w:tcPr>
            <w:tcW w:type="dxa" w:w="1337"/>
            <w:tcMar>
              <w:top w:w="120" w:type="dxa"/>
              <w:bottom w:w="120" w:type="dxa"/>
              <w:left w:w="160" w:type="dxa"/>
              <w:right w:w="160" w:type="dxa"/>
            </w:tcMar>
            <w:shd w:fill="1B5E20"/>
          </w:tcPr>
          <w:p>
            <w:pPr>
              <w:spacing w:before="60" w:after="60"/>
            </w:pPr>
            <w:r>
              <w:rPr>
                <w:rFonts w:ascii="Calibri" w:hAnsi="Calibri"/>
                <w:b/>
                <w:color w:val="FFFFFF"/>
                <w:sz w:val="20"/>
              </w:rPr>
              <w:t>Scientific Pathogen</w:t>
            </w:r>
          </w:p>
        </w:tc>
        <w:tc>
          <w:tcPr>
            <w:tcW w:type="dxa" w:w="1337"/>
            <w:tcMar>
              <w:top w:w="120" w:type="dxa"/>
              <w:bottom w:w="120" w:type="dxa"/>
              <w:left w:w="160" w:type="dxa"/>
              <w:right w:w="160" w:type="dxa"/>
            </w:tcMar>
            <w:shd w:fill="1B5E20"/>
          </w:tcPr>
          <w:p>
            <w:pPr>
              <w:spacing w:before="60" w:after="60"/>
            </w:pPr>
            <w:r>
              <w:rPr>
                <w:rFonts w:ascii="Calibri" w:hAnsi="Calibri"/>
                <w:b/>
                <w:color w:val="FFFFFF"/>
                <w:sz w:val="20"/>
              </w:rPr>
              <w:t>Type</w:t>
            </w:r>
          </w:p>
        </w:tc>
        <w:tc>
          <w:tcPr>
            <w:tcW w:type="dxa" w:w="1337"/>
            <w:tcMar>
              <w:top w:w="120" w:type="dxa"/>
              <w:bottom w:w="120" w:type="dxa"/>
              <w:left w:w="160" w:type="dxa"/>
              <w:right w:w="160" w:type="dxa"/>
            </w:tcMar>
            <w:shd w:fill="1B5E20"/>
          </w:tcPr>
          <w:p>
            <w:pPr>
              <w:spacing w:before="60" w:after="60"/>
            </w:pPr>
            <w:r>
              <w:rPr>
                <w:rFonts w:ascii="Calibri" w:hAnsi="Calibri"/>
                <w:b/>
                <w:color w:val="FFFFFF"/>
                <w:sz w:val="20"/>
              </w:rPr>
              <w:t>Severity</w:t>
            </w:r>
          </w:p>
        </w:tc>
        <w:tc>
          <w:tcPr>
            <w:tcW w:type="dxa" w:w="1337"/>
            <w:tcMar>
              <w:top w:w="120" w:type="dxa"/>
              <w:bottom w:w="120" w:type="dxa"/>
              <w:left w:w="160" w:type="dxa"/>
              <w:right w:w="160" w:type="dxa"/>
            </w:tcMar>
            <w:shd w:fill="1B5E20"/>
          </w:tcPr>
          <w:p>
            <w:pPr>
              <w:spacing w:before="60" w:after="60"/>
            </w:pPr>
            <w:r>
              <w:rPr>
                <w:rFonts w:ascii="Calibri" w:hAnsi="Calibri"/>
                <w:b/>
                <w:color w:val="FFFFFF"/>
                <w:sz w:val="20"/>
              </w:rPr>
              <w:t>Primary Symptoms</w:t>
            </w:r>
          </w:p>
        </w:tc>
        <w:tc>
          <w:tcPr>
            <w:tcW w:type="dxa" w:w="1337"/>
            <w:tcMar>
              <w:top w:w="120" w:type="dxa"/>
              <w:bottom w:w="120" w:type="dxa"/>
              <w:left w:w="160" w:type="dxa"/>
              <w:right w:w="160" w:type="dxa"/>
            </w:tcMar>
            <w:shd w:fill="1B5E20"/>
          </w:tcPr>
          <w:p>
            <w:pPr>
              <w:spacing w:before="60" w:after="60"/>
            </w:pPr>
            <w:r>
              <w:rPr>
                <w:rFonts w:ascii="Calibri" w:hAnsi="Calibri"/>
                <w:b/>
                <w:color w:val="FFFFFF"/>
                <w:sz w:val="20"/>
              </w:rPr>
              <w:t>Chemical / Bio Rx</w:t>
            </w:r>
          </w:p>
        </w:tc>
        <w:tc>
          <w:tcPr>
            <w:tcW w:type="dxa" w:w="1337"/>
            <w:tcMar>
              <w:top w:w="120" w:type="dxa"/>
              <w:bottom w:w="120" w:type="dxa"/>
              <w:left w:w="160" w:type="dxa"/>
              <w:right w:w="160" w:type="dxa"/>
            </w:tcMar>
            <w:shd w:fill="1B5E20"/>
          </w:tcPr>
          <w:p>
            <w:pPr>
              <w:spacing w:before="60" w:after="60"/>
            </w:pPr>
            <w:r>
              <w:rPr>
                <w:rFonts w:ascii="Calibri" w:hAnsi="Calibri"/>
                <w:b/>
                <w:color w:val="FFFFFF"/>
                <w:sz w:val="20"/>
              </w:rPr>
              <w:t>Cultural Prevention</w:t>
            </w:r>
          </w:p>
        </w:tc>
      </w:tr>
      <w:tr>
        <w:tc>
          <w:tcPr>
            <w:tcW w:type="dxa" w:w="1337"/>
            <w:tcMar>
              <w:top w:w="120" w:type="dxa"/>
              <w:bottom w:w="120" w:type="dxa"/>
              <w:left w:w="160" w:type="dxa"/>
              <w:right w:w="160" w:type="dxa"/>
            </w:tcMar>
            <w:shd w:fill="FFFFFF"/>
          </w:tcPr>
          <w:p>
            <w:pPr>
              <w:spacing w:before="40" w:after="40"/>
            </w:pPr>
            <w:r>
              <w:rPr>
                <w:rFonts w:ascii="Calibri" w:hAnsi="Calibri"/>
                <w:color w:val="263238"/>
                <w:sz w:val="19"/>
              </w:rPr>
              <w:t>Bacterial Spot</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Xanthomonas perforans / euvesicatoria</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Bacterial</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High</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Small dark water-soaked spots with yellow halos; fruit scabs.</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Copper Oxychloride + Mancozeb; Streptomycin (where authorized).</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Prune lower leaves; avoid overhead sprinklers; use disease-free seed.</w:t>
            </w:r>
          </w:p>
        </w:tc>
      </w:tr>
      <w:tr>
        <w:tc>
          <w:tcPr>
            <w:tcW w:type="dxa" w:w="1337"/>
            <w:tcMar>
              <w:top w:w="120" w:type="dxa"/>
              <w:bottom w:w="120" w:type="dxa"/>
              <w:left w:w="160" w:type="dxa"/>
              <w:right w:w="160" w:type="dxa"/>
            </w:tcMar>
            <w:shd w:fill="F9FBF9"/>
          </w:tcPr>
          <w:p>
            <w:pPr>
              <w:spacing w:before="40" w:after="40"/>
            </w:pPr>
            <w:r>
              <w:rPr>
                <w:rFonts w:ascii="Calibri" w:hAnsi="Calibri"/>
                <w:color w:val="263238"/>
                <w:sz w:val="19"/>
              </w:rPr>
              <w:t>Early Blight</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Alternaria solani</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Fungal</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Med-High</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Concentric dark rings in 'target board' pattern on older lower leaves.</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Chlorothalonil 75% WP; Azoxystrobin 23% SC; Difenoconazole.</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Mulch plant base; prune lower 30cm suckers; 3-year crop rotation.</w:t>
            </w:r>
          </w:p>
        </w:tc>
      </w:tr>
      <w:tr>
        <w:tc>
          <w:tcPr>
            <w:tcW w:type="dxa" w:w="1337"/>
            <w:tcMar>
              <w:top w:w="120" w:type="dxa"/>
              <w:bottom w:w="120" w:type="dxa"/>
              <w:left w:w="160" w:type="dxa"/>
              <w:right w:w="160" w:type="dxa"/>
            </w:tcMar>
            <w:shd w:fill="FFFFFF"/>
          </w:tcPr>
          <w:p>
            <w:pPr>
              <w:spacing w:before="40" w:after="40"/>
            </w:pPr>
            <w:r>
              <w:rPr>
                <w:rFonts w:ascii="Calibri" w:hAnsi="Calibri"/>
                <w:color w:val="263238"/>
                <w:sz w:val="19"/>
              </w:rPr>
              <w:t>Late Blight</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Phytophthora infestans</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Oomycete</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Critical</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Rapidly expanding water-soaked dark lesions; white fungal fuzz under leaf.</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Metalaxyl + Mancozeb (Ridomil MZ); Dimethomorph; Cymoxanil.</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Emergency burial of infected plants; plant resistant hybrids; avoid wet foliage.</w:t>
            </w:r>
          </w:p>
        </w:tc>
      </w:tr>
      <w:tr>
        <w:tc>
          <w:tcPr>
            <w:tcW w:type="dxa" w:w="1337"/>
            <w:tcMar>
              <w:top w:w="120" w:type="dxa"/>
              <w:bottom w:w="120" w:type="dxa"/>
              <w:left w:w="160" w:type="dxa"/>
              <w:right w:w="160" w:type="dxa"/>
            </w:tcMar>
            <w:shd w:fill="F9FBF9"/>
          </w:tcPr>
          <w:p>
            <w:pPr>
              <w:spacing w:before="40" w:after="40"/>
            </w:pPr>
            <w:r>
              <w:rPr>
                <w:rFonts w:ascii="Calibri" w:hAnsi="Calibri"/>
                <w:color w:val="263238"/>
                <w:sz w:val="19"/>
              </w:rPr>
              <w:t>Leaf Mold</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Passalora fulva</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Fungal</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Medium</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Pale yellow spots on leaf surface; olive-green velvety mold underneath.</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Potassium bicarbonate; Copper fungicides; Difenoconazole.</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Reduce greenhouse humidity below 80%; improve cross-ventilation.</w:t>
            </w:r>
          </w:p>
        </w:tc>
      </w:tr>
      <w:tr>
        <w:tc>
          <w:tcPr>
            <w:tcW w:type="dxa" w:w="1337"/>
            <w:tcMar>
              <w:top w:w="120" w:type="dxa"/>
              <w:bottom w:w="120" w:type="dxa"/>
              <w:left w:w="160" w:type="dxa"/>
              <w:right w:w="160" w:type="dxa"/>
            </w:tcMar>
            <w:shd w:fill="FFFFFF"/>
          </w:tcPr>
          <w:p>
            <w:pPr>
              <w:spacing w:before="40" w:after="40"/>
            </w:pPr>
            <w:r>
              <w:rPr>
                <w:rFonts w:ascii="Calibri" w:hAnsi="Calibri"/>
                <w:color w:val="263238"/>
                <w:sz w:val="19"/>
              </w:rPr>
              <w:t>Septoria Leaf Spot</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Septoria lycopersici</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Fungal</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Medium</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Numerous small circular spots (2-3mm) with dark margins and gray centers.</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Copper Hydroxide; Mancozeb 75% WP; Chlorothalonil.</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Deep mulching; drip irrigation; remove infected bottom leaves promptly.</w:t>
            </w:r>
          </w:p>
        </w:tc>
      </w:tr>
      <w:tr>
        <w:tc>
          <w:tcPr>
            <w:tcW w:type="dxa" w:w="1337"/>
            <w:tcMar>
              <w:top w:w="120" w:type="dxa"/>
              <w:bottom w:w="120" w:type="dxa"/>
              <w:left w:w="160" w:type="dxa"/>
              <w:right w:w="160" w:type="dxa"/>
            </w:tcMar>
            <w:shd w:fill="F9FBF9"/>
          </w:tcPr>
          <w:p>
            <w:pPr>
              <w:spacing w:before="40" w:after="40"/>
            </w:pPr>
            <w:r>
              <w:rPr>
                <w:rFonts w:ascii="Calibri" w:hAnsi="Calibri"/>
                <w:color w:val="263238"/>
                <w:sz w:val="19"/>
              </w:rPr>
              <w:t>Two-Spotted Spider Mite</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Tetranychus urticae</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Arachnid Pest</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Med-High</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Fine yellow stippling/bronzing on leaves; delicate webbing on undersides.</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Abamectin 1.9% EC; Spiromesifen; Insecticidal soap / Neem oil.</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Overhead misting to raise humidity; release predatory Phytoseiidae mites.</w:t>
            </w:r>
          </w:p>
        </w:tc>
      </w:tr>
      <w:tr>
        <w:tc>
          <w:tcPr>
            <w:tcW w:type="dxa" w:w="1337"/>
            <w:tcMar>
              <w:top w:w="120" w:type="dxa"/>
              <w:bottom w:w="120" w:type="dxa"/>
              <w:left w:w="160" w:type="dxa"/>
              <w:right w:w="160" w:type="dxa"/>
            </w:tcMar>
            <w:shd w:fill="FFFFFF"/>
          </w:tcPr>
          <w:p>
            <w:pPr>
              <w:spacing w:before="40" w:after="40"/>
            </w:pPr>
            <w:r>
              <w:rPr>
                <w:rFonts w:ascii="Calibri" w:hAnsi="Calibri"/>
                <w:color w:val="263238"/>
                <w:sz w:val="19"/>
              </w:rPr>
              <w:t>Target Spot</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Corynespora cassiicola</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Fungal</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Medium</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Circular brown lesions with light brown centers; necrotic leaf shriveling.</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Azoxystrobin; Pyraclostrobin; Mancozeb protectant sprays.</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Trellising plants off ground; adequate row spacing (60cm+); weed removal.</w:t>
            </w:r>
          </w:p>
        </w:tc>
      </w:tr>
      <w:tr>
        <w:tc>
          <w:tcPr>
            <w:tcW w:type="dxa" w:w="1337"/>
            <w:tcMar>
              <w:top w:w="120" w:type="dxa"/>
              <w:bottom w:w="120" w:type="dxa"/>
              <w:left w:w="160" w:type="dxa"/>
              <w:right w:w="160" w:type="dxa"/>
            </w:tcMar>
            <w:shd w:fill="F9FBF9"/>
          </w:tcPr>
          <w:p>
            <w:pPr>
              <w:spacing w:before="40" w:after="40"/>
            </w:pPr>
            <w:r>
              <w:rPr>
                <w:rFonts w:ascii="Calibri" w:hAnsi="Calibri"/>
                <w:color w:val="263238"/>
                <w:sz w:val="19"/>
              </w:rPr>
              <w:t>Tomato Yellow Leaf Curl</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Begomovirus (Whitefly)</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Viral</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Critical</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Severe upward leaf curling, cupping, stunted growth, flower abortion.</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No cure once infected; target vector with Imidacloprid or Thiamethoxam.</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Yellow sticky traps; insect-proof netting (50 mesh); rogue infected plants.</w:t>
            </w:r>
          </w:p>
        </w:tc>
      </w:tr>
      <w:tr>
        <w:tc>
          <w:tcPr>
            <w:tcW w:type="dxa" w:w="1337"/>
            <w:tcMar>
              <w:top w:w="120" w:type="dxa"/>
              <w:bottom w:w="120" w:type="dxa"/>
              <w:left w:w="160" w:type="dxa"/>
              <w:right w:w="160" w:type="dxa"/>
            </w:tcMar>
            <w:shd w:fill="FFFFFF"/>
          </w:tcPr>
          <w:p>
            <w:pPr>
              <w:spacing w:before="40" w:after="40"/>
            </w:pPr>
            <w:r>
              <w:rPr>
                <w:rFonts w:ascii="Calibri" w:hAnsi="Calibri"/>
                <w:color w:val="263238"/>
                <w:sz w:val="19"/>
              </w:rPr>
              <w:t>Tomato Mosaic Virus</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Tobamovirus (ToMV)</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Viral</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High</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Mottled light and dark green mosaic pattern; fern-leaf deformation.</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No chemical cure; spray skimmed milk during handling to neutralize.</w:t>
            </w:r>
          </w:p>
        </w:tc>
        <w:tc>
          <w:tcPr>
            <w:tcW w:type="dxa" w:w="1337"/>
            <w:tcMar>
              <w:top w:w="120" w:type="dxa"/>
              <w:bottom w:w="120" w:type="dxa"/>
              <w:left w:w="160" w:type="dxa"/>
              <w:right w:w="160" w:type="dxa"/>
            </w:tcMar>
            <w:shd w:fill="FFFFFF"/>
          </w:tcPr>
          <w:p>
            <w:pPr>
              <w:spacing w:before="40" w:after="40"/>
            </w:pPr>
            <w:r>
              <w:rPr>
                <w:rFonts w:ascii="Calibri" w:hAnsi="Calibri"/>
                <w:color w:val="263238"/>
                <w:sz w:val="19"/>
              </w:rPr>
              <w:t>Sterilize tools in 10% bleach; ban tobacco smoking near tomato crop.</w:t>
            </w:r>
          </w:p>
        </w:tc>
      </w:tr>
      <w:tr>
        <w:tc>
          <w:tcPr>
            <w:tcW w:type="dxa" w:w="1337"/>
            <w:tcMar>
              <w:top w:w="120" w:type="dxa"/>
              <w:bottom w:w="120" w:type="dxa"/>
              <w:left w:w="160" w:type="dxa"/>
              <w:right w:w="160" w:type="dxa"/>
            </w:tcMar>
            <w:shd w:fill="F9FBF9"/>
          </w:tcPr>
          <w:p>
            <w:pPr>
              <w:spacing w:before="40" w:after="40"/>
            </w:pPr>
            <w:r>
              <w:rPr>
                <w:rFonts w:ascii="Calibri" w:hAnsi="Calibri"/>
                <w:color w:val="263238"/>
                <w:sz w:val="19"/>
              </w:rPr>
              <w:t>Healthy Tomato</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Solanum lycopersicum</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Healthy</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None</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Vibrant green, uniform leaf texture; robust turgidity; no lesions.</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No chemical treatment required; prophylactic neem oil spray (0.3%).</w:t>
            </w:r>
          </w:p>
        </w:tc>
        <w:tc>
          <w:tcPr>
            <w:tcW w:type="dxa" w:w="1337"/>
            <w:tcMar>
              <w:top w:w="120" w:type="dxa"/>
              <w:bottom w:w="120" w:type="dxa"/>
              <w:left w:w="160" w:type="dxa"/>
              <w:right w:w="160" w:type="dxa"/>
            </w:tcMar>
            <w:shd w:fill="F9FBF9"/>
          </w:tcPr>
          <w:p>
            <w:pPr>
              <w:spacing w:before="40" w:after="40"/>
            </w:pPr>
            <w:r>
              <w:rPr>
                <w:rFonts w:ascii="Calibri" w:hAnsi="Calibri"/>
                <w:color w:val="263238"/>
                <w:sz w:val="19"/>
              </w:rPr>
              <w:t>Maintain balanced N-P-K nutrition; regular drip irrigation; weed control.</w:t>
            </w:r>
          </w:p>
        </w:tc>
      </w:tr>
    </w:tbl>
    <w:p>
      <w:pPr>
        <w:spacing w:after="160"/>
      </w:pPr>
    </w:p>
    <w:p>
      <w:pPr>
        <w:keepNext/>
        <w:spacing w:before="280" w:after="80"/>
      </w:pPr>
      <w:r>
        <w:rPr>
          <w:rFonts w:ascii="Calibri" w:hAnsi="Calibri"/>
          <w:b/>
          <w:color w:val="2E7D32"/>
          <w:sz w:val="28"/>
        </w:rPr>
        <w:t>6.6 Multilingual Translation Engine (translation_service.py)</w:t>
      </w:r>
    </w:p>
    <w:p>
      <w:pPr>
        <w:spacing w:before="0" w:after="120" w:line="276" w:lineRule="auto"/>
      </w:pPr>
      <w:r>
        <w:rPr>
          <w:rFonts w:ascii="Calibri" w:hAnsi="Calibri"/>
          <w:color w:val="263238"/>
          <w:sz w:val="21"/>
        </w:rPr>
        <w:t>To empower non-English speaking farmers, TomatoGuard AI embeds an offline, zero-latency dictionary lookup engine supporting 10 major Indian languages: English (en), Kannada (kn), Hindi (hi), Telugu (te), Tamil (ta), Malayalam (ml), Marathi (mr), Bengali (bn), Gujarati (gu), and Punjabi (pa). The engine maintains curated, agriculturally accurate translations for all disease names, UI labels, treatment protocols, symptoms, and timeline milestones, eliminating awkward machine translation errors.</w:t>
      </w:r>
    </w:p>
    <w:p>
      <w:pPr>
        <w:keepNext/>
        <w:spacing w:before="280" w:after="80"/>
      </w:pPr>
      <w:r>
        <w:rPr>
          <w:rFonts w:ascii="Calibri" w:hAnsi="Calibri"/>
          <w:b/>
          <w:color w:val="2E7D32"/>
          <w:sz w:val="28"/>
        </w:rPr>
        <w:t>6.7 Contextual AI Agronomy Assistant (assistant_service.py &amp; genai_service.py)</w:t>
      </w:r>
    </w:p>
    <w:p>
      <w:pPr>
        <w:spacing w:before="0" w:after="120" w:line="276" w:lineRule="auto"/>
      </w:pPr>
      <w:r>
        <w:rPr>
          <w:rFonts w:ascii="Calibri" w:hAnsi="Calibri"/>
          <w:color w:val="263238"/>
          <w:sz w:val="21"/>
        </w:rPr>
        <w:t>The conversational assistant allows farmers to ask open-ended questions about their diagnosis. It features an intelligent dual-mode architecture:</w:t>
        <w:br/>
        <w:t>1. Cloud GenAI Provider: When an OPENAI_API_KEY, GEMINI_API_KEY, or generic GENAI_API_KEY is configured, questions are forwarded with full diagnostic context (crop, disease, confidence, symptoms).</w:t>
        <w:br/>
        <w:t>2. Grounded Local Fallback: If no API key is present or internet connectivity is disrupted, GenAIService activates its internal rule-based domain parser, recognizing queries on fertilizer, watering, spacing, sunlight, pruning, and disease prevention.</w:t>
      </w:r>
    </w:p>
    <w:p>
      <w:pPr>
        <w:keepNext/>
        <w:spacing w:before="360" w:after="120"/>
      </w:pPr>
      <w:r>
        <w:rPr>
          <w:rFonts w:ascii="Calibri" w:hAnsi="Calibri"/>
          <w:b/>
          <w:color w:val="1B5E20"/>
          <w:sz w:val="36"/>
        </w:rPr>
        <w:t>7. RESTful API Interface Specification</w:t>
      </w:r>
    </w:p>
    <w:p>
      <w:pPr>
        <w:spacing w:before="0" w:after="120" w:line="276" w:lineRule="auto"/>
      </w:pPr>
      <w:r>
        <w:rPr>
          <w:rFonts w:ascii="Calibri" w:hAnsi="Calibri"/>
          <w:color w:val="263238"/>
          <w:sz w:val="21"/>
        </w:rPr>
        <w:t>TomatoGuard AI exposes a clean, standardized RESTful interface for web clients, mobile apps, and drone telemetry integrations.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152"/>
        <w:gridCol w:w="2160"/>
        <w:gridCol w:w="2304"/>
        <w:gridCol w:w="2592"/>
        <w:gridCol w:w="2592"/>
      </w:tblGrid>
      <w:tr>
        <w:tc>
          <w:tcPr>
            <w:tcW w:type="dxa" w:w="1872"/>
            <w:tcMar>
              <w:top w:w="120" w:type="dxa"/>
              <w:bottom w:w="120" w:type="dxa"/>
              <w:left w:w="160" w:type="dxa"/>
              <w:right w:w="160" w:type="dxa"/>
            </w:tcMar>
            <w:shd w:fill="1B5E20"/>
          </w:tcPr>
          <w:p>
            <w:pPr>
              <w:spacing w:before="60" w:after="60"/>
            </w:pPr>
            <w:r>
              <w:rPr>
                <w:rFonts w:ascii="Calibri" w:hAnsi="Calibri"/>
                <w:b/>
                <w:color w:val="FFFFFF"/>
                <w:sz w:val="20"/>
              </w:rPr>
              <w:t>Method</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Endpoint Path</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Parameters / Request Payload</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Response Status &amp; Body</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Operational Description</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POST</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/api/predict</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file (UploadFile), target_language (str, form)</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200 OK: Full Diagnostic JSON (is_tomato, confidence, disease, treatments, action plan)</w:t>
              <w:br/>
              <w:t>400 Bad Request: Invalid format or quality check failed.</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Primary Two-Stage inference route. Runs quality check, Gate 1, Disease CNN, and vernacular translation.</w:t>
            </w:r>
          </w:p>
        </w:tc>
      </w:tr>
      <w:tr>
        <w:tc>
          <w:tcPr>
            <w:tcW w:type="dxa" w:w="1872"/>
            <w:tcMar>
              <w:top w:w="120" w:type="dxa"/>
              <w:bottom w:w="120" w:type="dxa"/>
              <w:left w:w="160" w:type="dxa"/>
              <w:right w:w="160" w:type="dxa"/>
            </w:tcMar>
            <w:shd w:fill="F9FBF9"/>
          </w:tcPr>
          <w:p>
            <w:pPr>
              <w:spacing w:before="40" w:after="40"/>
            </w:pPr>
            <w:r>
              <w:rPr>
                <w:rFonts w:ascii="Calibri" w:hAnsi="Calibri"/>
                <w:color w:val="263238"/>
                <w:sz w:val="19"/>
              </w:rPr>
              <w:t>POST</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/api/translate</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{"text": "Tomato Crop", "target_language": "hi"}</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200 OK: {"translated_text": "टमाटर की फसल", "target_language": "hi"}</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Translates arbitrary agricultural terms or sentences into any of the 10 supported regional languages.</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POST</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/api/assistant/ask</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{"query": "When to harvest?", "disease_context": "Tomato___Early_blight", "target_language": "en"}</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200 OK: {"query": "...", "response": "...", "context_disease": "Early Blight"}</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Contextual Q&amp;A agronomic assistant answering disease-specific questions.</w:t>
            </w:r>
          </w:p>
        </w:tc>
      </w:tr>
      <w:tr>
        <w:tc>
          <w:tcPr>
            <w:tcW w:type="dxa" w:w="1872"/>
            <w:tcMar>
              <w:top w:w="120" w:type="dxa"/>
              <w:bottom w:w="120" w:type="dxa"/>
              <w:left w:w="160" w:type="dxa"/>
              <w:right w:w="160" w:type="dxa"/>
            </w:tcMar>
            <w:shd w:fill="F9FBF9"/>
          </w:tcPr>
          <w:p>
            <w:pPr>
              <w:spacing w:before="40" w:after="40"/>
            </w:pPr>
            <w:r>
              <w:rPr>
                <w:rFonts w:ascii="Calibri" w:hAnsi="Calibri"/>
                <w:color w:val="263238"/>
                <w:sz w:val="19"/>
              </w:rPr>
              <w:t>GET</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/api/health</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None</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200 OK: {"status": "online", "stage1_gate_loaded": true, "stage2_disease_loaded": true, "supported_classes": 10}</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System telemetry and model readiness probe for load balancers and container monitors.</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GET</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/api/classes</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None</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200 OK: {"total": 10, "classes": [{"id": 0, "common_name": "Bacterial Spot", ...}]}</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Returns list of all 10 supported pathologies with symptoms and pathogen classifications.</w:t>
            </w:r>
          </w:p>
        </w:tc>
      </w:tr>
      <w:tr>
        <w:tc>
          <w:tcPr>
            <w:tcW w:type="dxa" w:w="1872"/>
            <w:tcMar>
              <w:top w:w="120" w:type="dxa"/>
              <w:bottom w:w="120" w:type="dxa"/>
              <w:left w:w="160" w:type="dxa"/>
              <w:right w:w="160" w:type="dxa"/>
            </w:tcMar>
            <w:shd w:fill="F9FBF9"/>
          </w:tcPr>
          <w:p>
            <w:pPr>
              <w:spacing w:before="40" w:after="40"/>
            </w:pPr>
            <w:r>
              <w:rPr>
                <w:rFonts w:ascii="Calibri" w:hAnsi="Calibri"/>
                <w:color w:val="263238"/>
                <w:sz w:val="19"/>
              </w:rPr>
              <w:t>GET</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/api/samples</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None</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200 OK: {"samples": [{"class_name": "...", "image_url": "/api/sample-image/..."}]}</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Lists sample test images available from validation split for one-click UI testing.</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GET</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/api/sample-image/{name}</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Path parameter: class_name (str)</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200 OK: Binary JPEG/PNG image stream</w:t>
              <w:br/>
              <w:t>404 Not Found: Class missing.</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Serves a benchmark validation sample image for specified disease category.</w:t>
            </w:r>
          </w:p>
        </w:tc>
      </w:tr>
      <w:tr>
        <w:tc>
          <w:tcPr>
            <w:tcW w:type="dxa" w:w="1872"/>
            <w:tcMar>
              <w:top w:w="120" w:type="dxa"/>
              <w:bottom w:w="120" w:type="dxa"/>
              <w:left w:w="160" w:type="dxa"/>
              <w:right w:w="160" w:type="dxa"/>
            </w:tcMar>
            <w:shd w:fill="F9FBF9"/>
          </w:tcPr>
          <w:p>
            <w:pPr>
              <w:spacing w:before="40" w:after="40"/>
            </w:pPr>
            <w:r>
              <w:rPr>
                <w:rFonts w:ascii="Calibri" w:hAnsi="Calibri"/>
                <w:color w:val="263238"/>
                <w:sz w:val="19"/>
              </w:rPr>
              <w:t>POST</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/api/auth/login</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{"username": "farmer1", "password": "..."}</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200 OK: {"success": true, "token": "...", "user": {"role": "Farmer"}}</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Authenticates farmer or agronomist session.</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POST</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/api/auth/signup</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{"fullname": "Ramesh", "username": "...", "farm_location": "Karnataka"}</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200 OK: {"success": true, "token": "...", "user": {...}}</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Registers a new farm profile with location and acreage.</w:t>
            </w:r>
          </w:p>
        </w:tc>
      </w:tr>
    </w:tbl>
    <w:p>
      <w:pPr>
        <w:spacing w:after="160"/>
      </w:pPr>
    </w:p>
    <w:p>
      <w:pPr>
        <w:keepNext/>
        <w:spacing w:before="360" w:after="120"/>
      </w:pPr>
      <w:r>
        <w:rPr>
          <w:rFonts w:ascii="Calibri" w:hAnsi="Calibri"/>
          <w:b/>
          <w:color w:val="1B5E20"/>
          <w:sz w:val="36"/>
        </w:rPr>
        <w:t>8. Machine Learning Pipeline, Datasets &amp; Model Training</w:t>
      </w:r>
    </w:p>
    <w:p>
      <w:pPr>
        <w:spacing w:before="0" w:after="120" w:line="276" w:lineRule="auto"/>
      </w:pPr>
      <w:r>
        <w:rPr>
          <w:rFonts w:ascii="Calibri" w:hAnsi="Calibri"/>
          <w:color w:val="263238"/>
          <w:sz w:val="21"/>
        </w:rPr>
        <w:t>The machine learning infrastructure is designed around transfer learning, domain adaptation, and post-training edge quantization. The models are trained on curated subsets of PlantVillage and balanced out-of-domain negative samples.</w:t>
      </w:r>
    </w:p>
    <w:p>
      <w:pPr>
        <w:keepNext/>
        <w:spacing w:before="280" w:after="80"/>
      </w:pPr>
      <w:r>
        <w:rPr>
          <w:rFonts w:ascii="Calibri" w:hAnsi="Calibri"/>
          <w:b/>
          <w:color w:val="2E7D32"/>
          <w:sz w:val="28"/>
        </w:rPr>
        <w:t>8.1 Stage 1 MobileNetV2 Gate Dataset &amp; Transfer Architecture</w:t>
      </w:r>
    </w:p>
    <w:p>
      <w:pPr>
        <w:spacing w:before="0" w:after="120" w:line="276" w:lineRule="auto"/>
      </w:pPr>
      <w:r>
        <w:rPr>
          <w:rFonts w:ascii="Calibri" w:hAnsi="Calibri"/>
          <w:color w:val="263238"/>
          <w:sz w:val="21"/>
        </w:rPr>
        <w:t>The Stage 1 Binary Gate is trained using a balanced dataset of 3,000 verified images:</w:t>
        <w:br/>
        <w:t>• Positive Class (tomato_leaf): 1,500 images representing all 10 healthy and diseased tomato foliar conditions.</w:t>
        <w:br/>
        <w:t>• Negative Class (not_tomato): 1,500 images comprising non-crop objects (cars, pedestrians, bicycles, buildings, roads, household pets), out-of-target crops (rice leaves, wheat, corn, grape, apple), and plain backgrounds.</w:t>
        <w:br/>
        <w:t>The model uses MobileNetV2 pre-trained on ImageNet as a feature extractor. The base layers are frozen, and a custom classification head (GlobalAveragePooling2D -&gt; Dropout(0.3) -&gt; Dense(128, ReLU) -&gt; Dropout(0.2) -&gt; Dense(1, Sigmoid)) is trained with Binary Crossentropy. In Phase 2, the top 30 layers are unfrozen and fine-tuned with a low learning rate (1e-5) using Adam optimizer.</w:t>
      </w:r>
    </w:p>
    <w:p>
      <w:pPr>
        <w:keepNext/>
        <w:spacing w:before="280" w:after="80"/>
      </w:pPr>
      <w:r>
        <w:rPr>
          <w:rFonts w:ascii="Calibri" w:hAnsi="Calibri"/>
          <w:b/>
          <w:color w:val="2E7D32"/>
          <w:sz w:val="28"/>
        </w:rPr>
        <w:t>8.2 Stage 2 Disease Pathology Architecture</w:t>
      </w:r>
    </w:p>
    <w:p>
      <w:pPr>
        <w:spacing w:before="0" w:after="120" w:line="276" w:lineRule="auto"/>
      </w:pPr>
      <w:r>
        <w:rPr>
          <w:rFonts w:ascii="Calibri" w:hAnsi="Calibri"/>
          <w:color w:val="263238"/>
          <w:sz w:val="21"/>
        </w:rPr>
        <w:t>Stage 2 uses a deep convolutional neural network trained on the 10-class PlantVillage tomato dataset. Data augmentation includes random horizontal/vertical flips, zoom (0.2), rotation (20 degrees), and brightness adjustment. Trained using Categorical Crossentropy and Adam optimizer with ReduceLROnPlateau and EarlyStopping callbacks.</w:t>
      </w:r>
    </w:p>
    <w:p>
      <w:pPr>
        <w:keepNext/>
        <w:spacing w:before="280" w:after="80"/>
      </w:pPr>
      <w:r>
        <w:rPr>
          <w:rFonts w:ascii="Calibri" w:hAnsi="Calibri"/>
          <w:b/>
          <w:color w:val="2E7D32"/>
          <w:sz w:val="28"/>
        </w:rPr>
        <w:t>8.3 Post-Training Quantization &amp; LiteRT Optimization</w:t>
      </w:r>
    </w:p>
    <w:p>
      <w:pPr>
        <w:spacing w:before="0" w:after="120" w:line="276" w:lineRule="auto"/>
      </w:pPr>
      <w:r>
        <w:rPr>
          <w:rFonts w:ascii="Calibri" w:hAnsi="Calibri"/>
          <w:color w:val="263238"/>
          <w:sz w:val="21"/>
        </w:rPr>
        <w:t>To enable deployment on resource-constrained servers and edge devices, both models undergo TFLite / LiteRT conversion: • Weight Quantization: Reduces precision from FP32 to optimized representations, decreasing disk footprint from 88MB to 8.9MB (Stage 1) and 12MB (Stage 2).</w:t>
        <w:br/>
        <w:t>• Memory Footprint: Peak runtime memory consumption is less than 120MB RAM, allowing execution on serverless micro-instances.</w:t>
      </w:r>
    </w:p>
    <w:p>
      <w:pPr>
        <w:keepNext/>
        <w:spacing w:before="360" w:after="120"/>
      </w:pPr>
      <w:r>
        <w:rPr>
          <w:rFonts w:ascii="Calibri" w:hAnsi="Calibri"/>
          <w:b/>
          <w:color w:val="1B5E20"/>
          <w:sz w:val="36"/>
        </w:rPr>
        <w:t>9. Verification, Validation &amp; Automated Testing Suite</w:t>
      </w:r>
    </w:p>
    <w:p>
      <w:pPr>
        <w:spacing w:before="0" w:after="120" w:line="276" w:lineRule="auto"/>
      </w:pPr>
      <w:r>
        <w:rPr>
          <w:rFonts w:ascii="Calibri" w:hAnsi="Calibri"/>
          <w:color w:val="263238"/>
          <w:sz w:val="21"/>
        </w:rPr>
        <w:t>TomatoGuard AI enforces a strict automated quality assurance suite (tests/run_all_tests.py) covering unit, integration, and out-of-domain rejection benchmarks.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152"/>
        <w:gridCol w:w="2592"/>
        <w:gridCol w:w="3168"/>
        <w:gridCol w:w="2592"/>
        <w:gridCol w:w="1296"/>
      </w:tblGrid>
      <w:tr>
        <w:tc>
          <w:tcPr>
            <w:tcW w:type="dxa" w:w="1872"/>
            <w:tcMar>
              <w:top w:w="120" w:type="dxa"/>
              <w:bottom w:w="120" w:type="dxa"/>
              <w:left w:w="160" w:type="dxa"/>
              <w:right w:w="160" w:type="dxa"/>
            </w:tcMar>
            <w:shd w:fill="1B5E20"/>
          </w:tcPr>
          <w:p>
            <w:pPr>
              <w:spacing w:before="60" w:after="60"/>
            </w:pPr>
            <w:r>
              <w:rPr>
                <w:rFonts w:ascii="Calibri" w:hAnsi="Calibri"/>
                <w:b/>
                <w:color w:val="FFFFFF"/>
                <w:sz w:val="20"/>
              </w:rPr>
              <w:t>Test ID</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Test Suite Name</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Test Procedure &amp; Scope</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Execution Output / Metric</w:t>
            </w:r>
          </w:p>
        </w:tc>
        <w:tc>
          <w:tcPr>
            <w:tcW w:type="dxa" w:w="1872"/>
            <w:tcMar>
              <w:top w:w="120" w:type="dxa"/>
              <w:bottom w:w="120" w:type="dxa"/>
              <w:left w:w="160" w:type="dxa"/>
              <w:right w:w="160" w:type="dxa"/>
            </w:tcMar>
            <w:shd w:fill="1B5E20"/>
          </w:tcPr>
          <w:p>
            <w:pPr>
              <w:spacing w:before="60" w:after="60"/>
            </w:pPr>
            <w:r>
              <w:rPr>
                <w:rFonts w:ascii="Calibri" w:hAnsi="Calibri"/>
                <w:b/>
                <w:color w:val="FFFFFF"/>
                <w:sz w:val="20"/>
              </w:rPr>
              <w:t>Result</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Test 1</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Stage 1 Binary Gate Model Loading</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Verifies MobileNetV2 LiteRT interpreter initializes and allocates tensors.</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Interpreter active, input (1, 224, 224, 3), threshold = 0.75</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PASSED</w:t>
            </w:r>
          </w:p>
        </w:tc>
      </w:tr>
      <w:tr>
        <w:tc>
          <w:tcPr>
            <w:tcW w:type="dxa" w:w="1872"/>
            <w:tcMar>
              <w:top w:w="120" w:type="dxa"/>
              <w:bottom w:w="120" w:type="dxa"/>
              <w:left w:w="160" w:type="dxa"/>
              <w:right w:w="160" w:type="dxa"/>
            </w:tcMar>
            <w:shd w:fill="F9FBF9"/>
          </w:tcPr>
          <w:p>
            <w:pPr>
              <w:spacing w:before="40" w:after="40"/>
            </w:pPr>
            <w:r>
              <w:rPr>
                <w:rFonts w:ascii="Calibri" w:hAnsi="Calibri"/>
                <w:color w:val="263238"/>
                <w:sz w:val="19"/>
              </w:rPr>
              <w:t>Test 2</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Stage 2 Disease Classifier Model Loading</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Verifies 10-class foliar LiteRT interpreter initializes and output dimension is (1, 10).</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Interpreter active, output tensor allocated</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PASSED</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Test 3</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Non-Tomato Zero-Tolerance Rejection Suite</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Feeds 20 diverse non-tomato benchmark images (cars, people, animals, other crops) to Stage 1.</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20/20 Rejected (100.0% Rejection Rate, 0 Leaks)</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PASSED</w:t>
            </w:r>
          </w:p>
        </w:tc>
      </w:tr>
      <w:tr>
        <w:tc>
          <w:tcPr>
            <w:tcW w:type="dxa" w:w="1872"/>
            <w:tcMar>
              <w:top w:w="120" w:type="dxa"/>
              <w:bottom w:w="120" w:type="dxa"/>
              <w:left w:w="160" w:type="dxa"/>
              <w:right w:w="160" w:type="dxa"/>
            </w:tcMar>
            <w:shd w:fill="F9FBF9"/>
          </w:tcPr>
          <w:p>
            <w:pPr>
              <w:spacing w:before="40" w:after="40"/>
            </w:pPr>
            <w:r>
              <w:rPr>
                <w:rFonts w:ascii="Calibri" w:hAnsi="Calibri"/>
                <w:color w:val="263238"/>
                <w:sz w:val="19"/>
              </w:rPr>
              <w:t>Test 4</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Real Tomato Leaf Acceptance Suite</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Feeds 20 verified tomato leaves (healthy and diseased) to Stage 1 Gate.</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20/20 Accepted (100.0% Acceptance Rate)</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PASSED</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Test 5</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Image Quality Assessment Gate</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Feeds a pure black (0,0,0) underexposed image to quality service.</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Rejected (brightness = 0.0 &lt; 15.0 threshold)</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PASSED</w:t>
            </w:r>
          </w:p>
        </w:tc>
      </w:tr>
      <w:tr>
        <w:tc>
          <w:tcPr>
            <w:tcW w:type="dxa" w:w="1872"/>
            <w:tcMar>
              <w:top w:w="120" w:type="dxa"/>
              <w:bottom w:w="120" w:type="dxa"/>
              <w:left w:w="160" w:type="dxa"/>
              <w:right w:w="160" w:type="dxa"/>
            </w:tcMar>
            <w:shd w:fill="F9FBF9"/>
          </w:tcPr>
          <w:p>
            <w:pPr>
              <w:spacing w:before="40" w:after="40"/>
            </w:pPr>
            <w:r>
              <w:rPr>
                <w:rFonts w:ascii="Calibri" w:hAnsi="Calibri"/>
                <w:color w:val="263238"/>
                <w:sz w:val="19"/>
              </w:rPr>
              <w:t>Test 6</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Multilingual Translation Engine</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Tests dictionary localization into Hindi and Kannada.</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Hindi: 'टोमेटोगार्ड एआई', Kannada: 'ಟೊಮೆಟೊಗಾರ್ಡ್ ಎಐ'</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PASSED</w:t>
            </w:r>
          </w:p>
        </w:tc>
      </w:tr>
      <w:tr>
        <w:tc>
          <w:tcPr>
            <w:tcW w:type="dxa" w:w="1872"/>
            <w:tcMar>
              <w:top w:w="120" w:type="dxa"/>
              <w:bottom w:w="120" w:type="dxa"/>
              <w:left w:w="160" w:type="dxa"/>
              <w:right w:w="160" w:type="dxa"/>
            </w:tcMar>
            <w:shd w:fill="FFFFFF"/>
          </w:tcPr>
          <w:p>
            <w:pPr>
              <w:spacing w:before="40" w:after="40"/>
            </w:pPr>
            <w:r>
              <w:rPr>
                <w:rFonts w:ascii="Calibri" w:hAnsi="Calibri"/>
                <w:color w:val="263238"/>
                <w:sz w:val="19"/>
              </w:rPr>
              <w:t>Test 7</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Ask TomatoGuard Contextual AI Assistant</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Submits query 'How to prevent Early Blight?' with disease context.</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Detailed agronomic response generated (&gt;150 chars)</w:t>
            </w:r>
          </w:p>
        </w:tc>
        <w:tc>
          <w:tcPr>
            <w:tcW w:type="dxa" w:w="1872"/>
            <w:tcMar>
              <w:top w:w="120" w:type="dxa"/>
              <w:bottom w:w="120" w:type="dxa"/>
              <w:left w:w="160" w:type="dxa"/>
              <w:right w:w="160" w:type="dxa"/>
            </w:tcMar>
            <w:shd w:fill="FFFFFF"/>
          </w:tcPr>
          <w:p>
            <w:pPr>
              <w:spacing w:before="40" w:after="40"/>
            </w:pPr>
            <w:r>
              <w:rPr>
                <w:rFonts w:ascii="Calibri" w:hAnsi="Calibri"/>
                <w:color w:val="263238"/>
                <w:sz w:val="19"/>
              </w:rPr>
              <w:t>PASSED</w:t>
            </w:r>
          </w:p>
        </w:tc>
      </w:tr>
      <w:tr>
        <w:tc>
          <w:tcPr>
            <w:tcW w:type="dxa" w:w="1872"/>
            <w:tcMar>
              <w:top w:w="120" w:type="dxa"/>
              <w:bottom w:w="120" w:type="dxa"/>
              <w:left w:w="160" w:type="dxa"/>
              <w:right w:w="160" w:type="dxa"/>
            </w:tcMar>
            <w:shd w:fill="F9FBF9"/>
          </w:tcPr>
          <w:p>
            <w:pPr>
              <w:spacing w:before="40" w:after="40"/>
            </w:pPr>
            <w:r>
              <w:rPr>
                <w:rFonts w:ascii="Calibri" w:hAnsi="Calibri"/>
                <w:color w:val="263238"/>
                <w:sz w:val="19"/>
              </w:rPr>
              <w:t>Test 8</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Crop Health Score Logic Verification</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Tests healthy leaf score (expected &gt;= 80) vs Late Blight score (expected &lt;= 60).</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Healthy: 97/100, Late Blight: 41/100</w:t>
            </w:r>
          </w:p>
        </w:tc>
        <w:tc>
          <w:tcPr>
            <w:tcW w:type="dxa" w:w="1872"/>
            <w:tcMar>
              <w:top w:w="120" w:type="dxa"/>
              <w:bottom w:w="120" w:type="dxa"/>
              <w:left w:w="160" w:type="dxa"/>
              <w:right w:w="160" w:type="dxa"/>
            </w:tcMar>
            <w:shd w:fill="F9FBF9"/>
          </w:tcPr>
          <w:p>
            <w:pPr>
              <w:spacing w:before="40" w:after="40"/>
            </w:pPr>
            <w:r>
              <w:rPr>
                <w:rFonts w:ascii="Calibri" w:hAnsi="Calibri"/>
                <w:color w:val="263238"/>
                <w:sz w:val="19"/>
              </w:rPr>
              <w:t>PASSED</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1F8E9"/>
            <w:tcMar>
              <w:top w:w="140" w:type="dxa"/>
              <w:bottom w:w="140" w:type="dxa"/>
              <w:left w:w="200" w:type="dxa"/>
              <w:right w:w="200" w:type="dxa"/>
            </w:tcMar>
            <w:tcBorders>
              <w:left w:val="single" w:sz="24" w:space="0" w:color="2E7D32"/>
              <w:top w:val="none"/>
              <w:right w:val="none"/>
              <w:bottom w:val="none"/>
            </w:tcBorders>
          </w:tcPr>
          <w:p>
            <w:pPr>
              <w:spacing w:before="40" w:after="80"/>
            </w:pPr>
            <w:r>
              <w:rPr>
                <w:rFonts w:ascii="Calibri" w:hAnsi="Calibri"/>
                <w:b/>
                <w:color w:val="2E7D32"/>
                <w:sz w:val="20"/>
              </w:rPr>
              <w:t xml:space="preserve">📌 TEST VERIFICATION SUMMARY: </w:t>
            </w:r>
            <w:r>
              <w:rPr>
                <w:rFonts w:ascii="Calibri" w:hAnsi="Calibri"/>
                <w:color w:val="263238"/>
                <w:sz w:val="19"/>
              </w:rPr>
              <w:t>Automated Test Suite Status: 8/8 Tests Passing (100.0% Pass Rate). The system completely passes all regression benchmarks and satisfies all non-functional requirements.</w:t>
            </w:r>
          </w:p>
        </w:tc>
      </w:tr>
    </w:tbl>
    <w:p>
      <w:pPr>
        <w:spacing w:after="120"/>
      </w:pPr>
    </w:p>
    <w:p>
      <w:pPr>
        <w:keepNext/>
        <w:spacing w:before="360" w:after="120"/>
      </w:pPr>
      <w:r>
        <w:rPr>
          <w:rFonts w:ascii="Calibri" w:hAnsi="Calibri"/>
          <w:b/>
          <w:color w:val="1B5E20"/>
          <w:sz w:val="36"/>
        </w:rPr>
        <w:t>10. Deployment Topology, Operations &amp; User Execution Guide</w:t>
      </w:r>
    </w:p>
    <w:p>
      <w:pPr>
        <w:spacing w:before="0" w:after="120" w:line="276" w:lineRule="auto"/>
      </w:pPr>
      <w:r>
        <w:rPr>
          <w:rFonts w:ascii="Calibri" w:hAnsi="Calibri"/>
          <w:color w:val="263238"/>
          <w:sz w:val="21"/>
        </w:rPr>
        <w:t>TomatoGuard AI is architected for immediate execution across desktop workstations, edge farm hubs, and cloud serverless platforms.</w:t>
      </w:r>
    </w:p>
    <w:p>
      <w:pPr>
        <w:keepNext/>
        <w:spacing w:before="280" w:after="80"/>
      </w:pPr>
      <w:r>
        <w:rPr>
          <w:rFonts w:ascii="Calibri" w:hAnsi="Calibri"/>
          <w:b/>
          <w:color w:val="2E7D32"/>
          <w:sz w:val="28"/>
        </w:rPr>
        <w:t>10.1 Running Locally on Windows / Linux</w:t>
      </w:r>
    </w:p>
    <w:p>
      <w:pPr>
        <w:spacing w:before="0" w:after="120" w:line="276" w:lineRule="auto"/>
      </w:pPr>
      <w:r>
        <w:rPr>
          <w:rFonts w:ascii="Calibri" w:hAnsi="Calibri"/>
          <w:color w:val="263238"/>
          <w:sz w:val="21"/>
        </w:rPr>
        <w:t>To start the unified backend and frontend server:</w:t>
        <w:br/>
        <w:t>PowerShell / Command Prompt:</w:t>
        <w:br/>
        <w:t xml:space="preserve">  &amp; "d:\tomato_crop_project\tomato_crop\tomato-ai-system\venv\Scripts\python.exe" run_app.py</w:t>
        <w:br/>
        <w:br/>
        <w:t>Or double-click the one-click batch launcher:</w:t>
        <w:br/>
        <w:t xml:space="preserve">  run_tomatoguard.bat</w:t>
        <w:br/>
        <w:br/>
        <w:t>Service Endpoints:</w:t>
        <w:br/>
        <w:t>• Web User Interface: http://localhost:8000</w:t>
        <w:br/>
        <w:t>• Interactive Swagger API Docs: http://localhost:8000/docs</w:t>
        <w:br/>
        <w:t>• Alternative ReDoc Documentation: http://localhost:8000/redoc</w:t>
        <w:br/>
        <w:t>• Health &amp; Telemetry Status: http://localhost:8000/api/health</w:t>
      </w:r>
    </w:p>
    <w:p>
      <w:pPr>
        <w:keepNext/>
        <w:spacing w:before="280" w:after="80"/>
      </w:pPr>
      <w:r>
        <w:rPr>
          <w:rFonts w:ascii="Calibri" w:hAnsi="Calibri"/>
          <w:b/>
          <w:color w:val="2E7D32"/>
          <w:sz w:val="28"/>
        </w:rPr>
        <w:t>10.2 Cloud Deployment Configurations</w:t>
      </w:r>
    </w:p>
    <w:p>
      <w:pPr>
        <w:spacing w:before="0" w:after="120" w:line="276" w:lineRule="auto"/>
      </w:pPr>
      <w:r>
        <w:rPr>
          <w:rFonts w:ascii="Calibri" w:hAnsi="Calibri"/>
          <w:color w:val="263238"/>
          <w:sz w:val="21"/>
        </w:rPr>
        <w:t>The codebase includes pre-configured deployment definitions:</w:t>
        <w:br/>
        <w:t>• Render Cloud (render.yaml): Configured as a Python web service using Uvicorn ASGI server with automatic health checks.</w:t>
        <w:br/>
        <w:t>• Vercel Serverless (vercel.json): Configured with @vercel/python builder routing all API traffic to backend/app/main.py.</w:t>
      </w:r>
    </w:p>
    <w:p>
      <w:pPr>
        <w:keepNext/>
        <w:spacing w:before="360" w:after="120"/>
      </w:pPr>
      <w:r>
        <w:rPr>
          <w:rFonts w:ascii="Calibri" w:hAnsi="Calibri"/>
          <w:b/>
          <w:color w:val="1B5E20"/>
          <w:sz w:val="36"/>
        </w:rPr>
        <w:t>11. Future Enhancements &amp; Technological Roadmap</w:t>
      </w:r>
    </w:p>
    <w:p>
      <w:pPr>
        <w:pStyle w:val="ListBullet"/>
        <w:spacing w:before="0" w:after="60" w:line="276" w:lineRule="auto"/>
      </w:pPr>
      <w:r>
        <w:rPr>
          <w:rFonts w:ascii="Calibri" w:hAnsi="Calibri"/>
          <w:b/>
          <w:color w:val="263238"/>
          <w:sz w:val="20"/>
        </w:rPr>
        <w:t xml:space="preserve">1. Offline In-Browser Edge AI: </w:t>
      </w:r>
      <w:r>
        <w:rPr>
          <w:rFonts w:ascii="Calibri" w:hAnsi="Calibri"/>
          <w:color w:val="263238"/>
          <w:sz w:val="20"/>
        </w:rPr>
        <w:t>PWA &amp; On-Device TFLite WebAssembly: Implementing in-browser TFLite inference using WebAssembly (WASM) and WebGL so farmers can diagnose crops even with zero cellular connectivity.</w:t>
      </w:r>
    </w:p>
    <w:p>
      <w:pPr>
        <w:pStyle w:val="ListBullet"/>
        <w:spacing w:before="0" w:after="60" w:line="276" w:lineRule="auto"/>
      </w:pPr>
      <w:r>
        <w:rPr>
          <w:rFonts w:ascii="Calibri" w:hAnsi="Calibri"/>
          <w:b/>
          <w:color w:val="263238"/>
          <w:sz w:val="20"/>
        </w:rPr>
        <w:t xml:space="preserve">2. Aerial Foliar Telemetry: </w:t>
      </w:r>
      <w:r>
        <w:rPr>
          <w:rFonts w:ascii="Calibri" w:hAnsi="Calibri"/>
          <w:color w:val="263238"/>
          <w:sz w:val="20"/>
        </w:rPr>
        <w:t>Automated Drone Aerial Scanning: Integrating aerial drone orthomosaic imagery with YOLOv8 bounding box detection to identify disease hot-spots across entire acreages.</w:t>
      </w:r>
    </w:p>
    <w:p>
      <w:pPr>
        <w:pStyle w:val="ListBullet"/>
        <w:spacing w:before="0" w:after="60" w:line="276" w:lineRule="auto"/>
      </w:pPr>
      <w:r>
        <w:rPr>
          <w:rFonts w:ascii="Calibri" w:hAnsi="Calibri"/>
          <w:b/>
          <w:color w:val="263238"/>
          <w:sz w:val="20"/>
        </w:rPr>
        <w:t xml:space="preserve">3. Microclimate Sensor Fusion: </w:t>
      </w:r>
      <w:r>
        <w:rPr>
          <w:rFonts w:ascii="Calibri" w:hAnsi="Calibri"/>
          <w:color w:val="263238"/>
          <w:sz w:val="20"/>
        </w:rPr>
        <w:t>IoT Microclimate Sensor Fusion: Ingesting ambient temperature, canopy humidity, and leaf wetness sensor telemetry from field IoT nodes to predict fungal spore germination risks 48 hours before visible symptoms.</w:t>
      </w:r>
    </w:p>
    <w:p>
      <w:pPr>
        <w:pStyle w:val="ListBullet"/>
        <w:spacing w:before="0" w:after="60" w:line="276" w:lineRule="auto"/>
      </w:pPr>
      <w:r>
        <w:rPr>
          <w:rFonts w:ascii="Calibri" w:hAnsi="Calibri"/>
          <w:b/>
          <w:color w:val="263238"/>
          <w:sz w:val="20"/>
        </w:rPr>
        <w:t xml:space="preserve">4. Supply Chain Verification: </w:t>
      </w:r>
      <w:r>
        <w:rPr>
          <w:rFonts w:ascii="Calibri" w:hAnsi="Calibri"/>
          <w:color w:val="263238"/>
          <w:sz w:val="20"/>
        </w:rPr>
        <w:t>Pesticide QR-Code Anti-Counterfeit Verification: Allowing farmers to scan pesticide bottle QR codes to verify authenticity against government registries and prevent counterfeit agrochemicals.</w:t>
      </w:r>
    </w:p>
    <w:p>
      <w:pPr>
        <w:keepNext/>
        <w:spacing w:before="360" w:after="120"/>
      </w:pPr>
      <w:r>
        <w:rPr>
          <w:rFonts w:ascii="Calibri" w:hAnsi="Calibri"/>
          <w:b/>
          <w:color w:val="1B5E20"/>
          <w:sz w:val="36"/>
        </w:rPr>
        <w:t>12. Conclusion &amp; References</w:t>
      </w:r>
    </w:p>
    <w:p>
      <w:pPr>
        <w:spacing w:before="0" w:after="120" w:line="276" w:lineRule="auto"/>
      </w:pPr>
      <w:r>
        <w:rPr>
          <w:rFonts w:ascii="Calibri" w:hAnsi="Calibri"/>
          <w:color w:val="263238"/>
          <w:sz w:val="21"/>
        </w:rPr>
        <w:t>TomatoGuard AI establishes a new standard for agricultural computer vision applications. By systematically replacing brittle single-stage models with a gated Two-Stage Neural Architecture, the system eliminates false positive misclassifications, preserves farmer trust, and provides actionable, multilingual phytopathological intelligence directly to growers.</w:t>
      </w:r>
    </w:p>
    <w:p>
      <w:pPr>
        <w:spacing w:before="0" w:after="120" w:line="276" w:lineRule="auto"/>
      </w:pPr>
      <w:r>
        <w:rPr>
          <w:rFonts w:ascii="Calibri" w:hAnsi="Calibri"/>
          <w:color w:val="263238"/>
          <w:sz w:val="21"/>
        </w:rPr>
        <w:t>References &amp; Citations:</w:t>
        <w:br/>
        <w:t>1. Howard, A. et al. (2018). 'MobileNetV2: Inverted Residuals and Linear Bottlenecks.' IEEE CVPR.</w:t>
        <w:br/>
        <w:t>2. Hughes, D. &amp; Salathé, M. (2015). 'An open access repository of images on plant health to enable the development of mobile disease diagnostics.' arXiv:1511.08060 (PlantVillage).</w:t>
        <w:br/>
        <w:t>3. Agrios, G. N. (2005). 'Plant Pathology' (5th ed.). Academic Press, San Diego.</w:t>
        <w:br/>
        <w:t>4. Jones, J. B. et al. (2014). 'Compendium of Tomato Diseases and Pests' (2nd ed.). APS Press.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7D8B"/>
        <w:sz w:val="17"/>
      </w:rPr>
      <w:t>TomatoGuard AI — Technical Project Documentation &amp; SRS | Confidential &amp; Open Source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