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C6B1F"/>
          <w:sz w:val="20"/>
          <w:szCs w:val="20"/>
        </w:rPr>
        <w:t xml:space="preserve">INTERNAL PLANNING DOCUMENT · REVISION 2 — DRAFT FOR REVIEW</w:t>
      </w:r>
    </w:p>
    <w:p>
      <w:pPr>
        <w:spacing w:after="200"/>
      </w:pPr>
      <w:r>
        <w:rPr>
          <w:rFonts w:ascii="Calibri" w:cs="Calibri" w:eastAsia="Calibri" w:hAnsi="Calibri"/>
          <w:b/>
          <w:bCs/>
          <w:color w:val="1F2A44"/>
          <w:sz w:val="40"/>
          <w:szCs w:val="40"/>
        </w:rPr>
        <w:t xml:space="preserve">Utensils, Crockery &amp; Household Appliances App</w:t>
      </w:r>
    </w:p>
    <w:p>
      <w:pPr>
        <w:spacing w:after="200"/>
      </w:pPr>
      <w:r>
        <w:rPr>
          <w:rFonts w:ascii="Calibri" w:cs="Calibri" w:eastAsia="Calibri" w:hAnsi="Calibri"/>
          <w:b/>
          <w:bCs/>
          <w:color w:val="1F2A44"/>
          <w:sz w:val="32"/>
          <w:szCs w:val="32"/>
        </w:rPr>
        <w:t xml:space="preserve">Phased Build Plan — Revised</w:t>
      </w:r>
    </w:p>
    <w:p>
      <w:pPr>
        <w:spacing w:after="120"/>
      </w:pPr>
      <w:r>
        <w:rPr>
          <w:rFonts w:ascii="Calibri" w:cs="Calibri" w:eastAsia="Calibri" w:hAnsi="Calibri"/>
          <w:b w:val="false"/>
          <w:bCs w:val="false"/>
          <w:i w:val="false"/>
          <w:iCs w:val="false"/>
          <w:color w:val="222222"/>
          <w:sz w:val="24"/>
          <w:szCs w:val="24"/>
        </w:rPr>
        <w:t xml:space="preserve">A plan to evolve the existing Android app (Kotlin, Jetpack Compose, Supabase) into a premium wholesale-and-retail platform for the utensils and crockery trade — built around direct distributor relationships, India's wedding-gifting market, corporate festive gifting, and HoReCa &amp; institutional bulk buyers.</w:t>
      </w:r>
    </w:p>
    <w:p>
      <w:pPr>
        <w:spacing w:after="120"/>
      </w:pPr>
      <w:r>
        <w:rPr>
          <w:rFonts w:ascii="Calibri" w:cs="Calibri" w:eastAsia="Calibri" w:hAnsi="Calibri"/>
          <w:b w:val="false"/>
          <w:bCs w:val="false"/>
          <w:i/>
          <w:iCs/>
          <w:color w:val="595959"/>
          <w:sz w:val="22"/>
          <w:szCs w:val="22"/>
        </w:rPr>
        <w:t xml:space="preserve">Prepared: 18 Aug 2026   ·   Supersedes: 10 Aug 2026 draft</w:t>
      </w:r>
    </w:p>
    <w:p>
      <w:pPr>
        <w:spacing w:after="120"/>
      </w:pPr>
      <w:r>
        <w:rPr>
          <w:rFonts w:ascii="Calibri" w:cs="Calibri" w:eastAsia="Calibri" w:hAnsi="Calibri"/>
          <w:b w:val="false"/>
          <w:bCs w:val="false"/>
          <w:i/>
          <w:iCs/>
          <w:color w:val="595959"/>
          <w:sz w:val="22"/>
          <w:szCs w:val="22"/>
        </w:rPr>
        <w:t xml:space="preserve">For review by: Technical Analyst &amp; Business Analyst</w:t>
      </w:r>
    </w:p>
    <w:p>
      <w:pPr>
        <w:spacing w:after="120"/>
      </w:pPr>
      <w:r>
        <w:rPr>
          <w:rFonts w:ascii="Calibri" w:cs="Calibri" w:eastAsia="Calibri" w:hAnsi="Calibri"/>
          <w:b w:val="false"/>
          <w:bCs w:val="false"/>
          <w:i/>
          <w:iCs/>
          <w:color w:val="595959"/>
          <w:sz w:val="22"/>
          <w:szCs w:val="22"/>
        </w:rPr>
        <w:t xml:space="preserve">Status: Draft — pending sign-off</w:t>
      </w:r>
    </w:p>
    <w:p>
      <w:pPr>
        <w:pBdr>
          <w:left w:val="single" w:color="9C6B1F" w:sz="24" w:space="8"/>
        </w:pBdr>
        <w:shd w:fill="FFF6E5" w:color="auto" w:val="clear"/>
        <w:spacing w:after="120" w:before="300"/>
      </w:pPr>
      <w:r>
        <w:rPr>
          <w:rFonts w:ascii="Calibri" w:cs="Calibri" w:eastAsia="Calibri" w:hAnsi="Calibri"/>
          <w:i/>
          <w:iCs/>
          <w:color w:val="222222"/>
          <w:sz w:val="20"/>
          <w:szCs w:val="20"/>
        </w:rPr>
        <w:t xml:space="preserve">  What changed in this revision: two new bulk-order verticals have been added — Corporate Gifting (Phase 2, alongside Wedding Gifting) and HoReCa &amp; Institutional Accounts (new Phase 3) — based on market R&amp;D into how large single orders actually get won in this category (festive corporate gifting, hotel/catering procurement, and government/institutional tenders via GeM). All other phases are renumbered accordingly.</w:t>
      </w:r>
    </w:p>
    <w:p>
      <w:r>
        <w:br w:type="page"/>
      </w:r>
    </w:p>
    <w:p>
      <w:pPr>
        <w:pStyle w:val="Heading1"/>
        <w:spacing w:after="120" w:before="280"/>
      </w:pPr>
      <w:r>
        <w:rPr>
          <w:rFonts w:ascii="Calibri" w:cs="Calibri" w:eastAsia="Calibri" w:hAnsi="Calibri"/>
          <w:b/>
          <w:bCs/>
          <w:color w:val="1F2A44"/>
        </w:rPr>
        <w:t xml:space="preserve">01 · Current State — What We're Starting From</w:t>
      </w:r>
    </w:p>
    <w:p>
      <w:pPr>
        <w:spacing w:after="120"/>
      </w:pPr>
      <w:r>
        <w:rPr>
          <w:rFonts w:ascii="Calibri" w:cs="Calibri" w:eastAsia="Calibri" w:hAnsi="Calibri"/>
          <w:b w:val="false"/>
          <w:bCs w:val="false"/>
          <w:i w:val="false"/>
          <w:iCs w:val="false"/>
          <w:color w:val="222222"/>
          <w:sz w:val="22"/>
          <w:szCs w:val="22"/>
        </w:rPr>
        <w:t xml:space="preserve">The existing app is a genuine foundation, not a prototype to discard. It already models the trade correctly in places, but was built around a multi-vendor marketplace assumption that doesn't match a single-warehouse business. This section is unchanged from the prior draft.</w:t>
      </w:r>
    </w:p>
    <w:p>
      <w:pPr>
        <w:spacing w:after="90"/>
      </w:pPr>
      <w:r>
        <w:rPr>
          <w:rFonts w:ascii="Calibri" w:cs="Calibri" w:eastAsia="Calibri" w:hAnsi="Calibri"/>
          <w:b/>
          <w:bCs/>
          <w:color w:val="2E7D32"/>
          <w:sz w:val="18"/>
          <w:szCs w:val="18"/>
        </w:rPr>
        <w:t xml:space="preserve">REUSABLE  </w:t>
      </w:r>
      <w:r>
        <w:rPr>
          <w:rFonts w:ascii="Calibri" w:cs="Calibri" w:eastAsia="Calibri" w:hAnsi="Calibri"/>
          <w:color w:val="222222"/>
          <w:sz w:val="22"/>
          <w:szCs w:val="22"/>
        </w:rPr>
        <w:t xml:space="preserve">Kotlin + Jetpack Compose + Hilt + MVVM on Supabase (Postgres/Auth/Storage). Product.kt already has material, gauge, weight, priceRetail and priceWholesale fields.</w:t>
      </w:r>
    </w:p>
    <w:p>
      <w:pPr>
        <w:spacing w:after="90"/>
      </w:pPr>
      <w:r>
        <w:rPr>
          <w:rFonts w:ascii="Calibri" w:cs="Calibri" w:eastAsia="Calibri" w:hAnsi="Calibri"/>
          <w:b/>
          <w:bCs/>
          <w:color w:val="2E7D32"/>
          <w:sz w:val="18"/>
          <w:szCs w:val="18"/>
        </w:rPr>
        <w:t xml:space="preserve">WORKING TODAY  </w:t>
      </w:r>
      <w:r>
        <w:rPr>
          <w:rFonts w:ascii="Calibri" w:cs="Calibri" w:eastAsia="Calibri" w:hAnsi="Calibri"/>
          <w:color w:val="222222"/>
          <w:sz w:val="22"/>
          <w:szCs w:val="22"/>
        </w:rPr>
        <w:t xml:space="preserve">Catalog + search, cart, Razorpay checkout, order history, admin dashboard, product image/video upload.</w:t>
      </w:r>
    </w:p>
    <w:p>
      <w:pPr>
        <w:spacing w:after="90"/>
      </w:pPr>
      <w:r>
        <w:rPr>
          <w:rFonts w:ascii="Calibri" w:cs="Calibri" w:eastAsia="Calibri" w:hAnsi="Calibri"/>
          <w:b/>
          <w:bCs/>
          <w:color w:val="B00020"/>
          <w:sz w:val="18"/>
          <w:szCs w:val="18"/>
        </w:rPr>
        <w:t xml:space="preserve">NEEDS REMOVAL  </w:t>
      </w:r>
      <w:r>
        <w:rPr>
          <w:rFonts w:ascii="Calibri" w:cs="Calibri" w:eastAsia="Calibri" w:hAnsi="Calibri"/>
          <w:color w:val="222222"/>
          <w:sz w:val="22"/>
          <w:szCs w:val="22"/>
        </w:rPr>
        <w:t xml:space="preserve">CartRepository.addToCart() currently blocks mixing products from two stores (AddToCartResult.DifferentStoreConflict) — multi-vendor logic that adds friction for a one-warehouse business.</w:t>
      </w:r>
    </w:p>
    <w:p>
      <w:pPr>
        <w:spacing w:after="90"/>
      </w:pPr>
      <w:r>
        <w:rPr>
          <w:rFonts w:ascii="Calibri" w:cs="Calibri" w:eastAsia="Calibri" w:hAnsi="Calibri"/>
          <w:b/>
          <w:bCs/>
          <w:color w:val="B00020"/>
          <w:sz w:val="18"/>
          <w:szCs w:val="18"/>
        </w:rPr>
        <w:t xml:space="preserve">NEEDS HARDENING  </w:t>
      </w:r>
      <w:r>
        <w:rPr>
          <w:rFonts w:ascii="Calibri" w:cs="Calibri" w:eastAsia="Calibri" w:hAnsi="Calibri"/>
          <w:color w:val="222222"/>
          <w:sz w:val="22"/>
          <w:szCs w:val="22"/>
        </w:rPr>
        <w:t xml:space="preserve">Razorpay key is hardcoded in MainActivity.kt; admin role is currently just "is store owner," not true role-based access; no automated test coverage.</w:t>
      </w:r>
    </w:p>
    <w:p>
      <w:pPr>
        <w:pStyle w:val="Heading1"/>
        <w:spacing w:after="120" w:before="280"/>
      </w:pPr>
      <w:r>
        <w:rPr>
          <w:rFonts w:ascii="Calibri" w:cs="Calibri" w:eastAsia="Calibri" w:hAnsi="Calibri"/>
          <w:b/>
          <w:bCs/>
          <w:color w:val="1F2A44"/>
        </w:rPr>
        <w:t xml:space="preserve">02 · Plan at a Glance</w:t>
      </w:r>
    </w:p>
    <w:p>
      <w:pPr>
        <w:spacing w:after="120"/>
      </w:pPr>
      <w:r>
        <w:rPr>
          <w:rFonts w:ascii="Calibri" w:cs="Calibri" w:eastAsia="Calibri" w:hAnsi="Calibri"/>
          <w:b w:val="false"/>
          <w:bCs w:val="false"/>
          <w:i w:val="false"/>
          <w:iCs w:val="false"/>
          <w:color w:val="222222"/>
          <w:sz w:val="22"/>
          <w:szCs w:val="22"/>
        </w:rPr>
        <w:t xml:space="preserve">Seven phases (previously six), sequenced so the business-critical wholesale channel ships first, followed by the bulk-order verticals — wedding &amp; corporate gifting, then HoReCa &amp; institutional — before the more exploratory retail and loyalty work.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700"/>
        <w:gridCol w:w="3100"/>
      </w:tblGrid>
      <w:tr>
        <w:tc>
          <w:tcPr>
            <w:tcW w:type="dxa" w:w="7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2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17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Duration</w:t>
            </w:r>
          </w:p>
        </w:tc>
        <w:tc>
          <w:tcPr>
            <w:tcW w:type="dxa" w:w="31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0</w:t>
            </w:r>
          </w:p>
        </w:tc>
        <w:tc>
          <w:tcPr>
            <w:tcW w:type="dxa" w:w="42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Foundation Cleanup &amp; Fixes</w:t>
            </w:r>
          </w:p>
        </w:tc>
        <w:tc>
          <w:tcPr>
            <w:tcW w:type="dxa" w:w="1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1–2 wks</w:t>
            </w:r>
          </w:p>
        </w:tc>
        <w:tc>
          <w:tcPr>
            <w:tcW w:type="dxa" w:w="31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Unchanged</w:t>
            </w:r>
          </w:p>
        </w:tc>
      </w:tr>
      <w:tr>
        <w:tc>
          <w:tcPr>
            <w:tcW w:type="dxa" w:w="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1</w:t>
            </w:r>
          </w:p>
        </w:tc>
        <w:tc>
          <w:tcPr>
            <w:tcW w:type="dxa" w:w="42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Wholesale &amp; Distributor Core</w:t>
            </w:r>
          </w:p>
        </w:tc>
        <w:tc>
          <w:tcPr>
            <w:tcW w:type="dxa" w:w="1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3–4 wks</w:t>
            </w:r>
          </w:p>
        </w:tc>
        <w:tc>
          <w:tcPr>
            <w:tcW w:type="dxa" w:w="31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Unchanged, +RFQ pipeline</w:t>
            </w:r>
          </w:p>
        </w:tc>
      </w:tr>
      <w:tr>
        <w:tc>
          <w:tcPr>
            <w:tcW w:type="dxa" w:w="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2</w:t>
            </w:r>
          </w:p>
        </w:tc>
        <w:tc>
          <w:tcPr>
            <w:tcW w:type="dxa" w:w="42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Wedding &amp; Corporate Gifting Vertical</w:t>
            </w:r>
          </w:p>
        </w:tc>
        <w:tc>
          <w:tcPr>
            <w:tcW w:type="dxa" w:w="1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5–6 wks</w:t>
            </w:r>
          </w:p>
        </w:tc>
        <w:tc>
          <w:tcPr>
            <w:tcW w:type="dxa" w:w="31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EXPANDED — Corporate Gifting added</w:t>
            </w:r>
          </w:p>
        </w:tc>
      </w:tr>
      <w:tr>
        <w:tc>
          <w:tcPr>
            <w:tcW w:type="dxa" w:w="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3</w:t>
            </w:r>
          </w:p>
        </w:tc>
        <w:tc>
          <w:tcPr>
            <w:tcW w:type="dxa" w:w="42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HoReCa &amp; Institutional Accounts</w:t>
            </w:r>
          </w:p>
        </w:tc>
        <w:tc>
          <w:tcPr>
            <w:tcW w:type="dxa" w:w="1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3–4 wks</w:t>
            </w:r>
          </w:p>
        </w:tc>
        <w:tc>
          <w:tcPr>
            <w:tcW w:type="dxa" w:w="31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NEW PHASE</w:t>
            </w:r>
          </w:p>
        </w:tc>
      </w:tr>
      <w:tr>
        <w:tc>
          <w:tcPr>
            <w:tcW w:type="dxa" w:w="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4</w:t>
            </w:r>
          </w:p>
        </w:tc>
        <w:tc>
          <w:tcPr>
            <w:tcW w:type="dxa" w:w="42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Premium Retail Layer</w:t>
            </w:r>
          </w:p>
        </w:tc>
        <w:tc>
          <w:tcPr>
            <w:tcW w:type="dxa" w:w="1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2–3 wks</w:t>
            </w:r>
          </w:p>
        </w:tc>
        <w:tc>
          <w:tcPr>
            <w:tcW w:type="dxa" w:w="31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Renumbered (was Phase 3)</w:t>
            </w:r>
          </w:p>
        </w:tc>
      </w:tr>
      <w:tr>
        <w:tc>
          <w:tcPr>
            <w:tcW w:type="dxa" w:w="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5</w:t>
            </w:r>
          </w:p>
        </w:tc>
        <w:tc>
          <w:tcPr>
            <w:tcW w:type="dxa" w:w="42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Trust &amp; Operations</w:t>
            </w:r>
          </w:p>
        </w:tc>
        <w:tc>
          <w:tcPr>
            <w:tcW w:type="dxa" w:w="1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2–3 wks</w:t>
            </w:r>
          </w:p>
        </w:tc>
        <w:tc>
          <w:tcPr>
            <w:tcW w:type="dxa" w:w="31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Renumbered (was Phase 4)</w:t>
            </w:r>
          </w:p>
        </w:tc>
      </w:tr>
      <w:tr>
        <w:tc>
          <w:tcPr>
            <w:tcW w:type="dxa" w:w="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6</w:t>
            </w:r>
          </w:p>
        </w:tc>
        <w:tc>
          <w:tcPr>
            <w:tcW w:type="dxa" w:w="42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Scale &amp; Hardening</w:t>
            </w:r>
          </w:p>
        </w:tc>
        <w:tc>
          <w:tcPr>
            <w:tcW w:type="dxa" w:w="1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Ongoing</w:t>
            </w:r>
          </w:p>
        </w:tc>
        <w:tc>
          <w:tcPr>
            <w:tcW w:type="dxa" w:w="31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Renumbered (was Phase 5)</w:t>
            </w:r>
          </w:p>
        </w:tc>
      </w:tr>
    </w:tbl>
    <w:p>
      <w:r>
        <w:br w:type="page"/>
      </w:r>
    </w:p>
    <w:p>
      <w:pPr>
        <w:pStyle w:val="Heading1"/>
        <w:spacing w:after="120" w:before="280"/>
      </w:pPr>
      <w:r>
        <w:rPr>
          <w:rFonts w:ascii="Calibri" w:cs="Calibri" w:eastAsia="Calibri" w:hAnsi="Calibri"/>
          <w:b/>
          <w:bCs/>
          <w:color w:val="1F2A44"/>
        </w:rPr>
        <w:t xml:space="preserve">03 · Phased Build Plan</w:t>
      </w:r>
    </w:p>
    <w:p>
      <w:pPr>
        <w:spacing w:after="120"/>
      </w:pPr>
      <w:r>
        <w:rPr>
          <w:rFonts w:ascii="Calibri" w:cs="Calibri" w:eastAsia="Calibri" w:hAnsi="Calibri"/>
          <w:b w:val="false"/>
          <w:bCs w:val="false"/>
          <w:i w:val="false"/>
          <w:iCs w:val="false"/>
          <w:color w:val="222222"/>
          <w:sz w:val="22"/>
          <w:szCs w:val="22"/>
        </w:rPr>
        <w:t xml:space="preserve">Each phase lists what to strip from the current codebase, what to fix, and what to build new. "Keep" items are called out where it matters to confirm nothing is lost. New additions in this revision are marked NEW.</w:t>
      </w:r>
    </w:p>
    <w:p>
      <w:pPr>
        <w:pBdr>
          <w:bottom w:val="single" w:color="1F2A44" w:sz="8" w:space="4"/>
        </w:pBdr>
        <w:spacing w:after="60" w:before="360"/>
      </w:pPr>
      <w:r>
        <w:rPr>
          <w:rFonts w:ascii="Calibri" w:cs="Calibri" w:eastAsia="Calibri" w:hAnsi="Calibri"/>
          <w:b/>
          <w:bCs/>
          <w:color w:val="9C6B1F"/>
          <w:sz w:val="22"/>
          <w:szCs w:val="22"/>
        </w:rPr>
        <w:t xml:space="preserve">PHASE 0   </w:t>
      </w:r>
      <w:r>
        <w:rPr>
          <w:rFonts w:ascii="Calibri" w:cs="Calibri" w:eastAsia="Calibri" w:hAnsi="Calibri"/>
          <w:b/>
          <w:bCs/>
          <w:color w:val="1F2A44"/>
          <w:sz w:val="26"/>
          <w:szCs w:val="26"/>
        </w:rPr>
        <w:t xml:space="preserve">Foundation Cleanup &amp; Fixes</w:t>
      </w:r>
      <w:r>
        <w:rPr>
          <w:rFonts w:ascii="Calibri" w:cs="Calibri" w:eastAsia="Calibri" w:hAnsi="Calibri"/>
          <w:i/>
          <w:iCs/>
          <w:color w:val="595959"/>
          <w:sz w:val="20"/>
          <w:szCs w:val="20"/>
        </w:rPr>
        <w:t xml:space="preserve">   ·   1–2 weeks · unchanged</w:t>
      </w:r>
    </w:p>
    <w:p>
      <w:pPr>
        <w:spacing w:after="120"/>
      </w:pPr>
      <w:r>
        <w:rPr>
          <w:rFonts w:ascii="Calibri" w:cs="Calibri" w:eastAsia="Calibri" w:hAnsi="Calibri"/>
          <w:b w:val="false"/>
          <w:bCs w:val="false"/>
          <w:i/>
          <w:iCs/>
          <w:color w:val="595959"/>
          <w:sz w:val="22"/>
          <w:szCs w:val="22"/>
        </w:rPr>
        <w:t xml:space="preserve">Make the codebase correctly modeled for one warehouse and safe to build on, before adding anything new.</w:t>
      </w:r>
    </w:p>
    <w:p>
      <w:pPr>
        <w:spacing w:after="90"/>
      </w:pPr>
      <w:r>
        <w:rPr>
          <w:rFonts w:ascii="Calibri" w:cs="Calibri" w:eastAsia="Calibri" w:hAnsi="Calibri"/>
          <w:b/>
          <w:bCs/>
          <w:color w:val="B00020"/>
          <w:sz w:val="18"/>
          <w:szCs w:val="18"/>
        </w:rPr>
        <w:t xml:space="preserve">STRIP  </w:t>
      </w:r>
      <w:r>
        <w:rPr>
          <w:rFonts w:ascii="Calibri" w:cs="Calibri" w:eastAsia="Calibri" w:hAnsi="Calibri"/>
          <w:color w:val="222222"/>
          <w:sz w:val="22"/>
          <w:szCs w:val="22"/>
        </w:rPr>
        <w:t xml:space="preserve">Multi-store cart-conflict logic — not needed once the business runs from a single warehouse.</w:t>
      </w:r>
    </w:p>
    <w:p>
      <w:pPr>
        <w:spacing w:after="90"/>
      </w:pPr>
      <w:r>
        <w:rPr>
          <w:rFonts w:ascii="Calibri" w:cs="Calibri" w:eastAsia="Calibri" w:hAnsi="Calibri"/>
          <w:b/>
          <w:bCs/>
          <w:color w:val="9C6B1F"/>
          <w:sz w:val="18"/>
          <w:szCs w:val="18"/>
        </w:rPr>
        <w:t xml:space="preserve">FIX  </w:t>
      </w:r>
      <w:r>
        <w:rPr>
          <w:rFonts w:ascii="Calibri" w:cs="Calibri" w:eastAsia="Calibri" w:hAnsi="Calibri"/>
          <w:color w:val="222222"/>
          <w:sz w:val="22"/>
          <w:szCs w:val="22"/>
        </w:rPr>
        <w:t xml:space="preserve">Move the Razorpay key out of source into secure config; switch to a production key before launch.</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Real role-based access: Retail / Wholesale / Distributor / HoReCa / Institutional / Admin — role set expanded from the original four to accommodate the two new account types.</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Add GSTIN / business-license verification step at signup for Wholesale, Distributor, HoReCa and Institutional roles, gating tier assignment on it (feeds the credit-risk control needed for Phase 1's ledger).</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Minimal automated test coverage on cart, checkout, and order creation.</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Crash reporting and basic usage analytics.</w:t>
      </w:r>
    </w:p>
    <w:p>
      <w:pPr>
        <w:pBdr>
          <w:bottom w:val="single" w:color="1F2A44" w:sz="8" w:space="4"/>
        </w:pBdr>
        <w:spacing w:after="60" w:before="360"/>
      </w:pPr>
      <w:r>
        <w:rPr>
          <w:rFonts w:ascii="Calibri" w:cs="Calibri" w:eastAsia="Calibri" w:hAnsi="Calibri"/>
          <w:b/>
          <w:bCs/>
          <w:color w:val="9C6B1F"/>
          <w:sz w:val="22"/>
          <w:szCs w:val="22"/>
        </w:rPr>
        <w:t xml:space="preserve">PHASE 1   </w:t>
      </w:r>
      <w:r>
        <w:rPr>
          <w:rFonts w:ascii="Calibri" w:cs="Calibri" w:eastAsia="Calibri" w:hAnsi="Calibri"/>
          <w:b/>
          <w:bCs/>
          <w:color w:val="1F2A44"/>
          <w:sz w:val="26"/>
          <w:szCs w:val="26"/>
        </w:rPr>
        <w:t xml:space="preserve">Wholesale &amp; Distributor Core</w:t>
      </w:r>
      <w:r>
        <w:rPr>
          <w:rFonts w:ascii="Calibri" w:cs="Calibri" w:eastAsia="Calibri" w:hAnsi="Calibri"/>
          <w:i/>
          <w:iCs/>
          <w:color w:val="595959"/>
          <w:sz w:val="20"/>
          <w:szCs w:val="20"/>
        </w:rPr>
        <w:t xml:space="preserve">   ·   3–4 weeks · unchanged, one addition</w:t>
      </w:r>
    </w:p>
    <w:p>
      <w:pPr>
        <w:spacing w:after="120"/>
      </w:pPr>
      <w:r>
        <w:rPr>
          <w:rFonts w:ascii="Calibri" w:cs="Calibri" w:eastAsia="Calibri" w:hAnsi="Calibri"/>
          <w:b w:val="false"/>
          <w:bCs w:val="false"/>
          <w:i/>
          <w:iCs/>
          <w:color w:val="595959"/>
          <w:sz w:val="22"/>
          <w:szCs w:val="22"/>
        </w:rPr>
        <w:t xml:space="preserve">Turn the app into the digital ordering front-end for the distributor relationships that already exist — the highest-leverage phase in the plan.</w:t>
      </w:r>
    </w:p>
    <w:p>
      <w:pPr>
        <w:spacing w:after="90"/>
      </w:pPr>
      <w:r>
        <w:rPr>
          <w:rFonts w:ascii="Calibri" w:cs="Calibri" w:eastAsia="Calibri" w:hAnsi="Calibri"/>
          <w:b/>
          <w:bCs/>
          <w:color w:val="2E7D32"/>
          <w:sz w:val="18"/>
          <w:szCs w:val="18"/>
        </w:rPr>
        <w:t xml:space="preserve">KEEP  </w:t>
      </w:r>
      <w:r>
        <w:rPr>
          <w:rFonts w:ascii="Calibri" w:cs="Calibri" w:eastAsia="Calibri" w:hAnsi="Calibri"/>
          <w:color w:val="222222"/>
          <w:sz w:val="22"/>
          <w:szCs w:val="22"/>
        </w:rPr>
        <w:t xml:space="preserve">Existing priceRetail / priceWholesale fields on Product — extend rather than replace.</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Quantity-tiered (MOQ) pricing engine — e.g. 10+, 50+, 200+ unit price slabs per product.</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Distributor / reseller account type with an assigned pricing tier.</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Quick-order pad: a SKU + quantity grid for fast bulk entry, instead of scrolling product cards.</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Credit ledger ("khata") — running balance, partial payments, due dates.</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GST-compliant invoice generation (PDF) per order, including HSN/SAC code and unit-of-measure per line item.</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"Request a Quote" (RFQ) flow for large or non-standard orders that fall outside fixed MOQ slabs: buyer submits quantity + requirements, admin responds with a negotiated price and terms, and an admin-side quote pipeline (Open → Quoted → Negotiating → Won/Lost) tracks it through to conversion into an order. This is the mechanism that lands the single largest deals — hotel-chain rollouts, large distributor top-ups — which don't fit a pre-set slab.</w:t>
      </w:r>
    </w:p>
    <w:p>
      <w:pPr>
        <w:pBdr>
          <w:bottom w:val="single" w:color="1F2A44" w:sz="8" w:space="4"/>
        </w:pBdr>
        <w:spacing w:after="60" w:before="360"/>
      </w:pPr>
      <w:r>
        <w:rPr>
          <w:rFonts w:ascii="Calibri" w:cs="Calibri" w:eastAsia="Calibri" w:hAnsi="Calibri"/>
          <w:b/>
          <w:bCs/>
          <w:color w:val="9C6B1F"/>
          <w:sz w:val="22"/>
          <w:szCs w:val="22"/>
        </w:rPr>
        <w:t xml:space="preserve">PHASE 2   </w:t>
      </w:r>
      <w:r>
        <w:rPr>
          <w:rFonts w:ascii="Calibri" w:cs="Calibri" w:eastAsia="Calibri" w:hAnsi="Calibri"/>
          <w:b/>
          <w:bCs/>
          <w:color w:val="1F2A44"/>
          <w:sz w:val="26"/>
          <w:szCs w:val="26"/>
        </w:rPr>
        <w:t xml:space="preserve">Wedding &amp; Corporate Gifting Vertical</w:t>
      </w:r>
      <w:r>
        <w:rPr>
          <w:rFonts w:ascii="Calibri" w:cs="Calibri" w:eastAsia="Calibri" w:hAnsi="Calibri"/>
          <w:i/>
          <w:iCs/>
          <w:color w:val="595959"/>
          <w:sz w:val="20"/>
          <w:szCs w:val="20"/>
        </w:rPr>
        <w:t xml:space="preserve">   ·   5–6 weeks · expanded from "Marriage &amp; Bulk Gifting"</w:t>
      </w:r>
    </w:p>
    <w:p>
      <w:pPr>
        <w:spacing w:after="120"/>
      </w:pPr>
      <w:r>
        <w:rPr>
          <w:rFonts w:ascii="Calibri" w:cs="Calibri" w:eastAsia="Calibri" w:hAnsi="Calibri"/>
          <w:b w:val="false"/>
          <w:bCs w:val="false"/>
          <w:i/>
          <w:iCs/>
          <w:color w:val="595959"/>
          <w:sz w:val="22"/>
          <w:szCs w:val="22"/>
        </w:rPr>
        <w:t xml:space="preserve">Launch the two differentiated, high-margin gifting verticals that most utensil sellers still handle offline: wedding/shagun gifting and corporate festive gifting. Both are quantity-first, occasion-driven, and underexploited digitally in this category — but they need distinct workflows, so they are built as sibling sections rather than one shared flow.</w:t>
      </w:r>
    </w:p>
    <w:p>
      <w:pPr>
        <w:spacing w:after="60" w:before="160"/>
      </w:pPr>
      <w:r>
        <w:rPr>
          <w:rFonts w:ascii="Calibri" w:cs="Calibri" w:eastAsia="Calibri" w:hAnsi="Calibri"/>
          <w:b/>
          <w:bCs/>
          <w:color w:val="1F2A44"/>
          <w:sz w:val="24"/>
          <w:szCs w:val="24"/>
        </w:rPr>
        <w:t xml:space="preserve">2A · Wedding / Shagun Gifting</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Curated "Wedding / Shagun Collection" section, distinct from the general catalog.</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Bulk return-gift pack flow: one SKU × large quantity, quantity-first UX.</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Customization / engraving request capture, with a fulfillment note surfaced in admin.</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Advance booking with an installment payment schedule for large wedding orders.</w:t>
      </w:r>
    </w:p>
    <w:p>
      <w:pPr>
        <w:spacing w:after="60" w:before="220"/>
      </w:pPr>
      <w:r>
        <w:rPr>
          <w:rFonts w:ascii="Calibri" w:cs="Calibri" w:eastAsia="Calibri" w:hAnsi="Calibri"/>
          <w:b/>
          <w:bCs/>
          <w:color w:val="1F2A44"/>
          <w:sz w:val="24"/>
          <w:szCs w:val="24"/>
        </w:rPr>
        <w:t xml:space="preserve">2B · Corporate Gifting</w:t>
      </w:r>
      <w:r>
        <w:rPr>
          <w:rFonts w:ascii="Calibri" w:cs="Calibri" w:eastAsia="Calibri" w:hAnsi="Calibri"/>
          <w:b/>
          <w:bCs/>
          <w:color w:val="B00020"/>
          <w:sz w:val="18"/>
          <w:szCs w:val="18"/>
        </w:rPr>
        <w:t xml:space="preserve">NEW  </w:t>
      </w:r>
    </w:p>
    <w:p>
      <w:pPr>
        <w:spacing w:after="120"/>
      </w:pPr>
      <w:r>
        <w:rPr>
          <w:rFonts w:ascii="Calibri" w:cs="Calibri" w:eastAsia="Calibri" w:hAnsi="Calibri"/>
          <w:b w:val="false"/>
          <w:bCs w:val="false"/>
          <w:i/>
          <w:iCs/>
          <w:color w:val="595959"/>
          <w:sz w:val="20"/>
          <w:szCs w:val="20"/>
        </w:rPr>
        <w:t xml:space="preserve">New sub-vertical, aimed at HR/procurement buyers sourcing festive (Diwali, New Year) and appreciation gifts for groups of 50–5,000 recipients. Distinct from wedding gifting because it needs brand-asset handling and repeat annual ordering, not one-off personalization.</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Per-person budget-tier gift builder: buyer selects a budget band (e.g. ₹250 / ₹500 / ₹1,000 / ₹2,000 per recipient) and the app proposes matching SKU combinations (dinner sets, mug/glass sets, gift hampers) instead of requiring manual cart building.</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Brand-asset upload and proofing flow: logo/artwork upload, placement preview (under-glaze print, laser engraving, sticker branding, packaging insert), and an approval step before production.</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Deadline-aware production calendar in admin: a visible "must ship by" view across all open festive gifting orders, since Diwali/New Year deadlines are fixed and non-negotiable, unlike typical retail SLAs.</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"Repeat this order" one-click reorder tied to a named account manager, since corporate buyers tend to reorder annually with the same or similar spec — this is the retention lever for the vertical.</w:t>
      </w:r>
    </w:p>
    <w:p>
      <w:r>
        <w:br w:type="page"/>
      </w:r>
    </w:p>
    <w:p>
      <w:pPr>
        <w:pBdr>
          <w:bottom w:val="single" w:color="1F2A44" w:sz="8" w:space="4"/>
        </w:pBdr>
        <w:spacing w:after="60" w:before="360"/>
      </w:pPr>
      <w:r>
        <w:rPr>
          <w:rFonts w:ascii="Calibri" w:cs="Calibri" w:eastAsia="Calibri" w:hAnsi="Calibri"/>
          <w:b/>
          <w:bCs/>
          <w:color w:val="9C6B1F"/>
          <w:sz w:val="22"/>
          <w:szCs w:val="22"/>
        </w:rPr>
        <w:t xml:space="preserve">PHASE 3   </w:t>
      </w:r>
      <w:r>
        <w:rPr>
          <w:rFonts w:ascii="Calibri" w:cs="Calibri" w:eastAsia="Calibri" w:hAnsi="Calibri"/>
          <w:b/>
          <w:bCs/>
          <w:color w:val="1F2A44"/>
          <w:sz w:val="26"/>
          <w:szCs w:val="26"/>
        </w:rPr>
        <w:t xml:space="preserve">HoReCa &amp; Institutional Accounts</w:t>
      </w:r>
      <w:r>
        <w:rPr>
          <w:rFonts w:ascii="Calibri" w:cs="Calibri" w:eastAsia="Calibri" w:hAnsi="Calibri"/>
          <w:i/>
          <w:iCs/>
          <w:color w:val="595959"/>
          <w:sz w:val="20"/>
          <w:szCs w:val="20"/>
        </w:rPr>
        <w:t xml:space="preserve">   ·   3–4 weeks · new phase</w:t>
      </w:r>
    </w:p>
    <w:p>
      <w:pPr>
        <w:spacing w:after="120"/>
      </w:pPr>
      <w:r>
        <w:rPr>
          <w:rFonts w:ascii="Calibri" w:cs="Calibri" w:eastAsia="Calibri" w:hAnsi="Calibri"/>
          <w:b w:val="false"/>
          <w:bCs w:val="false"/>
          <w:i/>
          <w:iCs/>
          <w:color w:val="595959"/>
          <w:sz w:val="22"/>
          <w:szCs w:val="22"/>
        </w:rPr>
        <w:t xml:space="preserve">Add two bulk-buyer segments whose demand is not tied to a festive calendar, smoothing revenue across the year and adding a second durable channel alongside distributors.</w:t>
      </w:r>
    </w:p>
    <w:p>
      <w:pPr>
        <w:spacing w:after="60" w:before="160"/>
      </w:pPr>
      <w:r>
        <w:rPr>
          <w:rFonts w:ascii="Calibri" w:cs="Calibri" w:eastAsia="Calibri" w:hAnsi="Calibri"/>
          <w:b/>
          <w:bCs/>
          <w:color w:val="1F2A44"/>
          <w:sz w:val="24"/>
          <w:szCs w:val="24"/>
        </w:rPr>
        <w:t xml:space="preserve">3A · HoReCa Accounts (Hotels, Restaurants, Catering)</w:t>
      </w:r>
      <w:r>
        <w:rPr>
          <w:rFonts w:ascii="Calibri" w:cs="Calibri" w:eastAsia="Calibri" w:hAnsi="Calibri"/>
          <w:b/>
          <w:bCs/>
          <w:color w:val="B00020"/>
          <w:sz w:val="18"/>
          <w:szCs w:val="18"/>
        </w:rPr>
        <w:t xml:space="preserve">NEW  </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Dedicated HoReCa account type (separate from Distributor) with catering-specific SKUs: chafing dishes, buffet servers, bulk glassware, banquet-size cookware.</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Standing/recurring replenishment orders: a saved SKU-and-quantity template a HoReCa buyer can re-trigger with one tap, adjusting quantities for breakage top-ups instead of rebuilding the cart each time.</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Annual contract pricing object: a locked rate for a defined volume/period, distinct from the per-order MOQ slab used elsewhere in the app — hotel chains and catering firms typically negotiate this way.</w:t>
      </w:r>
    </w:p>
    <w:p>
      <w:pPr>
        <w:spacing w:after="60" w:before="220"/>
      </w:pPr>
      <w:r>
        <w:rPr>
          <w:rFonts w:ascii="Calibri" w:cs="Calibri" w:eastAsia="Calibri" w:hAnsi="Calibri"/>
          <w:b/>
          <w:bCs/>
          <w:color w:val="1F2A44"/>
          <w:sz w:val="24"/>
          <w:szCs w:val="24"/>
        </w:rPr>
        <w:t xml:space="preserve">3B · Institutional &amp; Tender Sales</w:t>
      </w:r>
      <w:r>
        <w:rPr>
          <w:rFonts w:ascii="Calibri" w:cs="Calibri" w:eastAsia="Calibri" w:hAnsi="Calibri"/>
          <w:b/>
          <w:bCs/>
          <w:color w:val="B00020"/>
          <w:sz w:val="18"/>
          <w:szCs w:val="18"/>
        </w:rPr>
        <w:t xml:space="preserve">NEW  </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GeM (Government e-Marketplace) seller-readiness workflow: GST/GeM registration checklist, compliance document vault (quality certifications, past-performance record) kept ready for tender submission rather than assembled ad hoc each time.</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Tender tracking module for the sales team: flag open institutional tenders (e.g. anganwadi/ICDS kits, mid-day meal/PM POSHAN kitchen supply, canteen crockery), track bid status, and convert a won tender directly into a bulk order record.</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Pre-bundled institutional kit SKUs (anganwadi kit, canteen crockery kit, hostel mess kit) as single catalog entries, since tenders typically ask for a kit, not individual line items.</w:t>
      </w:r>
    </w:p>
    <w:p>
      <w:pPr>
        <w:pBdr>
          <w:bottom w:val="single" w:color="1F2A44" w:sz="8" w:space="4"/>
        </w:pBdr>
        <w:spacing w:after="60" w:before="360"/>
      </w:pPr>
      <w:r>
        <w:rPr>
          <w:rFonts w:ascii="Calibri" w:cs="Calibri" w:eastAsia="Calibri" w:hAnsi="Calibri"/>
          <w:b/>
          <w:bCs/>
          <w:color w:val="9C6B1F"/>
          <w:sz w:val="22"/>
          <w:szCs w:val="22"/>
        </w:rPr>
        <w:t xml:space="preserve">PHASE 4   </w:t>
      </w:r>
      <w:r>
        <w:rPr>
          <w:rFonts w:ascii="Calibri" w:cs="Calibri" w:eastAsia="Calibri" w:hAnsi="Calibri"/>
          <w:b/>
          <w:bCs/>
          <w:color w:val="1F2A44"/>
          <w:sz w:val="26"/>
          <w:szCs w:val="26"/>
        </w:rPr>
        <w:t xml:space="preserve">Premium Retail Layer</w:t>
      </w:r>
      <w:r>
        <w:rPr>
          <w:rFonts w:ascii="Calibri" w:cs="Calibri" w:eastAsia="Calibri" w:hAnsi="Calibri"/>
          <w:i/>
          <w:iCs/>
          <w:color w:val="595959"/>
          <w:sz w:val="20"/>
          <w:szCs w:val="20"/>
        </w:rPr>
        <w:t xml:space="preserve">   ·   2–3 weeks · renumbered, was Phase 3</w:t>
      </w:r>
    </w:p>
    <w:p>
      <w:pPr>
        <w:spacing w:after="120"/>
      </w:pPr>
      <w:r>
        <w:rPr>
          <w:rFonts w:ascii="Calibri" w:cs="Calibri" w:eastAsia="Calibri" w:hAnsi="Calibri"/>
          <w:b w:val="false"/>
          <w:bCs w:val="false"/>
          <w:i/>
          <w:iCs/>
          <w:color w:val="595959"/>
          <w:sz w:val="22"/>
          <w:szCs w:val="22"/>
        </w:rPr>
        <w:t xml:space="preserve">Keep retail alive as a curated, trust-building storefront — sized to what one warehouse can actually fulfil, not a mass catalog.</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Curated, small-SKU storefront experience, kept separate from the wholesale catalog.</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Pincode / delivery-radius serviceability check at checkout.</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Wishlist (not currently present).</w:t>
      </w:r>
    </w:p>
    <w:p>
      <w:pPr>
        <w:spacing w:after="90"/>
      </w:pPr>
      <w:r>
        <w:rPr>
          <w:rFonts w:ascii="Calibri" w:cs="Calibri" w:eastAsia="Calibri" w:hAnsi="Calibri"/>
          <w:b/>
          <w:bCs/>
          <w:color w:val="2E7D32"/>
          <w:sz w:val="18"/>
          <w:szCs w:val="18"/>
        </w:rPr>
        <w:t xml:space="preserve">KEEP  </w:t>
      </w:r>
      <w:r>
        <w:rPr>
          <w:rFonts w:ascii="Calibri" w:cs="Calibri" w:eastAsia="Calibri" w:hAnsi="Calibri"/>
          <w:color w:val="222222"/>
          <w:sz w:val="22"/>
          <w:szCs w:val="22"/>
        </w:rPr>
        <w:t xml:space="preserve">Existing product video support (Media3/ExoPlayer) — lean into it for material and finish detail.</w:t>
      </w:r>
    </w:p>
    <w:p>
      <w:pPr>
        <w:pBdr>
          <w:bottom w:val="single" w:color="1F2A44" w:sz="8" w:space="4"/>
        </w:pBdr>
        <w:spacing w:after="60" w:before="360"/>
      </w:pPr>
      <w:r>
        <w:rPr>
          <w:rFonts w:ascii="Calibri" w:cs="Calibri" w:eastAsia="Calibri" w:hAnsi="Calibri"/>
          <w:b/>
          <w:bCs/>
          <w:color w:val="9C6B1F"/>
          <w:sz w:val="22"/>
          <w:szCs w:val="22"/>
        </w:rPr>
        <w:t xml:space="preserve">PHASE 5   </w:t>
      </w:r>
      <w:r>
        <w:rPr>
          <w:rFonts w:ascii="Calibri" w:cs="Calibri" w:eastAsia="Calibri" w:hAnsi="Calibri"/>
          <w:b/>
          <w:bCs/>
          <w:color w:val="1F2A44"/>
          <w:sz w:val="26"/>
          <w:szCs w:val="26"/>
        </w:rPr>
        <w:t xml:space="preserve">Trust &amp; Operations Layer</w:t>
      </w:r>
      <w:r>
        <w:rPr>
          <w:rFonts w:ascii="Calibri" w:cs="Calibri" w:eastAsia="Calibri" w:hAnsi="Calibri"/>
          <w:i/>
          <w:iCs/>
          <w:color w:val="595959"/>
          <w:sz w:val="20"/>
          <w:szCs w:val="20"/>
        </w:rPr>
        <w:t xml:space="preserve">   ·   2–3 weeks · renumbered, was Phase 4</w:t>
      </w:r>
    </w:p>
    <w:p>
      <w:pPr>
        <w:spacing w:after="120"/>
      </w:pPr>
      <w:r>
        <w:rPr>
          <w:rFonts w:ascii="Calibri" w:cs="Calibri" w:eastAsia="Calibri" w:hAnsi="Calibri"/>
          <w:b w:val="false"/>
          <w:bCs w:val="false"/>
          <w:i/>
          <w:iCs/>
          <w:color w:val="595959"/>
          <w:sz w:val="22"/>
          <w:szCs w:val="22"/>
        </w:rPr>
        <w:t xml:space="preserve">Match how buyers in this trade actually communicate, reorder, and get rewarded for loyalty.</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WhatsApp order confirmation and support — high trust and adoption with wholesale buyers.</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Push notifications for order status and seasonal/festive offers.</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Distributor volume loyalty / rebate program.</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Low-stock alerts in admin, tuned for breakage-prone inventory.</w:t>
      </w:r>
    </w:p>
    <w:p>
      <w:pPr>
        <w:spacing w:after="90"/>
      </w:pPr>
      <w:r>
        <w:rPr>
          <w:rFonts w:ascii="Calibri" w:cs="Calibri" w:eastAsia="Calibri" w:hAnsi="Calibri"/>
          <w:b/>
          <w:bCs/>
          <w:color w:val="B00020"/>
          <w:sz w:val="18"/>
          <w:szCs w:val="18"/>
        </w:rPr>
        <w:t xml:space="preserve">NEW  </w:t>
      </w:r>
      <w:r>
        <w:rPr>
          <w:rFonts w:ascii="Calibri" w:cs="Calibri" w:eastAsia="Calibri" w:hAnsi="Calibri"/>
          <w:sz w:val="22"/>
          <w:szCs w:val="22"/>
        </w:rPr>
        <w:t xml:space="preserve">Build — Trade-credit / BNPL partner evaluation: assess embedding a third-party trade-finance provider alongside the internal khata ledger, matching the financing options large distributors now expect from competing B2B platforms.</w:t>
      </w:r>
    </w:p>
    <w:p>
      <w:pPr>
        <w:pBdr>
          <w:bottom w:val="single" w:color="1F2A44" w:sz="8" w:space="4"/>
        </w:pBdr>
        <w:spacing w:after="60" w:before="360"/>
      </w:pPr>
      <w:r>
        <w:rPr>
          <w:rFonts w:ascii="Calibri" w:cs="Calibri" w:eastAsia="Calibri" w:hAnsi="Calibri"/>
          <w:b/>
          <w:bCs/>
          <w:color w:val="9C6B1F"/>
          <w:sz w:val="22"/>
          <w:szCs w:val="22"/>
        </w:rPr>
        <w:t xml:space="preserve">PHASE 6   </w:t>
      </w:r>
      <w:r>
        <w:rPr>
          <w:rFonts w:ascii="Calibri" w:cs="Calibri" w:eastAsia="Calibri" w:hAnsi="Calibri"/>
          <w:b/>
          <w:bCs/>
          <w:color w:val="1F2A44"/>
          <w:sz w:val="26"/>
          <w:szCs w:val="26"/>
        </w:rPr>
        <w:t xml:space="preserve">Scale &amp; Hardening</w:t>
      </w:r>
      <w:r>
        <w:rPr>
          <w:rFonts w:ascii="Calibri" w:cs="Calibri" w:eastAsia="Calibri" w:hAnsi="Calibri"/>
          <w:i/>
          <w:iCs/>
          <w:color w:val="595959"/>
          <w:sz w:val="20"/>
          <w:szCs w:val="20"/>
        </w:rPr>
        <w:t xml:space="preserve">   ·   Ongoing, post-launch · renumbered, was Phase 5</w:t>
      </w:r>
    </w:p>
    <w:p>
      <w:pPr>
        <w:spacing w:after="120"/>
      </w:pPr>
      <w:r>
        <w:rPr>
          <w:rFonts w:ascii="Calibri" w:cs="Calibri" w:eastAsia="Calibri" w:hAnsi="Calibri"/>
          <w:b w:val="false"/>
          <w:bCs w:val="false"/>
          <w:i/>
          <w:iCs/>
          <w:color w:val="595959"/>
          <w:sz w:val="22"/>
          <w:szCs w:val="22"/>
        </w:rPr>
        <w:t xml:space="preserve">Sustain growth without breaking the trust the first phases built.</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Load/performance testing as order volume grows.</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Regional courier / trade-transport integration for wholesale shipments.</w:t>
      </w:r>
    </w:p>
    <w:p>
      <w:pPr>
        <w:spacing w:after="90"/>
      </w:pPr>
      <w:r>
        <w:rPr>
          <w:rFonts w:ascii="Calibri" w:cs="Calibri" w:eastAsia="Calibri" w:hAnsi="Calibri"/>
          <w:b/>
          <w:bCs/>
          <w:color w:val="1F5DA9"/>
          <w:sz w:val="18"/>
          <w:szCs w:val="18"/>
        </w:rPr>
        <w:t xml:space="preserve">BUILD  </w:t>
      </w:r>
      <w:r>
        <w:rPr>
          <w:rFonts w:ascii="Calibri" w:cs="Calibri" w:eastAsia="Calibri" w:hAnsi="Calibri"/>
          <w:color w:val="222222"/>
          <w:sz w:val="22"/>
          <w:szCs w:val="22"/>
        </w:rPr>
        <w:t xml:space="preserve">Demand forecasting from order data, for inventory planning — now informed by festive-calendar and tender-cycle seasonality data from Phases 2 and 3.</w:t>
      </w:r>
    </w:p>
    <w:p>
      <w:pPr>
        <w:spacing w:after="90"/>
      </w:pPr>
      <w:r>
        <w:rPr>
          <w:rFonts w:ascii="Calibri" w:cs="Calibri" w:eastAsia="Calibri" w:hAnsi="Calibri"/>
          <w:b/>
          <w:bCs/>
          <w:color w:val="9C6B1F"/>
          <w:sz w:val="18"/>
          <w:szCs w:val="18"/>
        </w:rPr>
        <w:t xml:space="preserve">FIX  </w:t>
      </w:r>
      <w:r>
        <w:rPr>
          <w:rFonts w:ascii="Calibri" w:cs="Calibri" w:eastAsia="Calibri" w:hAnsi="Calibri"/>
          <w:color w:val="222222"/>
          <w:sz w:val="22"/>
          <w:szCs w:val="22"/>
        </w:rPr>
        <w:t xml:space="preserve">Full security review before wide public launch.</w:t>
      </w:r>
    </w:p>
    <w:p>
      <w:r>
        <w:br w:type="page"/>
      </w:r>
    </w:p>
    <w:p>
      <w:pPr>
        <w:pStyle w:val="Heading1"/>
        <w:spacing w:after="120" w:before="280"/>
      </w:pPr>
      <w:r>
        <w:rPr>
          <w:rFonts w:ascii="Calibri" w:cs="Calibri" w:eastAsia="Calibri" w:hAnsi="Calibri"/>
          <w:b/>
          <w:bCs/>
          <w:color w:val="1F2A44"/>
        </w:rPr>
        <w:t xml:space="preserve">04 · Feature Roadmap by Business Goal</w:t>
      </w:r>
    </w:p>
    <w:p>
      <w:pPr>
        <w:spacing w:after="120"/>
      </w:pPr>
      <w:r>
        <w:rPr>
          <w:rFonts w:ascii="Calibri" w:cs="Calibri" w:eastAsia="Calibri" w:hAnsi="Calibri"/>
          <w:b w:val="false"/>
          <w:bCs w:val="false"/>
          <w:i w:val="false"/>
          <w:iCs w:val="false"/>
          <w:color w:val="222222"/>
          <w:sz w:val="22"/>
          <w:szCs w:val="22"/>
        </w:rPr>
        <w:t xml:space="preserve">How each vertical maps to the phases above, and why it's on the plan. Two new verticals (rows 3 and 4) have been added in this revision.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300"/>
      </w:tblGrid>
      <w:tr>
        <w:tc>
          <w:tcPr>
            <w:tcW w:type="dxa" w:w="19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Vertical</w:t>
            </w:r>
          </w:p>
        </w:tc>
        <w:tc>
          <w:tcPr>
            <w:tcW w:type="dxa" w:w="34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Key features</w:t>
            </w:r>
          </w:p>
        </w:tc>
        <w:tc>
          <w:tcPr>
            <w:tcW w:type="dxa" w:w="43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Why it matters</w:t>
            </w:r>
          </w:p>
        </w:tc>
      </w:tr>
      <w:tr>
        <w:tc>
          <w:tcPr>
            <w:tcW w:type="dxa" w:w="19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Wholesale &amp; Distributors</w:t>
            </w:r>
          </w:p>
        </w:tc>
        <w:tc>
          <w:tcPr>
            <w:tcW w:type="dxa" w:w="34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MOQ-tiered pricing</w:t>
            </w:r>
          </w:p>
          <w:p>
            <w:pPr>
              <w:spacing w:after="40"/>
            </w:pPr>
            <w:r>
              <w:rPr>
                <w:rFonts w:ascii="Calibri" w:cs="Calibri" w:eastAsia="Calibri" w:hAnsi="Calibri"/>
                <w:sz w:val="20"/>
                <w:szCs w:val="20"/>
              </w:rPr>
              <w:t xml:space="preserve">Credit ledger</w:t>
            </w:r>
          </w:p>
          <w:p>
            <w:pPr>
              <w:spacing w:after="40"/>
            </w:pPr>
            <w:r>
              <w:rPr>
                <w:rFonts w:ascii="Calibri" w:cs="Calibri" w:eastAsia="Calibri" w:hAnsi="Calibri"/>
                <w:sz w:val="20"/>
                <w:szCs w:val="20"/>
              </w:rPr>
              <w:t xml:space="preserve">Quick-order pad</w:t>
            </w:r>
          </w:p>
          <w:p>
            <w:pPr>
              <w:spacing w:after="40"/>
            </w:pPr>
            <w:r>
              <w:rPr>
                <w:rFonts w:ascii="Calibri" w:cs="Calibri" w:eastAsia="Calibri" w:hAnsi="Calibri"/>
                <w:sz w:val="20"/>
                <w:szCs w:val="20"/>
              </w:rPr>
              <w:t xml:space="preserve">GST invoicing</w:t>
            </w:r>
          </w:p>
          <w:p>
            <w:pPr>
              <w:spacing w:after="40"/>
            </w:pPr>
            <w:r>
              <w:rPr>
                <w:rFonts w:ascii="Calibri" w:cs="Calibri" w:eastAsia="Calibri" w:hAnsi="Calibri"/>
                <w:sz w:val="20"/>
                <w:szCs w:val="20"/>
              </w:rPr>
              <w:t xml:space="preserve">Request-a-Quote pipeline (new)</w:t>
            </w:r>
          </w:p>
        </w:tc>
        <w:tc>
          <w:tcPr>
            <w:tcW w:type="dxa" w:w="43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Turns existing distributor relationships into the app's core, defensible revenue channel — not competing head-on with Amazon/Flipkart on retail traffic.</w:t>
            </w:r>
          </w:p>
        </w:tc>
      </w:tr>
      <w:tr>
        <w:tc>
          <w:tcPr>
            <w:tcW w:type="dxa" w:w="19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Wedding &amp; Bulk Gifting</w:t>
            </w:r>
          </w:p>
        </w:tc>
        <w:tc>
          <w:tcPr>
            <w:tcW w:type="dxa" w:w="34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Wedding collections</w:t>
            </w:r>
          </w:p>
          <w:p>
            <w:pPr>
              <w:spacing w:after="40"/>
            </w:pPr>
            <w:r>
              <w:rPr>
                <w:rFonts w:ascii="Calibri" w:cs="Calibri" w:eastAsia="Calibri" w:hAnsi="Calibri"/>
                <w:sz w:val="20"/>
                <w:szCs w:val="20"/>
              </w:rPr>
              <w:t xml:space="preserve">Bulk return-gift packs</w:t>
            </w:r>
          </w:p>
          <w:p>
            <w:pPr>
              <w:spacing w:after="40"/>
            </w:pPr>
            <w:r>
              <w:rPr>
                <w:rFonts w:ascii="Calibri" w:cs="Calibri" w:eastAsia="Calibri" w:hAnsi="Calibri"/>
                <w:sz w:val="20"/>
                <w:szCs w:val="20"/>
              </w:rPr>
              <w:t xml:space="preserve">Engraving/customization</w:t>
            </w:r>
          </w:p>
          <w:p>
            <w:pPr>
              <w:spacing w:after="40"/>
            </w:pPr>
            <w:r>
              <w:rPr>
                <w:rFonts w:ascii="Calibri" w:cs="Calibri" w:eastAsia="Calibri" w:hAnsi="Calibri"/>
                <w:sz w:val="20"/>
                <w:szCs w:val="20"/>
              </w:rPr>
              <w:t xml:space="preserve">Installment booking</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Steel and crockery are a traditional Indian wedding-gifting category still bought offline in bulk — an underexploited, high-margin niche well suited to a premium brand.</w:t>
            </w:r>
          </w:p>
        </w:tc>
      </w:tr>
      <w:tr>
        <w:tc>
          <w:tcPr>
            <w:tcW w:type="dxa" w:w="19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Corporate Gifting (NEW)</w:t>
            </w:r>
          </w:p>
        </w:tc>
        <w:tc>
          <w:tcPr>
            <w:tcW w:type="dxa" w:w="34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Budget-tier gift builder</w:t>
            </w:r>
          </w:p>
          <w:p>
            <w:pPr>
              <w:spacing w:after="40"/>
            </w:pPr>
            <w:r>
              <w:rPr>
                <w:rFonts w:ascii="Calibri" w:cs="Calibri" w:eastAsia="Calibri" w:hAnsi="Calibri"/>
                <w:sz w:val="20"/>
                <w:szCs w:val="20"/>
              </w:rPr>
              <w:t xml:space="preserve">Brand-asset proofing</w:t>
            </w:r>
          </w:p>
          <w:p>
            <w:pPr>
              <w:spacing w:after="40"/>
            </w:pPr>
            <w:r>
              <w:rPr>
                <w:rFonts w:ascii="Calibri" w:cs="Calibri" w:eastAsia="Calibri" w:hAnsi="Calibri"/>
                <w:sz w:val="20"/>
                <w:szCs w:val="20"/>
              </w:rPr>
              <w:t xml:space="preserve">Deadline production calendar</w:t>
            </w:r>
          </w:p>
          <w:p>
            <w:pPr>
              <w:spacing w:after="40"/>
            </w:pPr>
            <w:r>
              <w:rPr>
                <w:rFonts w:ascii="Calibri" w:cs="Calibri" w:eastAsia="Calibri" w:hAnsi="Calibri"/>
                <w:sz w:val="20"/>
                <w:szCs w:val="20"/>
              </w:rPr>
              <w:t xml:space="preserve">One-click annual reorder</w:t>
            </w:r>
          </w:p>
        </w:tc>
        <w:tc>
          <w:tcPr>
            <w:tcW w:type="dxa" w:w="43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Diwali/festive corporate gifting is a larger and more frequent bulk-order occasion than weddings alone, with repeat annual demand from the same procurement buyer.</w:t>
            </w:r>
          </w:p>
        </w:tc>
      </w:tr>
      <w:tr>
        <w:tc>
          <w:tcPr>
            <w:tcW w:type="dxa" w:w="19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HoReCa &amp; Institutional (NEW)</w:t>
            </w:r>
          </w:p>
        </w:tc>
        <w:tc>
          <w:tcPr>
            <w:tcW w:type="dxa" w:w="34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Catering SKUs &amp; standing orders</w:t>
            </w:r>
          </w:p>
          <w:p>
            <w:pPr>
              <w:spacing w:after="40"/>
            </w:pPr>
            <w:r>
              <w:rPr>
                <w:rFonts w:ascii="Calibri" w:cs="Calibri" w:eastAsia="Calibri" w:hAnsi="Calibri"/>
                <w:sz w:val="20"/>
                <w:szCs w:val="20"/>
              </w:rPr>
              <w:t xml:space="preserve">Annual contract pricing</w:t>
            </w:r>
          </w:p>
          <w:p>
            <w:pPr>
              <w:spacing w:after="40"/>
            </w:pPr>
            <w:r>
              <w:rPr>
                <w:rFonts w:ascii="Calibri" w:cs="Calibri" w:eastAsia="Calibri" w:hAnsi="Calibri"/>
                <w:sz w:val="20"/>
                <w:szCs w:val="20"/>
              </w:rPr>
              <w:t xml:space="preserve">GeM/tender readiness</w:t>
            </w:r>
          </w:p>
          <w:p>
            <w:pPr>
              <w:spacing w:after="40"/>
            </w:pPr>
            <w:r>
              <w:rPr>
                <w:rFonts w:ascii="Calibri" w:cs="Calibri" w:eastAsia="Calibri" w:hAnsi="Calibri"/>
                <w:sz w:val="20"/>
                <w:szCs w:val="20"/>
              </w:rPr>
              <w:t xml:space="preserve">Institutional kit bundles</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Non-seasonal, recurring demand that smooths cash flow across the year; government/institutional tenders add a large, low-competition order channel.</w:t>
            </w:r>
          </w:p>
        </w:tc>
      </w:tr>
      <w:tr>
        <w:tc>
          <w:tcPr>
            <w:tcW w:type="dxa" w:w="19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Premium Retail</w:t>
            </w:r>
          </w:p>
        </w:tc>
        <w:tc>
          <w:tcPr>
            <w:tcW w:type="dxa" w:w="34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Curated small-SKU storefront</w:t>
            </w:r>
          </w:p>
          <w:p>
            <w:pPr>
              <w:spacing w:after="40"/>
            </w:pPr>
            <w:r>
              <w:rPr>
                <w:rFonts w:ascii="Calibri" w:cs="Calibri" w:eastAsia="Calibri" w:hAnsi="Calibri"/>
                <w:sz w:val="20"/>
                <w:szCs w:val="20"/>
              </w:rPr>
              <w:t xml:space="preserve">Delivery-radius check</w:t>
            </w:r>
          </w:p>
          <w:p>
            <w:pPr>
              <w:spacing w:after="40"/>
            </w:pPr>
            <w:r>
              <w:rPr>
                <w:rFonts w:ascii="Calibri" w:cs="Calibri" w:eastAsia="Calibri" w:hAnsi="Calibri"/>
                <w:sz w:val="20"/>
                <w:szCs w:val="20"/>
              </w:rPr>
              <w:t xml:space="preserve">Wishlist</w:t>
            </w:r>
          </w:p>
          <w:p>
            <w:pPr>
              <w:spacing w:after="40"/>
            </w:pPr>
            <w:r>
              <w:rPr>
                <w:rFonts w:ascii="Calibri" w:cs="Calibri" w:eastAsia="Calibri" w:hAnsi="Calibri"/>
                <w:sz w:val="20"/>
                <w:szCs w:val="20"/>
              </w:rPr>
              <w:t xml:space="preserve">Photography &amp; storytelling</w:t>
            </w:r>
          </w:p>
        </w:tc>
        <w:tc>
          <w:tcPr>
            <w:tcW w:type="dxa" w:w="43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Retail can't scale pan-India from one warehouse — kept intentionally small, it builds brand trust and reviews that support the wholesale side.</w:t>
            </w:r>
          </w:p>
        </w:tc>
      </w:tr>
      <w:tr>
        <w:tc>
          <w:tcPr>
            <w:tcW w:type="dxa" w:w="19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Trust &amp; Operations</w:t>
            </w:r>
          </w:p>
        </w:tc>
        <w:tc>
          <w:tcPr>
            <w:tcW w:type="dxa" w:w="34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WhatsApp integration</w:t>
            </w:r>
          </w:p>
          <w:p>
            <w:pPr>
              <w:spacing w:after="40"/>
            </w:pPr>
            <w:r>
              <w:rPr>
                <w:rFonts w:ascii="Calibri" w:cs="Calibri" w:eastAsia="Calibri" w:hAnsi="Calibri"/>
                <w:sz w:val="20"/>
                <w:szCs w:val="20"/>
              </w:rPr>
              <w:t xml:space="preserve">Notifications</w:t>
            </w:r>
          </w:p>
          <w:p>
            <w:pPr>
              <w:spacing w:after="40"/>
            </w:pPr>
            <w:r>
              <w:rPr>
                <w:rFonts w:ascii="Calibri" w:cs="Calibri" w:eastAsia="Calibri" w:hAnsi="Calibri"/>
                <w:sz w:val="20"/>
                <w:szCs w:val="20"/>
              </w:rPr>
              <w:t xml:space="preserve">Loyalty/rebates</w:t>
            </w:r>
          </w:p>
          <w:p>
            <w:pPr>
              <w:spacing w:after="40"/>
            </w:pPr>
            <w:r>
              <w:rPr>
                <w:rFonts w:ascii="Calibri" w:cs="Calibri" w:eastAsia="Calibri" w:hAnsi="Calibri"/>
                <w:sz w:val="20"/>
                <w:szCs w:val="20"/>
              </w:rPr>
              <w:t xml:space="preserve">Low-stock alerts</w:t>
            </w:r>
          </w:p>
          <w:p>
            <w:pPr>
              <w:spacing w:after="40"/>
            </w:pPr>
            <w:r>
              <w:rPr>
                <w:rFonts w:ascii="Calibri" w:cs="Calibri" w:eastAsia="Calibri" w:hAnsi="Calibri"/>
                <w:sz w:val="20"/>
                <w:szCs w:val="20"/>
              </w:rPr>
              <w:t xml:space="preserve">Trade-credit/BNPL evaluation (new)</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Matches communication and financing habits of existing wholesale buyers and protects margin on breakage-prone stock.</w:t>
            </w:r>
          </w:p>
        </w:tc>
      </w:tr>
    </w:tbl>
    <w:p>
      <w:r>
        <w:br w:type="page"/>
      </w:r>
    </w:p>
    <w:p>
      <w:pPr>
        <w:pStyle w:val="Heading1"/>
        <w:spacing w:after="120" w:before="280"/>
      </w:pPr>
      <w:r>
        <w:rPr>
          <w:rFonts w:ascii="Calibri" w:cs="Calibri" w:eastAsia="Calibri" w:hAnsi="Calibri"/>
          <w:b/>
          <w:bCs/>
          <w:color w:val="1F2A44"/>
        </w:rPr>
        <w:t xml:space="preserve">05 · Open Questions for Reconfirmation</w:t>
      </w:r>
    </w:p>
    <w:p>
      <w:pPr>
        <w:spacing w:after="120"/>
      </w:pPr>
      <w:r>
        <w:rPr>
          <w:rFonts w:ascii="Calibri" w:cs="Calibri" w:eastAsia="Calibri" w:hAnsi="Calibri"/>
          <w:b w:val="false"/>
          <w:bCs w:val="false"/>
          <w:i w:val="false"/>
          <w:iCs w:val="false"/>
          <w:color w:val="222222"/>
          <w:sz w:val="22"/>
          <w:szCs w:val="22"/>
        </w:rPr>
        <w:t xml:space="preserve">Decisions that need an answer before the corresponding phase can be scoped in detail. New questions from this revision are marked NEW.</w:t>
      </w:r>
    </w:p>
    <w:p>
      <w:pPr>
        <w:spacing w:after="80" w:before="160"/>
      </w:pPr>
      <w:r>
        <w:rPr>
          <w:rFonts w:ascii="Calibri" w:cs="Calibri" w:eastAsia="Calibri" w:hAnsi="Calibri"/>
          <w:b/>
          <w:bCs/>
          <w:color w:val="1F2A44"/>
          <w:sz w:val="26"/>
          <w:szCs w:val="26"/>
        </w:rPr>
        <w:t xml:space="preserve">For the Business Analyst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67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Question</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Credit policy</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Standard credit period and limit per distributor tier — needed to design the ledger in Phase 1.</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MOQ pricing slabs</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What are the actual quantity breakpoints used offline today, per product category?</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Delivery radius</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Which cities/pincodes are realistically serviceable from the single warehouse for Phase 4 retail?</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Wedding season lead times</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How far in advance do customers book, and what installment schedule is realistic?</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Category sequencing</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Which launches first — utensils, crockery, or appliances — since this affects Phase 1 catalog scope.</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Corporate gifting capacity (NEW)</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Do we have production and packaging capacity to commit to fixed festive deadlines for a corporate gifting book of business, alongside wedding orders in the same window?</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HoReCa standing capacity (NEW)</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Can the warehouse support recurring replenishment commitments to hotel/catering accounts without disrupting distributor and gifting fulfillment?</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GeM/tender appetite (NEW)</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Is there sales bandwidth to pursue government/institutional tenders, and do we have the compliance documentation (quality certs, past performance) ready or fundable?</w:t>
            </w:r>
          </w:p>
        </w:tc>
      </w:tr>
    </w:tbl>
    <w:p>
      <w:pPr>
        <w:spacing w:after="80" w:before="260"/>
      </w:pPr>
      <w:r>
        <w:rPr>
          <w:rFonts w:ascii="Calibri" w:cs="Calibri" w:eastAsia="Calibri" w:hAnsi="Calibri"/>
          <w:b/>
          <w:bCs/>
          <w:color w:val="1F2A44"/>
          <w:sz w:val="26"/>
          <w:szCs w:val="26"/>
        </w:rPr>
        <w:t xml:space="preserve">For the Technical Analyst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67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Question</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Supabase scaling</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Confirm plan/limits given added ledger, invoice, quote-pipeline, and brand-asset storage volume.</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Invoice generation</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Server-side vs. client-side PDF generation for GST invoices, including HSN/SAC line items.</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WhatsApp provider</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Select a WhatsApp Business API provider and confirm compliance/cost.</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Payment key management</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Process for moving Razorpay to a production key ahead of go-live.</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Push notifications</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Confirm FCM (or alternative) hosting/cost alongside the current Supabase backend.</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Brand-asset storage (NEW)</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Confirm Supabase Storage handling for corporate brand-asset uploads (logos/artwork) — file types, size limits, and proofing/approval state model.</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Contract-pricing data model (NEW)</w:t>
            </w:r>
          </w:p>
        </w:tc>
        <w:tc>
          <w:tcPr>
            <w:tcW w:type="dxa" w:w="67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Design the annual/contract pricing object for HoReCa accounts as distinct from the per-order MOQ slab model in Phase 1.</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Trade-credit/BNPL integration (NEW)</w:t>
            </w:r>
          </w:p>
        </w:tc>
        <w:tc>
          <w:tcPr>
            <w:tcW w:type="dxa" w:w="67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If a partner is selected, confirm API integration approach and how it reconciles against the internal khata ledger.</w:t>
            </w:r>
          </w:p>
        </w:tc>
      </w:tr>
    </w:tbl>
    <w:p>
      <w:r>
        <w:br w:type="page"/>
      </w:r>
    </w:p>
    <w:p>
      <w:pPr>
        <w:pStyle w:val="Heading1"/>
        <w:spacing w:after="120" w:before="280"/>
      </w:pPr>
      <w:r>
        <w:rPr>
          <w:rFonts w:ascii="Calibri" w:cs="Calibri" w:eastAsia="Calibri" w:hAnsi="Calibri"/>
          <w:b/>
          <w:bCs/>
          <w:color w:val="1F2A44"/>
        </w:rPr>
        <w:t xml:space="preserve">06 · Review Sign-Off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c>
          <w:tcPr>
            <w:tcW w:type="dxa" w:w="26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32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Name / Date</w:t>
            </w:r>
          </w:p>
        </w:tc>
        <w:tc>
          <w:tcPr>
            <w:tcW w:type="dxa" w:w="3500"/>
            <w:shd w:fill="1F2A44" w:color="auto" w:val="clear"/>
            <w:tcMar>
              <w:top w:type="dxa" w:w="80"/>
              <w:left w:type="dxa" w:w="100"/>
              <w:bottom w:type="dxa" w:w="80"/>
              <w:right w:type="dxa" w:w="100"/>
            </w:tcMar>
          </w:tcPr>
          <w:p>
            <w:r>
              <w:rPr>
                <w:rFonts w:ascii="Calibri" w:cs="Calibri" w:eastAsia="Calibri" w:hAnsi="Calibri"/>
                <w:b/>
                <w:bCs/>
                <w:color w:val="FFFFFF"/>
                <w:sz w:val="20"/>
                <w:szCs w:val="20"/>
              </w:rPr>
              <w:t xml:space="preserve">Comments</w:t>
            </w:r>
          </w:p>
        </w:tc>
      </w:tr>
      <w:tr>
        <w:tc>
          <w:tcPr>
            <w:tcW w:type="dxa" w:w="26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Business Analyst</w:t>
            </w:r>
          </w:p>
        </w:tc>
        <w:tc>
          <w:tcPr>
            <w:tcW w:type="dxa" w:w="32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
            </w:r>
          </w:p>
        </w:tc>
        <w:tc>
          <w:tcPr>
            <w:tcW w:type="dxa" w:w="3500"/>
            <w:shd w:fill="FFFFFF" w:color="auto" w:val="clear"/>
            <w:tcMar>
              <w:top w:type="dxa" w:w="80"/>
              <w:left w:type="dxa" w:w="100"/>
              <w:bottom w:type="dxa" w:w="80"/>
              <w:right w:type="dxa" w:w="100"/>
            </w:tcMar>
          </w:tcPr>
          <w:p>
            <w:pPr>
              <w:spacing w:after="40"/>
            </w:pPr>
            <w:r>
              <w:rPr>
                <w:rFonts w:ascii="Calibri" w:cs="Calibri" w:eastAsia="Calibri" w:hAnsi="Calibri"/>
                <w:sz w:val="20"/>
                <w:szCs w:val="20"/>
              </w:rPr>
              <w:t xml:space="preserve">Comments attached</w:t>
            </w:r>
          </w:p>
        </w:tc>
      </w:tr>
      <w:tr>
        <w:tc>
          <w:tcPr>
            <w:tcW w:type="dxa" w:w="26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Technical Analyst</w:t>
            </w:r>
          </w:p>
        </w:tc>
        <w:tc>
          <w:tcPr>
            <w:tcW w:type="dxa" w:w="32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
            </w:r>
          </w:p>
        </w:tc>
        <w:tc>
          <w:tcPr>
            <w:tcW w:type="dxa" w:w="3500"/>
            <w:shd w:fill="F2F2F2" w:color="auto" w:val="clear"/>
            <w:tcMar>
              <w:top w:type="dxa" w:w="80"/>
              <w:left w:type="dxa" w:w="100"/>
              <w:bottom w:type="dxa" w:w="80"/>
              <w:right w:type="dxa" w:w="100"/>
            </w:tcMar>
          </w:tcPr>
          <w:p>
            <w:pPr>
              <w:spacing w:after="40"/>
            </w:pPr>
            <w:r>
              <w:rPr>
                <w:rFonts w:ascii="Calibri" w:cs="Calibri" w:eastAsia="Calibri" w:hAnsi="Calibri"/>
                <w:sz w:val="20"/>
                <w:szCs w:val="20"/>
              </w:rPr>
              <w:t xml:space="preserve">Comments attached</w:t>
            </w:r>
          </w:p>
        </w:tc>
      </w:tr>
    </w:tbl>
    <w:p>
      <w:pPr>
        <w:spacing w:before="300"/>
      </w:pPr>
      <w:r>
        <w:rPr>
          <w:rFonts w:ascii="Calibri" w:cs="Calibri" w:eastAsia="Calibri" w:hAnsi="Calibri"/>
          <w:i/>
          <w:iCs/>
          <w:color w:val="595959"/>
          <w:sz w:val="20"/>
          <w:szCs w:val="20"/>
        </w:rPr>
        <w:t xml:space="preserve">Draft plan — subject to change once the open questions above are answered. Phase durations assume one focused developer; adjust if team size changes. Corporate Gifting and HoReCa &amp; Institutional Accounts are new additions in this revision, based on market research into recurring bulk-order channels in the Indian utensils and crockery trade.</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95959"/>
        <w:sz w:val="16"/>
        <w:szCs w:val="16"/>
      </w:rPr>
      <w:t xml:space="preserve">Utensils, Crockery &amp; Household Appliances App — Phased Build Plan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2026-08-18T17:30:26.237Z</dcterms:created>
  <dcterms:modified xsi:type="dcterms:W3CDTF">2026-08-18T17:30:26.254Z</dcterms:modified>
</cp:coreProperties>
</file>

<file path=docProps/custom.xml><?xml version="1.0" encoding="utf-8"?>
<Properties xmlns="http://schemas.openxmlformats.org/officeDocument/2006/custom-properties" xmlns:vt="http://schemas.openxmlformats.org/officeDocument/2006/docPropsVTypes"/>
</file>