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0681" w:rsidRPr="004F0681" w:rsidRDefault="004F0681" w:rsidP="004F0681">
      <w:pPr>
        <w:jc w:val="center"/>
        <w:rPr>
          <w:rFonts w:asciiTheme="minorHAnsi" w:hAnsiTheme="minorHAnsi" w:cstheme="minorHAnsi"/>
        </w:rPr>
      </w:pPr>
      <w:r w:rsidRPr="004F0681">
        <w:rPr>
          <w:rFonts w:asciiTheme="minorHAnsi" w:hAnsiTheme="minorHAnsi" w:cstheme="minorHAnsi"/>
          <w:b/>
          <w:sz w:val="36"/>
        </w:rPr>
        <w:t>Executive Memo — Recovery Performance Review</w:t>
      </w:r>
    </w:p>
    <w:p w:rsidR="004F0681" w:rsidRPr="004F0681" w:rsidRDefault="004F0681" w:rsidP="004F0681">
      <w:pPr>
        <w:jc w:val="center"/>
        <w:rPr>
          <w:rFonts w:asciiTheme="minorHAnsi" w:hAnsiTheme="minorHAnsi" w:cstheme="minorHAnsi"/>
        </w:rPr>
      </w:pPr>
      <w:proofErr w:type="spellStart"/>
      <w:r w:rsidRPr="004F0681">
        <w:rPr>
          <w:rFonts w:asciiTheme="minorHAnsi" w:hAnsiTheme="minorHAnsi" w:cstheme="minorHAnsi"/>
          <w:i/>
        </w:rPr>
        <w:t>CredResolve</w:t>
      </w:r>
      <w:proofErr w:type="spellEnd"/>
      <w:r w:rsidRPr="004F0681">
        <w:rPr>
          <w:rFonts w:asciiTheme="minorHAnsi" w:hAnsiTheme="minorHAnsi" w:cstheme="minorHAnsi"/>
          <w:i/>
        </w:rPr>
        <w:t xml:space="preserve"> | Data Analyst Assignment</w:t>
      </w:r>
    </w:p>
    <w:p w:rsidR="004F0681" w:rsidRPr="004F0681" w:rsidRDefault="004F0681" w:rsidP="004F0681">
      <w:pPr>
        <w:pStyle w:val="Heading1"/>
        <w:rPr>
          <w:rFonts w:asciiTheme="minorHAnsi" w:hAnsiTheme="minorHAnsi" w:cstheme="minorHAnsi"/>
          <w:color w:val="auto"/>
        </w:rPr>
      </w:pPr>
      <w:r w:rsidRPr="004F0681">
        <w:rPr>
          <w:rFonts w:asciiTheme="minorHAnsi" w:hAnsiTheme="minorHAnsi" w:cstheme="minorHAnsi"/>
          <w:color w:val="auto"/>
        </w:rPr>
        <w:t>Executive Headline</w:t>
      </w:r>
    </w:p>
    <w:p w:rsidR="004F0681" w:rsidRPr="004F0681" w:rsidRDefault="004F0681" w:rsidP="004F0681">
      <w:pPr>
        <w:rPr>
          <w:rFonts w:asciiTheme="minorHAnsi" w:hAnsiTheme="minorHAnsi" w:cstheme="minorHAnsi"/>
        </w:rPr>
      </w:pPr>
      <w:r w:rsidRPr="004F0681">
        <w:rPr>
          <w:rFonts w:asciiTheme="minorHAnsi" w:hAnsiTheme="minorHAnsi" w:cstheme="minorHAnsi"/>
        </w:rPr>
        <w:t>The reported 11% recovery improvement is real for one specific month (</w:t>
      </w:r>
      <w:proofErr w:type="spellStart"/>
      <w:r w:rsidRPr="004F0681">
        <w:rPr>
          <w:rFonts w:asciiTheme="minorHAnsi" w:hAnsiTheme="minorHAnsi" w:cstheme="minorHAnsi"/>
        </w:rPr>
        <w:t>Feb→Mar</w:t>
      </w:r>
      <w:proofErr w:type="spellEnd"/>
      <w:r w:rsidRPr="004F0681">
        <w:rPr>
          <w:rFonts w:asciiTheme="minorHAnsi" w:hAnsiTheme="minorHAnsi" w:cstheme="minorHAnsi"/>
        </w:rPr>
        <w:t>) under gross, non-campaign-attributed recovery calculations, but is not a sustained trend and the measured improvement changes materially under campaign-attributed definitions (~20–21%). No single ₹10 Cr investment is currently justified by the data. We recommend a small, measured pilot instead.</w:t>
      </w:r>
    </w:p>
    <w:p w:rsidR="004F0681" w:rsidRPr="004F0681" w:rsidRDefault="004F0681" w:rsidP="004F0681">
      <w:pPr>
        <w:pStyle w:val="Heading1"/>
        <w:rPr>
          <w:rFonts w:asciiTheme="minorHAnsi" w:hAnsiTheme="minorHAnsi" w:cstheme="minorHAnsi"/>
          <w:color w:val="auto"/>
        </w:rPr>
      </w:pPr>
      <w:r w:rsidRPr="004F0681">
        <w:rPr>
          <w:rFonts w:asciiTheme="minorHAnsi" w:hAnsiTheme="minorHAnsi" w:cstheme="minorHAnsi"/>
          <w:color w:val="auto"/>
        </w:rPr>
        <w:t>What Happened</w:t>
      </w:r>
    </w:p>
    <w:p w:rsidR="004F0681" w:rsidRPr="004F0681" w:rsidRDefault="004F0681" w:rsidP="004F0681">
      <w:pPr>
        <w:rPr>
          <w:rFonts w:asciiTheme="minorHAnsi" w:hAnsiTheme="minorHAnsi" w:cstheme="minorHAnsi"/>
        </w:rPr>
      </w:pPr>
      <w:r w:rsidRPr="004F0681">
        <w:rPr>
          <w:rFonts w:asciiTheme="minorHAnsi" w:hAnsiTheme="minorHAnsi" w:cstheme="minorHAnsi"/>
        </w:rPr>
        <w:t>Recovery rose ~11</w:t>
      </w:r>
      <w:r w:rsidR="007B3D2E">
        <w:rPr>
          <w:rFonts w:asciiTheme="minorHAnsi" w:hAnsiTheme="minorHAnsi" w:cstheme="minorHAnsi"/>
        </w:rPr>
        <w:t>.1</w:t>
      </w:r>
      <w:r w:rsidRPr="004F0681">
        <w:rPr>
          <w:rFonts w:asciiTheme="minorHAnsi" w:hAnsiTheme="minorHAnsi" w:cstheme="minorHAnsi"/>
        </w:rPr>
        <w:t xml:space="preserve">% from February to March under gross (non-campaign-attributed) recovery calculations. Duplicate and </w:t>
      </w:r>
      <w:proofErr w:type="spellStart"/>
      <w:r w:rsidRPr="004F0681">
        <w:rPr>
          <w:rFonts w:asciiTheme="minorHAnsi" w:hAnsiTheme="minorHAnsi" w:cstheme="minorHAnsi"/>
        </w:rPr>
        <w:t>timezone</w:t>
      </w:r>
      <w:proofErr w:type="spellEnd"/>
      <w:r w:rsidRPr="004F0681">
        <w:rPr>
          <w:rFonts w:asciiTheme="minorHAnsi" w:hAnsiTheme="minorHAnsi" w:cstheme="minorHAnsi"/>
        </w:rPr>
        <w:t xml:space="preserve"> checks did not materially change that result. Across January–July, recovery moved up and down rather than showing a sustained improvement; March was the largest single monthly move in the available window, but the series is too short to establish a structural break confidently.</w:t>
      </w:r>
    </w:p>
    <w:p w:rsidR="004F0681" w:rsidRPr="004F0681" w:rsidRDefault="004F0681" w:rsidP="004F0681">
      <w:pPr>
        <w:pStyle w:val="Heading1"/>
        <w:rPr>
          <w:rFonts w:asciiTheme="minorHAnsi" w:hAnsiTheme="minorHAnsi" w:cstheme="minorHAnsi"/>
          <w:color w:val="auto"/>
        </w:rPr>
      </w:pPr>
      <w:r w:rsidRPr="004F0681">
        <w:rPr>
          <w:rFonts w:asciiTheme="minorHAnsi" w:hAnsiTheme="minorHAnsi" w:cstheme="minorHAnsi"/>
          <w:color w:val="auto"/>
        </w:rPr>
        <w:t>Why?</w:t>
      </w:r>
    </w:p>
    <w:p w:rsidR="004F0681" w:rsidRPr="004F0681" w:rsidRDefault="004F0681" w:rsidP="004F0681">
      <w:pPr>
        <w:rPr>
          <w:rFonts w:asciiTheme="minorHAnsi" w:hAnsiTheme="minorHAnsi" w:cstheme="minorHAnsi"/>
        </w:rPr>
      </w:pPr>
      <w:r w:rsidRPr="004F0681">
        <w:rPr>
          <w:rFonts w:asciiTheme="minorHAnsi" w:hAnsiTheme="minorHAnsi" w:cstheme="minorHAnsi"/>
        </w:rPr>
        <w:t xml:space="preserve">The clearest observable pattern is that more accounts were worked in March: targeted accounts rose 9.8%, calls rose 11.0%, </w:t>
      </w:r>
      <w:bookmarkStart w:id="0" w:name="_GoBack"/>
      <w:bookmarkEnd w:id="0"/>
      <w:r w:rsidR="007B3D2E" w:rsidRPr="007B3D2E">
        <w:rPr>
          <w:rFonts w:asciiTheme="minorHAnsi" w:hAnsiTheme="minorHAnsi" w:cstheme="minorHAnsi"/>
        </w:rPr>
        <w:t>accounts contacted rose 9.3%</w:t>
      </w:r>
      <w:r w:rsidR="007B3D2E">
        <w:t xml:space="preserve"> </w:t>
      </w:r>
      <w:r w:rsidRPr="004F0681">
        <w:rPr>
          <w:rFonts w:asciiTheme="minorHAnsi" w:hAnsiTheme="minorHAnsi" w:cstheme="minorHAnsi"/>
        </w:rPr>
        <w:t xml:space="preserve">and paying accounts rose 11.3%, while contact rate and recovery per paying account stayed roughly flat. More reach, with no clear efficiency improvement, is the pattern most consistent with the increase. The 0–30 DPD bucket accounted for 71.5% of the total observed </w:t>
      </w:r>
      <w:proofErr w:type="spellStart"/>
      <w:r w:rsidRPr="004F0681">
        <w:rPr>
          <w:rFonts w:asciiTheme="minorHAnsi" w:hAnsiTheme="minorHAnsi" w:cstheme="minorHAnsi"/>
        </w:rPr>
        <w:t>Feb→Mar</w:t>
      </w:r>
      <w:proofErr w:type="spellEnd"/>
      <w:r w:rsidRPr="004F0681">
        <w:rPr>
          <w:rFonts w:asciiTheme="minorHAnsi" w:hAnsiTheme="minorHAnsi" w:cstheme="minorHAnsi"/>
        </w:rPr>
        <w:t xml:space="preserve"> recovery-dollar increase, but this is an accounting decomposition, not a causal attribution. Strong evidence against selection on the observed variables tested was found; unobserved selection remains possible. No observable targeting-policy intervention could be identified in the supplied targeting/campaign fields.</w:t>
      </w:r>
    </w:p>
    <w:p w:rsidR="004F0681" w:rsidRPr="004F0681" w:rsidRDefault="004F0681" w:rsidP="004F0681">
      <w:pPr>
        <w:pStyle w:val="Heading1"/>
        <w:rPr>
          <w:rFonts w:asciiTheme="minorHAnsi" w:hAnsiTheme="minorHAnsi" w:cstheme="minorHAnsi"/>
          <w:color w:val="auto"/>
        </w:rPr>
      </w:pPr>
      <w:r w:rsidRPr="004F0681">
        <w:rPr>
          <w:rFonts w:asciiTheme="minorHAnsi" w:hAnsiTheme="minorHAnsi" w:cstheme="minorHAnsi"/>
          <w:color w:val="auto"/>
        </w:rPr>
        <w:t>Confidence / Limitations</w:t>
      </w:r>
    </w:p>
    <w:p w:rsidR="004F0681" w:rsidRPr="004F0681" w:rsidRDefault="004F0681" w:rsidP="004F0681">
      <w:pPr>
        <w:pStyle w:val="ListBullet"/>
        <w:rPr>
          <w:rFonts w:asciiTheme="minorHAnsi" w:hAnsiTheme="minorHAnsi" w:cstheme="minorHAnsi"/>
        </w:rPr>
      </w:pPr>
      <w:r w:rsidRPr="004F0681">
        <w:rPr>
          <w:rFonts w:asciiTheme="minorHAnsi" w:hAnsiTheme="minorHAnsi" w:cstheme="minorHAnsi"/>
        </w:rPr>
        <w:t xml:space="preserve">High confidence: duplicate payments and tested </w:t>
      </w:r>
      <w:proofErr w:type="spellStart"/>
      <w:r w:rsidRPr="004F0681">
        <w:rPr>
          <w:rFonts w:asciiTheme="minorHAnsi" w:hAnsiTheme="minorHAnsi" w:cstheme="minorHAnsi"/>
        </w:rPr>
        <w:t>timezone</w:t>
      </w:r>
      <w:proofErr w:type="spellEnd"/>
      <w:r w:rsidRPr="004F0681">
        <w:rPr>
          <w:rFonts w:asciiTheme="minorHAnsi" w:hAnsiTheme="minorHAnsi" w:cstheme="minorHAnsi"/>
        </w:rPr>
        <w:t xml:space="preserve"> effects are not driving the </w:t>
      </w:r>
      <w:proofErr w:type="spellStart"/>
      <w:r w:rsidRPr="004F0681">
        <w:rPr>
          <w:rFonts w:asciiTheme="minorHAnsi" w:hAnsiTheme="minorHAnsi" w:cstheme="minorHAnsi"/>
        </w:rPr>
        <w:t>Feb→Mar</w:t>
      </w:r>
      <w:proofErr w:type="spellEnd"/>
      <w:r w:rsidRPr="004F0681">
        <w:rPr>
          <w:rFonts w:asciiTheme="minorHAnsi" w:hAnsiTheme="minorHAnsi" w:cstheme="minorHAnsi"/>
        </w:rPr>
        <w:t xml:space="preserve"> result.</w:t>
      </w:r>
    </w:p>
    <w:p w:rsidR="004F0681" w:rsidRPr="004F0681" w:rsidRDefault="004F0681" w:rsidP="004F0681">
      <w:pPr>
        <w:pStyle w:val="ListBullet"/>
        <w:rPr>
          <w:rFonts w:asciiTheme="minorHAnsi" w:hAnsiTheme="minorHAnsi" w:cstheme="minorHAnsi"/>
        </w:rPr>
      </w:pPr>
      <w:r w:rsidRPr="004F0681">
        <w:rPr>
          <w:rFonts w:asciiTheme="minorHAnsi" w:hAnsiTheme="minorHAnsi" w:cstheme="minorHAnsi"/>
        </w:rPr>
        <w:t>Moderate confidence: the operational-volume pattern is the best-supported explanation, but it remains observational and is not causal proof.</w:t>
      </w:r>
    </w:p>
    <w:p w:rsidR="004F0681" w:rsidRPr="004F0681" w:rsidRDefault="004F0681" w:rsidP="004F0681">
      <w:pPr>
        <w:pStyle w:val="ListBullet"/>
        <w:rPr>
          <w:rFonts w:asciiTheme="minorHAnsi" w:hAnsiTheme="minorHAnsi" w:cstheme="minorHAnsi"/>
        </w:rPr>
      </w:pPr>
      <w:r w:rsidRPr="004F0681">
        <w:rPr>
          <w:rFonts w:asciiTheme="minorHAnsi" w:hAnsiTheme="minorHAnsi" w:cstheme="minorHAnsi"/>
        </w:rPr>
        <w:t>Low confidence / unresolved: historical eligible population cannot be reconstructed reliably from the supplied static balance/status fields; the official business recovery definition is not confirmed; the targeting intervention required for a causal counterfactual is not observable.</w:t>
      </w:r>
    </w:p>
    <w:p w:rsidR="004F0681" w:rsidRPr="004F0681" w:rsidRDefault="004F0681" w:rsidP="004F0681">
      <w:pPr>
        <w:pStyle w:val="ListBullet"/>
        <w:rPr>
          <w:rFonts w:asciiTheme="minorHAnsi" w:hAnsiTheme="minorHAnsi" w:cstheme="minorHAnsi"/>
        </w:rPr>
      </w:pPr>
      <w:r w:rsidRPr="004F0681">
        <w:rPr>
          <w:rFonts w:asciiTheme="minorHAnsi" w:hAnsiTheme="minorHAnsi" w:cstheme="minorHAnsi"/>
        </w:rPr>
        <w:t>RPC and PTP-kept are not reliable enough for decision use; agent-level economics and cost per ₹ recovered are unavailable from the source data.</w:t>
      </w:r>
    </w:p>
    <w:p w:rsidR="004F0681" w:rsidRPr="004F0681" w:rsidRDefault="004F0681" w:rsidP="004F0681">
      <w:pPr>
        <w:pStyle w:val="Heading1"/>
        <w:rPr>
          <w:rFonts w:asciiTheme="minorHAnsi" w:hAnsiTheme="minorHAnsi" w:cstheme="minorHAnsi"/>
          <w:color w:val="auto"/>
        </w:rPr>
      </w:pPr>
      <w:r w:rsidRPr="004F0681">
        <w:rPr>
          <w:rFonts w:asciiTheme="minorHAnsi" w:hAnsiTheme="minorHAnsi" w:cstheme="minorHAnsi"/>
          <w:color w:val="auto"/>
        </w:rPr>
        <w:t>Recommendation</w:t>
      </w:r>
    </w:p>
    <w:p w:rsidR="004F0681" w:rsidRPr="004F0681" w:rsidRDefault="004F0681" w:rsidP="004F0681">
      <w:pPr>
        <w:rPr>
          <w:rFonts w:asciiTheme="minorHAnsi" w:hAnsiTheme="minorHAnsi" w:cstheme="minorHAnsi"/>
        </w:rPr>
      </w:pPr>
      <w:r w:rsidRPr="004F0681">
        <w:rPr>
          <w:rFonts w:asciiTheme="minorHAnsi" w:hAnsiTheme="minorHAnsi" w:cstheme="minorHAnsi"/>
        </w:rPr>
        <w:t>Do not commit the full ₹10 Cr to any of the six investment options at this time. The dataset does not provide the cost data or causal lift required for a defensible ROI or break-even estimate. Instead, run a small randomized pilot for Option 2 — More Collection Agents, using stratified treatment/control groups by DPD bucket × risk segment, for at least two full months. The primary outcome should be incremental ₹ recovered per account, with actual agent-hour cost supplied before any scale-up decision.</w:t>
      </w:r>
    </w:p>
    <w:p w:rsidR="004F0681" w:rsidRPr="004F0681" w:rsidRDefault="004F0681" w:rsidP="004F0681">
      <w:pPr>
        <w:pStyle w:val="Heading1"/>
        <w:rPr>
          <w:rFonts w:asciiTheme="minorHAnsi" w:hAnsiTheme="minorHAnsi" w:cstheme="minorHAnsi"/>
          <w:color w:val="auto"/>
        </w:rPr>
      </w:pPr>
      <w:r w:rsidRPr="004F0681">
        <w:rPr>
          <w:rFonts w:asciiTheme="minorHAnsi" w:hAnsiTheme="minorHAnsi" w:cstheme="minorHAnsi"/>
          <w:color w:val="auto"/>
        </w:rPr>
        <w:lastRenderedPageBreak/>
        <w:t>Financial Implication</w:t>
      </w:r>
    </w:p>
    <w:p w:rsidR="004F0681" w:rsidRPr="004F0681" w:rsidRDefault="004F0681" w:rsidP="004F0681">
      <w:pPr>
        <w:rPr>
          <w:rFonts w:asciiTheme="minorHAnsi" w:hAnsiTheme="minorHAnsi" w:cstheme="minorHAnsi"/>
        </w:rPr>
      </w:pPr>
      <w:r w:rsidRPr="004F0681">
        <w:rPr>
          <w:rFonts w:asciiTheme="minorHAnsi" w:hAnsiTheme="minorHAnsi" w:cstheme="minorHAnsi"/>
        </w:rPr>
        <w:t>No defensible ROI or break-even figure can be produced today. Committing ₹10 Cr now would be a bet, not a calculated investment.</w:t>
      </w:r>
    </w:p>
    <w:p w:rsidR="004F0681" w:rsidRPr="004F0681" w:rsidRDefault="004F0681" w:rsidP="004F0681">
      <w:pPr>
        <w:pStyle w:val="Heading1"/>
        <w:rPr>
          <w:rFonts w:asciiTheme="minorHAnsi" w:hAnsiTheme="minorHAnsi" w:cstheme="minorHAnsi"/>
          <w:color w:val="auto"/>
        </w:rPr>
      </w:pPr>
      <w:r w:rsidRPr="004F0681">
        <w:rPr>
          <w:rFonts w:asciiTheme="minorHAnsi" w:hAnsiTheme="minorHAnsi" w:cstheme="minorHAnsi"/>
          <w:color w:val="auto"/>
        </w:rPr>
        <w:t>Immediate Next Step</w:t>
      </w:r>
    </w:p>
    <w:p w:rsidR="004F0681" w:rsidRPr="004F0681" w:rsidRDefault="004F0681" w:rsidP="004F0681">
      <w:pPr>
        <w:rPr>
          <w:rFonts w:asciiTheme="minorHAnsi" w:hAnsiTheme="minorHAnsi" w:cstheme="minorHAnsi"/>
        </w:rPr>
      </w:pPr>
      <w:r w:rsidRPr="004F0681">
        <w:rPr>
          <w:rFonts w:asciiTheme="minorHAnsi" w:hAnsiTheme="minorHAnsi" w:cstheme="minorHAnsi"/>
        </w:rPr>
        <w:t>Approve a small-scale pilot budget (a fraction of ₹10 Cr), capture actual incremental agent-hour costs, and evaluate treatment-control lift before considering full deployment.</w:t>
      </w:r>
    </w:p>
    <w:p w:rsidR="00E86172" w:rsidRDefault="00E86172"/>
    <w:sectPr w:rsidR="00E86172" w:rsidSect="00034616">
      <w:footerReference w:type="default" r:id="rId5"/>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4478" w:rsidRDefault="007B3D2E">
    <w:pPr>
      <w:pStyle w:val="Footer"/>
      <w:jc w:val="center"/>
      <w:rPr>
        <w:rFonts w:hint="eastAsia"/>
      </w:rPr>
    </w:pPr>
    <w:r>
      <w:rPr>
        <w:sz w:val="16"/>
      </w:rPr>
      <w:t xml:space="preserve">Prepared by: </w:t>
    </w:r>
    <w:proofErr w:type="spellStart"/>
    <w:r>
      <w:rPr>
        <w:sz w:val="16"/>
      </w:rPr>
      <w:t>Harshit</w:t>
    </w:r>
    <w:proofErr w:type="spellEnd"/>
    <w:r>
      <w:rPr>
        <w:sz w:val="16"/>
      </w:rPr>
      <w:t xml:space="preserve"> </w:t>
    </w:r>
    <w:proofErr w:type="spellStart"/>
    <w:r>
      <w:rPr>
        <w:sz w:val="16"/>
      </w:rPr>
      <w:t>Kewalramani</w:t>
    </w:r>
    <w:proofErr w:type="spellEnd"/>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7FBA9EB2"/>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681"/>
    <w:rsid w:val="004F0681"/>
    <w:rsid w:val="007B3D2E"/>
    <w:rsid w:val="00E861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C28520-39A0-4A8D-AB2D-AB91586F6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0681"/>
    <w:pPr>
      <w:spacing w:after="200" w:line="276" w:lineRule="auto"/>
    </w:pPr>
    <w:rPr>
      <w:rFonts w:ascii="Aptos" w:eastAsiaTheme="minorEastAsia" w:hAnsi="Aptos"/>
      <w:sz w:val="20"/>
    </w:rPr>
  </w:style>
  <w:style w:type="paragraph" w:styleId="Heading1">
    <w:name w:val="heading 1"/>
    <w:basedOn w:val="Normal"/>
    <w:next w:val="Normal"/>
    <w:link w:val="Heading1Char"/>
    <w:uiPriority w:val="9"/>
    <w:qFormat/>
    <w:rsid w:val="004F0681"/>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681"/>
    <w:rPr>
      <w:rFonts w:asciiTheme="majorHAnsi" w:eastAsiaTheme="majorEastAsia" w:hAnsiTheme="majorHAnsi" w:cstheme="majorBidi"/>
      <w:b/>
      <w:bCs/>
      <w:color w:val="2E74B5" w:themeColor="accent1" w:themeShade="BF"/>
      <w:sz w:val="28"/>
      <w:szCs w:val="28"/>
    </w:rPr>
  </w:style>
  <w:style w:type="paragraph" w:styleId="Footer">
    <w:name w:val="footer"/>
    <w:basedOn w:val="Normal"/>
    <w:link w:val="FooterChar"/>
    <w:uiPriority w:val="99"/>
    <w:unhideWhenUsed/>
    <w:rsid w:val="004F06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0681"/>
    <w:rPr>
      <w:rFonts w:ascii="Aptos" w:eastAsiaTheme="minorEastAsia" w:hAnsi="Aptos"/>
      <w:sz w:val="20"/>
    </w:rPr>
  </w:style>
  <w:style w:type="paragraph" w:styleId="ListBullet">
    <w:name w:val="List Bullet"/>
    <w:basedOn w:val="Normal"/>
    <w:uiPriority w:val="99"/>
    <w:unhideWhenUsed/>
    <w:rsid w:val="004F0681"/>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478</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2026-09-01T21:35:00Z</dcterms:created>
  <dcterms:modified xsi:type="dcterms:W3CDTF">2026-09-01T21:35:00Z</dcterms:modified>
</cp:coreProperties>
</file>