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UX &amp; UI Product Specification</w:t>
      </w:r>
    </w:p>
    <w:p>
      <w:pPr>
        <w:jc w:val="center"/>
      </w:pPr>
      <w:r>
        <w:rPr>
          <w:b/>
        </w:rPr>
        <w:t>BlackCube Solutions LLC — Interview Assignment</w:t>
      </w:r>
      <w:r>
        <w:br/>
        <w:t>MERN + MongoDB Atlas implementation blueprint</w:t>
      </w:r>
    </w:p>
    <w:p>
      <w:pPr>
        <w:pStyle w:val="Heading1"/>
      </w:pPr>
      <w:r>
        <w:t>1. Visual Direction</w:t>
      </w:r>
    </w:p>
    <w:p>
      <w:pPr>
        <w:pStyle w:val="ListBullet"/>
      </w:pPr>
      <w:r>
        <w:t>Premium modern admin dashboard.</w:t>
      </w:r>
    </w:p>
    <w:p>
      <w:pPr>
        <w:pStyle w:val="ListBullet"/>
      </w:pPr>
      <w:r>
        <w:t>High information density without visual clutter.</w:t>
      </w:r>
    </w:p>
    <w:p>
      <w:pPr>
        <w:pStyle w:val="ListBullet"/>
      </w:pPr>
      <w:r>
        <w:t>Consistent typography, spacing, radii, borders and status semantics.</w:t>
      </w:r>
    </w:p>
    <w:p>
      <w:pPr>
        <w:pStyle w:val="ListBullet"/>
      </w:pPr>
      <w:r>
        <w:t>Motion used sparingly for feedback and transitions, never at the expense of usability.</w:t>
      </w:r>
    </w:p>
    <w:p>
      <w:pPr>
        <w:pStyle w:val="Heading1"/>
      </w:pPr>
      <w:r>
        <w:t>2. Manage Data Hierarchy</w:t>
      </w:r>
    </w:p>
    <w:p>
      <w:pPr>
        <w:pStyle w:val="ListNumber"/>
      </w:pPr>
      <w:r>
        <w:t>Sidebar/navigation</w:t>
      </w:r>
    </w:p>
    <w:p>
      <w:pPr>
        <w:pStyle w:val="ListNumber"/>
      </w:pPr>
      <w:r>
        <w:t>Page header</w:t>
      </w:r>
    </w:p>
    <w:p>
      <w:pPr>
        <w:pStyle w:val="ListNumber"/>
      </w:pPr>
      <w:r>
        <w:t>Summary cards</w:t>
      </w:r>
    </w:p>
    <w:p>
      <w:pPr>
        <w:pStyle w:val="ListNumber"/>
      </w:pPr>
      <w:r>
        <w:t>Category tabs</w:t>
      </w:r>
    </w:p>
    <w:p>
      <w:pPr>
        <w:pStyle w:val="ListNumber"/>
      </w:pPr>
      <w:r>
        <w:t>Search/filter toolbar</w:t>
      </w:r>
    </w:p>
    <w:p>
      <w:pPr>
        <w:pStyle w:val="ListNumber"/>
      </w:pPr>
      <w:r>
        <w:t>Results metadata</w:t>
      </w:r>
    </w:p>
    <w:p>
      <w:pPr>
        <w:pStyle w:val="ListNumber"/>
      </w:pPr>
      <w:r>
        <w:t>Data table</w:t>
      </w:r>
    </w:p>
    <w:p>
      <w:pPr>
        <w:pStyle w:val="ListNumber"/>
      </w:pPr>
      <w:r>
        <w:t>Pagination</w:t>
      </w:r>
    </w:p>
    <w:p>
      <w:pPr>
        <w:pStyle w:val="Heading1"/>
      </w:pPr>
      <w:r>
        <w:t>3. States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State</w:t>
            </w:r>
          </w:p>
        </w:tc>
        <w:tc>
          <w:tcPr>
            <w:tcW w:type="dxa" w:w="4968"/>
          </w:tcPr>
          <w:p>
            <w:r>
              <w:t>Behaviour</w:t>
            </w:r>
          </w:p>
        </w:tc>
      </w:tr>
      <w:tr>
        <w:tc>
          <w:tcPr>
            <w:tcW w:type="dxa" w:w="4968"/>
          </w:tcPr>
          <w:p>
            <w:r>
              <w:t>Loading</w:t>
            </w:r>
          </w:p>
        </w:tc>
        <w:tc>
          <w:tcPr>
            <w:tcW w:type="dxa" w:w="4968"/>
          </w:tcPr>
          <w:p>
            <w:r>
              <w:t>Skeletons/spinners; preserve layout.</w:t>
            </w:r>
          </w:p>
        </w:tc>
      </w:tr>
      <w:tr>
        <w:tc>
          <w:tcPr>
            <w:tcW w:type="dxa" w:w="4968"/>
          </w:tcPr>
          <w:p>
            <w:r>
              <w:t>Empty</w:t>
            </w:r>
          </w:p>
        </w:tc>
        <w:tc>
          <w:tcPr>
            <w:tcW w:type="dxa" w:w="4968"/>
          </w:tcPr>
          <w:p>
            <w:r>
              <w:t>Explain no records and link toward Upload Excel.</w:t>
            </w:r>
          </w:p>
        </w:tc>
      </w:tr>
      <w:tr>
        <w:tc>
          <w:tcPr>
            <w:tcW w:type="dxa" w:w="4968"/>
          </w:tcPr>
          <w:p>
            <w:r>
              <w:t>No results</w:t>
            </w:r>
          </w:p>
        </w:tc>
        <w:tc>
          <w:tcPr>
            <w:tcW w:type="dxa" w:w="4968"/>
          </w:tcPr>
          <w:p>
            <w:r>
              <w:t>Explain filters/search and provide Reset Filters.</w:t>
            </w:r>
          </w:p>
        </w:tc>
      </w:tr>
      <w:tr>
        <w:tc>
          <w:tcPr>
            <w:tcW w:type="dxa" w:w="4968"/>
          </w:tcPr>
          <w:p>
            <w:r>
              <w:t>Success</w:t>
            </w:r>
          </w:p>
        </w:tc>
        <w:tc>
          <w:tcPr>
            <w:tcW w:type="dxa" w:w="4968"/>
          </w:tcPr>
          <w:p>
            <w:r>
              <w:t>Toast/inline confirmation.</w:t>
            </w:r>
          </w:p>
        </w:tc>
      </w:tr>
      <w:tr>
        <w:tc>
          <w:tcPr>
            <w:tcW w:type="dxa" w:w="4968"/>
          </w:tcPr>
          <w:p>
            <w:r>
              <w:t>Error</w:t>
            </w:r>
          </w:p>
        </w:tc>
        <w:tc>
          <w:tcPr>
            <w:tcW w:type="dxa" w:w="4968"/>
          </w:tcPr>
          <w:p>
            <w:r>
              <w:t>Readable message + retry where appropriate.</w:t>
            </w:r>
          </w:p>
        </w:tc>
      </w:tr>
      <w:tr>
        <w:tc>
          <w:tcPr>
            <w:tcW w:type="dxa" w:w="4968"/>
          </w:tcPr>
          <w:p>
            <w:r>
              <w:t>Delete confirmation</w:t>
            </w:r>
          </w:p>
        </w:tc>
        <w:tc>
          <w:tcPr>
            <w:tcW w:type="dxa" w:w="4968"/>
          </w:tcPr>
          <w:p>
            <w:r>
              <w:t>Record identity + explicit destructive action.</w:t>
            </w:r>
          </w:p>
        </w:tc>
      </w:tr>
    </w:tbl>
    <w:p>
      <w:pPr>
        <w:pStyle w:val="Heading1"/>
      </w:pPr>
      <w:r>
        <w:t>4. Responsive</w:t>
      </w:r>
    </w:p>
    <w:p>
      <w:pPr>
        <w:pStyle w:val="ListBullet"/>
      </w:pPr>
      <w:r>
        <w:t>Desktop: full sidebar and table.</w:t>
      </w:r>
    </w:p>
    <w:p>
      <w:pPr>
        <w:pStyle w:val="ListBullet"/>
      </w:pPr>
      <w:r>
        <w:t>Tablet: compact navigation and controlled horizontal table overflow.</w:t>
      </w:r>
    </w:p>
    <w:p>
      <w:pPr>
        <w:pStyle w:val="ListBullet"/>
      </w:pPr>
      <w:r>
        <w:t>Mobile: drawer navigation, stacked filters and horizontally scrollable data region or carefully designed responsive row layout.</w:t>
      </w:r>
    </w:p>
    <w:p>
      <w:pPr>
        <w:pStyle w:val="ListBullet"/>
      </w:pPr>
      <w:r>
        <w:t>No horizontal page overflow from long content.</w:t>
      </w:r>
    </w:p>
    <w:p>
      <w:pPr>
        <w:pStyle w:val="Heading1"/>
      </w:pPr>
      <w:r>
        <w:t>5. Accessibility</w:t>
      </w:r>
    </w:p>
    <w:p>
      <w:pPr>
        <w:pStyle w:val="ListBullet"/>
      </w:pPr>
      <w:r>
        <w:t>Semantic labels; keyboard navigation; visible focus; accessible dialogs; status communicated beyond color alone.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