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NORTHSTAR CAPABILITY REGISTER — SYNTHETIC FIXTURE</w:t>
      </w:r>
    </w:p>
    <w:p>
      <w:r>
        <w:t>No real customer information. Café team review.</w:t>
      </w:r>
    </w:p>
    <w:p>
      <w:r>
        <w:t>Customer data is stored in Canada in the Montreal region.</w:t>
      </w:r>
    </w:p>
    <w:p>
      <w:r>
        <w:t>SSO using SAML is enabled for enterprise tenants.</w:t>
      </w:r>
    </w:p>
    <w:p>
      <w:r>
        <w:t>AES-256 encryption at rest protects customer volumes.</w:t>
      </w:r>
    </w:p>
    <w:p>
      <w:r>
        <w:t>The incident response team operates 24/7.</w:t>
      </w:r>
    </w:p>
    <w:tbl>
      <w:tr>
        <w:tc>
          <w:p>
            <w:r>
              <w:t>Recovery time is only guaranteed within 8 hours.</w:t>
            </w:r>
          </w:p>
        </w:tc>
        <w:tc>
          <w:p>
            <w:r>
              <w:t>Audit records are retained for only 90 days.</w:t>
            </w:r>
          </w:p>
        </w:tc>
      </w:tr>
    </w:tbl>
    <w:sectPr/>
  </w:body>
</w:document>
</file>