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8596" w14:textId="77777777" w:rsidR="001930E8" w:rsidRDefault="00000000">
      <w:pPr>
        <w:jc w:val="center"/>
      </w:pPr>
      <w:r>
        <w:rPr>
          <w:b/>
          <w:color w:val="1F2A2A"/>
          <w:sz w:val="48"/>
        </w:rPr>
        <w:t>AIR QUALITY PROJECT DOCUMENTATION</w:t>
      </w:r>
    </w:p>
    <w:p w14:paraId="0DEE863D" w14:textId="77777777" w:rsidR="001930E8" w:rsidRDefault="00000000">
      <w:pPr>
        <w:jc w:val="center"/>
      </w:pPr>
      <w:r>
        <w:rPr>
          <w:i/>
          <w:sz w:val="26"/>
        </w:rPr>
        <w:t>OpenAQ Data Pipeline with Kafka, Parquet, Spark, PostgreSQL, Airflow, and FastAPI</w:t>
      </w:r>
    </w:p>
    <w:p w14:paraId="12A09539" w14:textId="77777777" w:rsidR="001930E8" w:rsidRDefault="00000000">
      <w:pPr>
        <w:jc w:val="center"/>
      </w:pPr>
      <w:r>
        <w:rPr>
          <w:sz w:val="22"/>
        </w:rPr>
        <w:t>Submission-ready technical report generated from the implemented workspace project.</w:t>
      </w:r>
    </w:p>
    <w:p w14:paraId="358974FD" w14:textId="77777777" w:rsidR="001930E8" w:rsidRDefault="00000000">
      <w:pPr>
        <w:jc w:val="center"/>
      </w:pPr>
      <w:r>
        <w:rPr>
          <w:sz w:val="22"/>
        </w:rPr>
        <w:t>Workspace: c:/P_storage/Air/aqp</w:t>
      </w:r>
    </w:p>
    <w:p w14:paraId="7559DA1C" w14:textId="77777777" w:rsidR="001930E8" w:rsidRDefault="00000000">
      <w:pPr>
        <w:jc w:val="center"/>
      </w:pPr>
      <w:r>
        <w:rPr>
          <w:sz w:val="22"/>
        </w:rPr>
        <w:t>Date: May 4, 2026</w:t>
      </w:r>
    </w:p>
    <w:p w14:paraId="131159F6" w14:textId="77777777" w:rsidR="001930E8" w:rsidRDefault="001930E8"/>
    <w:p w14:paraId="1BB4FA87" w14:textId="77777777" w:rsidR="001930E8" w:rsidRDefault="001930E8"/>
    <w:p w14:paraId="08FBBD73" w14:textId="77777777" w:rsidR="001930E8" w:rsidRDefault="001930E8" w:rsidP="00A27F3E"/>
    <w:p w14:paraId="3C9FA54B" w14:textId="77777777" w:rsidR="001930E8" w:rsidRDefault="001930E8" w:rsidP="00A27F3E"/>
    <w:p w14:paraId="5394F0C8" w14:textId="77777777" w:rsidR="001930E8" w:rsidRDefault="001930E8" w:rsidP="00A27F3E"/>
    <w:p w14:paraId="13E60DE3" w14:textId="77777777" w:rsidR="001930E8" w:rsidRDefault="001930E8" w:rsidP="00A27F3E"/>
    <w:p w14:paraId="7BAF8026" w14:textId="77777777" w:rsidR="001930E8" w:rsidRDefault="001930E8" w:rsidP="00A27F3E"/>
    <w:p w14:paraId="16D424F9" w14:textId="77777777" w:rsidR="001930E8" w:rsidRDefault="001930E8" w:rsidP="00A27F3E"/>
    <w:p w14:paraId="57123CB1" w14:textId="77777777" w:rsidR="00A27F3E" w:rsidRDefault="00A27F3E">
      <w:pPr>
        <w:rPr>
          <w:rFonts w:asciiTheme="majorHAnsi" w:eastAsiaTheme="majorEastAsia" w:hAnsiTheme="majorHAnsi" w:cstheme="majorBidi"/>
          <w:b/>
          <w:bCs/>
          <w:color w:val="365F91" w:themeColor="accent1" w:themeShade="BF"/>
          <w:sz w:val="28"/>
          <w:szCs w:val="28"/>
        </w:rPr>
      </w:pPr>
      <w:r>
        <w:br w:type="page"/>
      </w:r>
    </w:p>
    <w:p w14:paraId="639B1EF9" w14:textId="59596F5E" w:rsidR="001930E8" w:rsidRDefault="00000000">
      <w:pPr>
        <w:pStyle w:val="Heading1"/>
        <w:spacing w:before="200" w:after="120"/>
      </w:pPr>
      <w:r>
        <w:lastRenderedPageBreak/>
        <w:t>Abstract</w:t>
      </w:r>
    </w:p>
    <w:p w14:paraId="27E6E33B" w14:textId="77777777" w:rsidR="00A27F3E" w:rsidRPr="00A27F3E" w:rsidRDefault="00A27F3E" w:rsidP="00A27F3E">
      <w:pPr>
        <w:pStyle w:val="Heading1"/>
        <w:spacing w:before="0"/>
        <w:rPr>
          <w:rFonts w:ascii="Arial" w:hAnsi="Arial" w:cs="Arial"/>
          <w:b w:val="0"/>
          <w:bCs w:val="0"/>
          <w:color w:val="000000" w:themeColor="text1"/>
          <w:spacing w:val="-2"/>
          <w:sz w:val="22"/>
          <w:szCs w:val="22"/>
        </w:rPr>
      </w:pPr>
      <w:r w:rsidRPr="00A27F3E">
        <w:rPr>
          <w:rFonts w:ascii="Arial" w:hAnsi="Arial" w:cs="Arial"/>
          <w:color w:val="000000" w:themeColor="text1"/>
          <w:sz w:val="22"/>
          <w:szCs w:val="22"/>
        </w:rPr>
        <w:t xml:space="preserve">Concept </w:t>
      </w:r>
      <w:r w:rsidRPr="00A27F3E">
        <w:rPr>
          <w:rFonts w:ascii="Arial" w:hAnsi="Arial" w:cs="Arial"/>
          <w:color w:val="000000" w:themeColor="text1"/>
          <w:spacing w:val="-2"/>
          <w:sz w:val="22"/>
          <w:szCs w:val="22"/>
        </w:rPr>
        <w:t>overview</w:t>
      </w:r>
    </w:p>
    <w:p w14:paraId="5FA80AE6" w14:textId="77777777" w:rsidR="00A27F3E" w:rsidRPr="00A27F3E" w:rsidRDefault="00A27F3E" w:rsidP="00A27F3E">
      <w:pPr>
        <w:pStyle w:val="BodyText"/>
        <w:jc w:val="both"/>
        <w:rPr>
          <w:rFonts w:ascii="Arial" w:hAnsi="Arial" w:cs="Arial"/>
          <w:sz w:val="22"/>
          <w:szCs w:val="20"/>
        </w:rPr>
      </w:pPr>
      <w:r w:rsidRPr="00A27F3E">
        <w:rPr>
          <w:rFonts w:ascii="Arial" w:hAnsi="Arial" w:cs="Arial"/>
          <w:sz w:val="22"/>
          <w:szCs w:val="20"/>
        </w:rPr>
        <w:t xml:space="preserve">This project designs and implements a batch processing data architecture for large-scale air quality monitoring. The </w:t>
      </w:r>
      <w:proofErr w:type="spellStart"/>
      <w:r w:rsidRPr="00A27F3E">
        <w:rPr>
          <w:rFonts w:ascii="Arial" w:hAnsi="Arial" w:cs="Arial"/>
          <w:sz w:val="22"/>
          <w:szCs w:val="20"/>
        </w:rPr>
        <w:t>OpenAQ</w:t>
      </w:r>
      <w:proofErr w:type="spellEnd"/>
      <w:r w:rsidRPr="00A27F3E">
        <w:rPr>
          <w:rFonts w:ascii="Arial" w:hAnsi="Arial" w:cs="Arial"/>
          <w:sz w:val="22"/>
          <w:szCs w:val="20"/>
        </w:rPr>
        <w:t xml:space="preserve"> public dataset is selected as the data source, providing over one million timestamped measurements of PM2.5, PM10, NO2, SO2, CO, and O3 from government sensors across 90+ countries, satisfying the minimum data-volume and</w:t>
      </w:r>
      <w:r w:rsidRPr="00A27F3E">
        <w:rPr>
          <w:rFonts w:ascii="Arial" w:hAnsi="Arial" w:cs="Arial"/>
          <w:spacing w:val="40"/>
          <w:sz w:val="22"/>
          <w:szCs w:val="20"/>
        </w:rPr>
        <w:t xml:space="preserve"> </w:t>
      </w:r>
      <w:r w:rsidRPr="00A27F3E">
        <w:rPr>
          <w:rFonts w:ascii="Arial" w:hAnsi="Arial" w:cs="Arial"/>
          <w:sz w:val="22"/>
          <w:szCs w:val="20"/>
        </w:rPr>
        <w:t>timestamp requirements. Data is ingested monthly via an Apache Kafka producer microservice, staged as Parquet files on a shared Docker volume, then processed quarterly by an Apache Spark</w:t>
      </w:r>
      <w:r w:rsidRPr="00A27F3E">
        <w:rPr>
          <w:rFonts w:ascii="Arial" w:hAnsi="Arial" w:cs="Arial"/>
          <w:spacing w:val="-5"/>
          <w:sz w:val="22"/>
          <w:szCs w:val="20"/>
        </w:rPr>
        <w:t xml:space="preserve"> </w:t>
      </w:r>
      <w:r w:rsidRPr="00A27F3E">
        <w:rPr>
          <w:rFonts w:ascii="Arial" w:hAnsi="Arial" w:cs="Arial"/>
          <w:sz w:val="22"/>
          <w:szCs w:val="20"/>
        </w:rPr>
        <w:t>batch</w:t>
      </w:r>
      <w:r w:rsidRPr="00A27F3E">
        <w:rPr>
          <w:rFonts w:ascii="Arial" w:hAnsi="Arial" w:cs="Arial"/>
          <w:spacing w:val="-5"/>
          <w:sz w:val="22"/>
          <w:szCs w:val="20"/>
        </w:rPr>
        <w:t xml:space="preserve"> </w:t>
      </w:r>
      <w:r w:rsidRPr="00A27F3E">
        <w:rPr>
          <w:rFonts w:ascii="Arial" w:hAnsi="Arial" w:cs="Arial"/>
          <w:sz w:val="22"/>
          <w:szCs w:val="20"/>
        </w:rPr>
        <w:t>job</w:t>
      </w:r>
      <w:r w:rsidRPr="00A27F3E">
        <w:rPr>
          <w:rFonts w:ascii="Arial" w:hAnsi="Arial" w:cs="Arial"/>
          <w:spacing w:val="-5"/>
          <w:sz w:val="22"/>
          <w:szCs w:val="20"/>
        </w:rPr>
        <w:t xml:space="preserve"> </w:t>
      </w:r>
      <w:r w:rsidRPr="00A27F3E">
        <w:rPr>
          <w:rFonts w:ascii="Arial" w:hAnsi="Arial" w:cs="Arial"/>
          <w:sz w:val="22"/>
          <w:szCs w:val="20"/>
        </w:rPr>
        <w:t>that</w:t>
      </w:r>
      <w:r w:rsidRPr="00A27F3E">
        <w:rPr>
          <w:rFonts w:ascii="Arial" w:hAnsi="Arial" w:cs="Arial"/>
          <w:spacing w:val="-5"/>
          <w:sz w:val="22"/>
          <w:szCs w:val="20"/>
        </w:rPr>
        <w:t xml:space="preserve"> </w:t>
      </w:r>
      <w:r w:rsidRPr="00A27F3E">
        <w:rPr>
          <w:rFonts w:ascii="Arial" w:hAnsi="Arial" w:cs="Arial"/>
          <w:sz w:val="22"/>
          <w:szCs w:val="20"/>
        </w:rPr>
        <w:t>cleans,</w:t>
      </w:r>
      <w:r w:rsidRPr="00A27F3E">
        <w:rPr>
          <w:rFonts w:ascii="Arial" w:hAnsi="Arial" w:cs="Arial"/>
          <w:spacing w:val="-5"/>
          <w:sz w:val="22"/>
          <w:szCs w:val="20"/>
        </w:rPr>
        <w:t xml:space="preserve"> </w:t>
      </w:r>
      <w:r w:rsidRPr="00A27F3E">
        <w:rPr>
          <w:rFonts w:ascii="Arial" w:hAnsi="Arial" w:cs="Arial"/>
          <w:sz w:val="22"/>
          <w:szCs w:val="20"/>
        </w:rPr>
        <w:t>normalizes,</w:t>
      </w:r>
      <w:r w:rsidRPr="00A27F3E">
        <w:rPr>
          <w:rFonts w:ascii="Arial" w:hAnsi="Arial" w:cs="Arial"/>
          <w:spacing w:val="-5"/>
          <w:sz w:val="22"/>
          <w:szCs w:val="20"/>
        </w:rPr>
        <w:t xml:space="preserve"> </w:t>
      </w:r>
      <w:r w:rsidRPr="00A27F3E">
        <w:rPr>
          <w:rFonts w:ascii="Arial" w:hAnsi="Arial" w:cs="Arial"/>
          <w:sz w:val="22"/>
          <w:szCs w:val="20"/>
        </w:rPr>
        <w:t>and</w:t>
      </w:r>
      <w:r w:rsidRPr="00A27F3E">
        <w:rPr>
          <w:rFonts w:ascii="Arial" w:hAnsi="Arial" w:cs="Arial"/>
          <w:spacing w:val="-5"/>
          <w:sz w:val="22"/>
          <w:szCs w:val="20"/>
        </w:rPr>
        <w:t xml:space="preserve"> </w:t>
      </w:r>
      <w:r w:rsidRPr="00A27F3E">
        <w:rPr>
          <w:rFonts w:ascii="Arial" w:hAnsi="Arial" w:cs="Arial"/>
          <w:sz w:val="22"/>
          <w:szCs w:val="20"/>
        </w:rPr>
        <w:t>aggregates</w:t>
      </w:r>
      <w:r w:rsidRPr="00A27F3E">
        <w:rPr>
          <w:rFonts w:ascii="Arial" w:hAnsi="Arial" w:cs="Arial"/>
          <w:spacing w:val="-5"/>
          <w:sz w:val="22"/>
          <w:szCs w:val="20"/>
        </w:rPr>
        <w:t xml:space="preserve"> </w:t>
      </w:r>
      <w:r w:rsidRPr="00A27F3E">
        <w:rPr>
          <w:rFonts w:ascii="Arial" w:hAnsi="Arial" w:cs="Arial"/>
          <w:sz w:val="22"/>
          <w:szCs w:val="20"/>
        </w:rPr>
        <w:t>records</w:t>
      </w:r>
      <w:r w:rsidRPr="00A27F3E">
        <w:rPr>
          <w:rFonts w:ascii="Arial" w:hAnsi="Arial" w:cs="Arial"/>
          <w:spacing w:val="-5"/>
          <w:sz w:val="22"/>
          <w:szCs w:val="20"/>
        </w:rPr>
        <w:t xml:space="preserve"> </w:t>
      </w:r>
      <w:r w:rsidRPr="00A27F3E">
        <w:rPr>
          <w:rFonts w:ascii="Arial" w:hAnsi="Arial" w:cs="Arial"/>
          <w:sz w:val="22"/>
          <w:szCs w:val="20"/>
        </w:rPr>
        <w:t>into</w:t>
      </w:r>
      <w:r w:rsidRPr="00A27F3E">
        <w:rPr>
          <w:rFonts w:ascii="Arial" w:hAnsi="Arial" w:cs="Arial"/>
          <w:spacing w:val="-5"/>
          <w:sz w:val="22"/>
          <w:szCs w:val="20"/>
        </w:rPr>
        <w:t xml:space="preserve"> </w:t>
      </w:r>
      <w:r w:rsidRPr="00A27F3E">
        <w:rPr>
          <w:rFonts w:ascii="Arial" w:hAnsi="Arial" w:cs="Arial"/>
          <w:sz w:val="22"/>
          <w:szCs w:val="20"/>
        </w:rPr>
        <w:t>a</w:t>
      </w:r>
      <w:r w:rsidRPr="00A27F3E">
        <w:rPr>
          <w:rFonts w:ascii="Arial" w:hAnsi="Arial" w:cs="Arial"/>
          <w:spacing w:val="-5"/>
          <w:sz w:val="22"/>
          <w:szCs w:val="20"/>
        </w:rPr>
        <w:t xml:space="preserve"> </w:t>
      </w:r>
      <w:r w:rsidRPr="00A27F3E">
        <w:rPr>
          <w:rFonts w:ascii="Arial" w:hAnsi="Arial" w:cs="Arial"/>
          <w:sz w:val="22"/>
          <w:szCs w:val="20"/>
        </w:rPr>
        <w:t>star-schema</w:t>
      </w:r>
      <w:r w:rsidRPr="00A27F3E">
        <w:rPr>
          <w:rFonts w:ascii="Arial" w:hAnsi="Arial" w:cs="Arial"/>
          <w:spacing w:val="-5"/>
          <w:sz w:val="22"/>
          <w:szCs w:val="20"/>
        </w:rPr>
        <w:t xml:space="preserve"> </w:t>
      </w:r>
      <w:r w:rsidRPr="00A27F3E">
        <w:rPr>
          <w:rFonts w:ascii="Arial" w:hAnsi="Arial" w:cs="Arial"/>
          <w:sz w:val="22"/>
          <w:szCs w:val="20"/>
        </w:rPr>
        <w:t>PostgreSQL database. Apache Airflow orchestrates the full pipeline as a DAG on a quarterly schedule. All components</w:t>
      </w:r>
      <w:r w:rsidRPr="00A27F3E">
        <w:rPr>
          <w:rFonts w:ascii="Arial" w:hAnsi="Arial" w:cs="Arial"/>
          <w:spacing w:val="-4"/>
          <w:sz w:val="22"/>
          <w:szCs w:val="20"/>
        </w:rPr>
        <w:t xml:space="preserve"> </w:t>
      </w:r>
      <w:r w:rsidRPr="00A27F3E">
        <w:rPr>
          <w:rFonts w:ascii="Arial" w:hAnsi="Arial" w:cs="Arial"/>
          <w:sz w:val="22"/>
          <w:szCs w:val="20"/>
        </w:rPr>
        <w:t>run</w:t>
      </w:r>
      <w:r w:rsidRPr="00A27F3E">
        <w:rPr>
          <w:rFonts w:ascii="Arial" w:hAnsi="Arial" w:cs="Arial"/>
          <w:spacing w:val="-4"/>
          <w:sz w:val="22"/>
          <w:szCs w:val="20"/>
        </w:rPr>
        <w:t xml:space="preserve"> </w:t>
      </w:r>
      <w:r w:rsidRPr="00A27F3E">
        <w:rPr>
          <w:rFonts w:ascii="Arial" w:hAnsi="Arial" w:cs="Arial"/>
          <w:sz w:val="22"/>
          <w:szCs w:val="20"/>
        </w:rPr>
        <w:t>as</w:t>
      </w:r>
      <w:r w:rsidRPr="00A27F3E">
        <w:rPr>
          <w:rFonts w:ascii="Arial" w:hAnsi="Arial" w:cs="Arial"/>
          <w:spacing w:val="-4"/>
          <w:sz w:val="22"/>
          <w:szCs w:val="20"/>
        </w:rPr>
        <w:t xml:space="preserve"> </w:t>
      </w:r>
      <w:r w:rsidRPr="00A27F3E">
        <w:rPr>
          <w:rFonts w:ascii="Arial" w:hAnsi="Arial" w:cs="Arial"/>
          <w:sz w:val="22"/>
          <w:szCs w:val="20"/>
        </w:rPr>
        <w:t>isolated</w:t>
      </w:r>
      <w:r w:rsidRPr="00A27F3E">
        <w:rPr>
          <w:rFonts w:ascii="Arial" w:hAnsi="Arial" w:cs="Arial"/>
          <w:spacing w:val="-4"/>
          <w:sz w:val="22"/>
          <w:szCs w:val="20"/>
        </w:rPr>
        <w:t xml:space="preserve"> </w:t>
      </w:r>
      <w:r w:rsidRPr="00A27F3E">
        <w:rPr>
          <w:rFonts w:ascii="Arial" w:hAnsi="Arial" w:cs="Arial"/>
          <w:sz w:val="22"/>
          <w:szCs w:val="20"/>
        </w:rPr>
        <w:t>Docker</w:t>
      </w:r>
      <w:r w:rsidRPr="00A27F3E">
        <w:rPr>
          <w:rFonts w:ascii="Arial" w:hAnsi="Arial" w:cs="Arial"/>
          <w:spacing w:val="-4"/>
          <w:sz w:val="22"/>
          <w:szCs w:val="20"/>
        </w:rPr>
        <w:t xml:space="preserve"> </w:t>
      </w:r>
      <w:r w:rsidRPr="00A27F3E">
        <w:rPr>
          <w:rFonts w:ascii="Arial" w:hAnsi="Arial" w:cs="Arial"/>
          <w:sz w:val="22"/>
          <w:szCs w:val="20"/>
        </w:rPr>
        <w:t>containers</w:t>
      </w:r>
      <w:r w:rsidRPr="00A27F3E">
        <w:rPr>
          <w:rFonts w:ascii="Arial" w:hAnsi="Arial" w:cs="Arial"/>
          <w:spacing w:val="-4"/>
          <w:sz w:val="22"/>
          <w:szCs w:val="20"/>
        </w:rPr>
        <w:t xml:space="preserve"> </w:t>
      </w:r>
      <w:r w:rsidRPr="00A27F3E">
        <w:rPr>
          <w:rFonts w:ascii="Arial" w:hAnsi="Arial" w:cs="Arial"/>
          <w:sz w:val="22"/>
          <w:szCs w:val="20"/>
        </w:rPr>
        <w:t>declared</w:t>
      </w:r>
      <w:r w:rsidRPr="00A27F3E">
        <w:rPr>
          <w:rFonts w:ascii="Arial" w:hAnsi="Arial" w:cs="Arial"/>
          <w:spacing w:val="-4"/>
          <w:sz w:val="22"/>
          <w:szCs w:val="20"/>
        </w:rPr>
        <w:t xml:space="preserve"> </w:t>
      </w:r>
      <w:r w:rsidRPr="00A27F3E">
        <w:rPr>
          <w:rFonts w:ascii="Arial" w:hAnsi="Arial" w:cs="Arial"/>
          <w:sz w:val="22"/>
          <w:szCs w:val="20"/>
        </w:rPr>
        <w:t>in</w:t>
      </w:r>
      <w:r w:rsidRPr="00A27F3E">
        <w:rPr>
          <w:rFonts w:ascii="Arial" w:hAnsi="Arial" w:cs="Arial"/>
          <w:spacing w:val="-4"/>
          <w:sz w:val="22"/>
          <w:szCs w:val="20"/>
        </w:rPr>
        <w:t xml:space="preserve"> </w:t>
      </w:r>
      <w:r w:rsidRPr="00A27F3E">
        <w:rPr>
          <w:rFonts w:ascii="Arial" w:hAnsi="Arial" w:cs="Arial"/>
          <w:sz w:val="22"/>
          <w:szCs w:val="20"/>
        </w:rPr>
        <w:t>a</w:t>
      </w:r>
      <w:r w:rsidRPr="00A27F3E">
        <w:rPr>
          <w:rFonts w:ascii="Arial" w:hAnsi="Arial" w:cs="Arial"/>
          <w:spacing w:val="-4"/>
          <w:sz w:val="22"/>
          <w:szCs w:val="20"/>
        </w:rPr>
        <w:t xml:space="preserve"> </w:t>
      </w:r>
      <w:r w:rsidRPr="00A27F3E">
        <w:rPr>
          <w:rFonts w:ascii="Arial" w:hAnsi="Arial" w:cs="Arial"/>
          <w:sz w:val="22"/>
          <w:szCs w:val="20"/>
        </w:rPr>
        <w:t>single</w:t>
      </w:r>
      <w:r w:rsidRPr="00A27F3E">
        <w:rPr>
          <w:rFonts w:ascii="Arial" w:hAnsi="Arial" w:cs="Arial"/>
          <w:spacing w:val="-4"/>
          <w:sz w:val="22"/>
          <w:szCs w:val="20"/>
        </w:rPr>
        <w:t xml:space="preserve"> </w:t>
      </w:r>
      <w:r w:rsidRPr="00A27F3E">
        <w:rPr>
          <w:rFonts w:ascii="Arial" w:hAnsi="Arial" w:cs="Arial"/>
          <w:sz w:val="22"/>
          <w:szCs w:val="20"/>
        </w:rPr>
        <w:t>docker-</w:t>
      </w:r>
      <w:proofErr w:type="spellStart"/>
      <w:r w:rsidRPr="00A27F3E">
        <w:rPr>
          <w:rFonts w:ascii="Arial" w:hAnsi="Arial" w:cs="Arial"/>
          <w:sz w:val="22"/>
          <w:szCs w:val="20"/>
        </w:rPr>
        <w:t>compose.yml</w:t>
      </w:r>
      <w:proofErr w:type="spellEnd"/>
      <w:r w:rsidRPr="00A27F3E">
        <w:rPr>
          <w:rFonts w:ascii="Arial" w:hAnsi="Arial" w:cs="Arial"/>
          <w:sz w:val="22"/>
          <w:szCs w:val="20"/>
        </w:rPr>
        <w:t>,</w:t>
      </w:r>
      <w:r w:rsidRPr="00A27F3E">
        <w:rPr>
          <w:rFonts w:ascii="Arial" w:hAnsi="Arial" w:cs="Arial"/>
          <w:spacing w:val="-4"/>
          <w:sz w:val="22"/>
          <w:szCs w:val="20"/>
        </w:rPr>
        <w:t xml:space="preserve"> </w:t>
      </w:r>
      <w:r w:rsidRPr="00A27F3E">
        <w:rPr>
          <w:rFonts w:ascii="Arial" w:hAnsi="Arial" w:cs="Arial"/>
          <w:sz w:val="22"/>
          <w:szCs w:val="20"/>
        </w:rPr>
        <w:t>making the system fully reproducible from a Git repository with one command. Reliability is ensured through Kafka's durable log and Spark's task-retry lineage; scalability through Kafka partitioning and horizontal Spark workers; data security through environment variable credential management and Docker internal network isolation.</w:t>
      </w:r>
    </w:p>
    <w:p w14:paraId="4CB709CC" w14:textId="77777777" w:rsidR="00A27F3E" w:rsidRPr="009E339B" w:rsidRDefault="00A27F3E" w:rsidP="00A27F3E"/>
    <w:p w14:paraId="24FFB4B2" w14:textId="77777777" w:rsidR="00A27F3E" w:rsidRPr="009E339B" w:rsidRDefault="00A27F3E" w:rsidP="00A27F3E"/>
    <w:p w14:paraId="00C3E57D" w14:textId="77777777" w:rsidR="00A27F3E" w:rsidRPr="009E339B" w:rsidRDefault="00A27F3E" w:rsidP="00A27F3E">
      <w:pPr>
        <w:pStyle w:val="Heading1"/>
        <w:spacing w:before="0"/>
        <w:rPr>
          <w:rFonts w:ascii="Arial" w:hAnsi="Arial" w:cs="Arial"/>
          <w:b w:val="0"/>
          <w:bCs w:val="0"/>
          <w:color w:val="000000" w:themeColor="text1"/>
          <w:sz w:val="24"/>
          <w:szCs w:val="24"/>
        </w:rPr>
      </w:pPr>
      <w:r w:rsidRPr="009E339B">
        <w:rPr>
          <w:rFonts w:ascii="Arial" w:hAnsi="Arial" w:cs="Arial"/>
          <w:color w:val="000000" w:themeColor="text1"/>
          <w:sz w:val="24"/>
          <w:szCs w:val="24"/>
        </w:rPr>
        <w:t xml:space="preserve">Architecture </w:t>
      </w:r>
      <w:r w:rsidRPr="009E339B">
        <w:rPr>
          <w:rFonts w:ascii="Arial" w:hAnsi="Arial" w:cs="Arial"/>
          <w:color w:val="000000" w:themeColor="text1"/>
          <w:spacing w:val="-2"/>
          <w:sz w:val="24"/>
          <w:szCs w:val="24"/>
        </w:rPr>
        <w:t>diagram</w:t>
      </w:r>
    </w:p>
    <w:p w14:paraId="76479132" w14:textId="77777777" w:rsidR="00A27F3E" w:rsidRPr="009E339B" w:rsidRDefault="00A27F3E" w:rsidP="00A27F3E">
      <w:pPr>
        <w:pStyle w:val="BodyText"/>
        <w:spacing w:before="26"/>
        <w:rPr>
          <w:rFonts w:ascii="Arial" w:hAnsi="Arial" w:cs="Arial"/>
          <w:b/>
          <w:sz w:val="20"/>
        </w:rPr>
      </w:pPr>
      <w:r w:rsidRPr="009E339B">
        <w:rPr>
          <w:rFonts w:ascii="Arial" w:hAnsi="Arial" w:cs="Arial"/>
          <w:b/>
          <w:noProof/>
          <w:sz w:val="20"/>
        </w:rPr>
        <w:drawing>
          <wp:anchor distT="0" distB="0" distL="0" distR="0" simplePos="0" relativeHeight="251659264" behindDoc="1" locked="0" layoutInCell="1" allowOverlap="1" wp14:anchorId="608FA612" wp14:editId="01E2F761">
            <wp:simplePos x="0" y="0"/>
            <wp:positionH relativeFrom="page">
              <wp:posOffset>854710</wp:posOffset>
            </wp:positionH>
            <wp:positionV relativeFrom="paragraph">
              <wp:posOffset>158750</wp:posOffset>
            </wp:positionV>
            <wp:extent cx="5816125" cy="25603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6125" cy="2560319"/>
                    </a:xfrm>
                    <a:prstGeom prst="rect">
                      <a:avLst/>
                    </a:prstGeom>
                  </pic:spPr>
                </pic:pic>
              </a:graphicData>
            </a:graphic>
          </wp:anchor>
        </w:drawing>
      </w:r>
    </w:p>
    <w:p w14:paraId="329A327D" w14:textId="77777777" w:rsidR="00A27F3E" w:rsidRPr="009E339B" w:rsidRDefault="00A27F3E" w:rsidP="00A27F3E">
      <w:pPr>
        <w:spacing w:before="209" w:after="45" w:line="283" w:lineRule="auto"/>
        <w:ind w:left="2"/>
        <w:jc w:val="center"/>
        <w:rPr>
          <w:rFonts w:ascii="Arial" w:hAnsi="Arial" w:cs="Arial"/>
          <w:sz w:val="17"/>
        </w:rPr>
      </w:pPr>
      <w:r w:rsidRPr="009E339B">
        <w:rPr>
          <w:rFonts w:ascii="Arial" w:hAnsi="Arial" w:cs="Arial"/>
          <w:color w:val="666666"/>
          <w:sz w:val="17"/>
        </w:rPr>
        <w:t>Figure</w:t>
      </w:r>
      <w:r w:rsidRPr="009E339B">
        <w:rPr>
          <w:rFonts w:ascii="Arial" w:hAnsi="Arial" w:cs="Arial"/>
          <w:color w:val="666666"/>
          <w:spacing w:val="-2"/>
          <w:sz w:val="17"/>
        </w:rPr>
        <w:t xml:space="preserve"> </w:t>
      </w:r>
      <w:proofErr w:type="gramStart"/>
      <w:r w:rsidRPr="009E339B">
        <w:rPr>
          <w:rFonts w:ascii="Arial" w:hAnsi="Arial" w:cs="Arial"/>
          <w:color w:val="666666"/>
          <w:sz w:val="17"/>
        </w:rPr>
        <w:t>1</w:t>
      </w:r>
      <w:r w:rsidRPr="009E339B">
        <w:rPr>
          <w:rFonts w:ascii="Arial" w:hAnsi="Arial" w:cs="Arial"/>
          <w:color w:val="666666"/>
          <w:spacing w:val="-2"/>
          <w:sz w:val="17"/>
        </w:rPr>
        <w:t xml:space="preserve">  </w:t>
      </w:r>
      <w:r w:rsidRPr="009E339B">
        <w:rPr>
          <w:rFonts w:ascii="Arial" w:hAnsi="Arial" w:cs="Arial"/>
          <w:color w:val="666666"/>
          <w:sz w:val="17"/>
        </w:rPr>
        <w:t>Microservice</w:t>
      </w:r>
      <w:proofErr w:type="gramEnd"/>
      <w:r w:rsidRPr="009E339B">
        <w:rPr>
          <w:rFonts w:ascii="Arial" w:hAnsi="Arial" w:cs="Arial"/>
          <w:color w:val="666666"/>
          <w:spacing w:val="-2"/>
          <w:sz w:val="17"/>
        </w:rPr>
        <w:t xml:space="preserve"> </w:t>
      </w:r>
      <w:r w:rsidRPr="009E339B">
        <w:rPr>
          <w:rFonts w:ascii="Arial" w:hAnsi="Arial" w:cs="Arial"/>
          <w:color w:val="666666"/>
          <w:sz w:val="17"/>
        </w:rPr>
        <w:t>pipeline:</w:t>
      </w:r>
      <w:r w:rsidRPr="009E339B">
        <w:rPr>
          <w:rFonts w:ascii="Arial" w:hAnsi="Arial" w:cs="Arial"/>
          <w:color w:val="666666"/>
          <w:spacing w:val="-2"/>
          <w:sz w:val="17"/>
        </w:rPr>
        <w:t xml:space="preserve"> </w:t>
      </w:r>
      <w:proofErr w:type="spellStart"/>
      <w:r w:rsidRPr="009E339B">
        <w:rPr>
          <w:rFonts w:ascii="Arial" w:hAnsi="Arial" w:cs="Arial"/>
          <w:color w:val="666666"/>
          <w:sz w:val="17"/>
        </w:rPr>
        <w:t>OpenAQ</w:t>
      </w:r>
      <w:proofErr w:type="spellEnd"/>
      <w:r w:rsidRPr="009E339B">
        <w:rPr>
          <w:rFonts w:ascii="Arial" w:hAnsi="Arial" w:cs="Arial"/>
          <w:color w:val="666666"/>
          <w:spacing w:val="-2"/>
          <w:sz w:val="17"/>
        </w:rPr>
        <w:t xml:space="preserve"> </w:t>
      </w:r>
      <w:r w:rsidRPr="009E339B">
        <w:rPr>
          <w:rFonts w:ascii="Arial" w:hAnsi="Arial" w:cs="Arial"/>
          <w:color w:val="666666"/>
          <w:sz w:val="17"/>
        </w:rPr>
        <w:t>data</w:t>
      </w:r>
      <w:r w:rsidRPr="009E339B">
        <w:rPr>
          <w:rFonts w:ascii="Arial" w:hAnsi="Arial" w:cs="Arial"/>
          <w:color w:val="666666"/>
          <w:spacing w:val="-2"/>
          <w:sz w:val="17"/>
        </w:rPr>
        <w:t xml:space="preserve"> </w:t>
      </w:r>
      <w:r w:rsidRPr="009E339B">
        <w:rPr>
          <w:rFonts w:ascii="Arial" w:hAnsi="Arial" w:cs="Arial"/>
          <w:color w:val="666666"/>
          <w:sz w:val="17"/>
        </w:rPr>
        <w:t>source</w:t>
      </w:r>
      <w:r w:rsidRPr="009E339B">
        <w:rPr>
          <w:rFonts w:ascii="Arial" w:hAnsi="Arial" w:cs="Arial"/>
          <w:color w:val="666666"/>
          <w:spacing w:val="-2"/>
          <w:sz w:val="17"/>
        </w:rPr>
        <w:t xml:space="preserve"> </w:t>
      </w:r>
      <w:r>
        <w:rPr>
          <w:rFonts w:ascii="Arial" w:hAnsi="Arial" w:cs="Arial"/>
          <w:color w:val="666666"/>
          <w:sz w:val="17"/>
        </w:rPr>
        <w:t>&gt;</w:t>
      </w:r>
      <w:r w:rsidRPr="009E339B">
        <w:rPr>
          <w:rFonts w:ascii="Arial" w:hAnsi="Arial" w:cs="Arial"/>
          <w:color w:val="666666"/>
          <w:sz w:val="17"/>
        </w:rPr>
        <w:t xml:space="preserve"> Kafka</w:t>
      </w:r>
      <w:r w:rsidRPr="009E339B">
        <w:rPr>
          <w:rFonts w:ascii="Arial" w:hAnsi="Arial" w:cs="Arial"/>
          <w:color w:val="666666"/>
          <w:spacing w:val="-2"/>
          <w:sz w:val="17"/>
        </w:rPr>
        <w:t xml:space="preserve"> </w:t>
      </w:r>
      <w:r w:rsidRPr="009E339B">
        <w:rPr>
          <w:rFonts w:ascii="Arial" w:hAnsi="Arial" w:cs="Arial"/>
          <w:color w:val="666666"/>
          <w:sz w:val="17"/>
        </w:rPr>
        <w:t>broker</w:t>
      </w:r>
      <w:r w:rsidRPr="009E339B">
        <w:rPr>
          <w:rFonts w:ascii="Arial" w:hAnsi="Arial" w:cs="Arial"/>
          <w:color w:val="666666"/>
          <w:spacing w:val="-2"/>
          <w:sz w:val="17"/>
        </w:rPr>
        <w:t xml:space="preserve"> </w:t>
      </w:r>
      <w:r w:rsidRPr="009E339B">
        <w:rPr>
          <w:rFonts w:ascii="Arial" w:hAnsi="Arial" w:cs="Arial"/>
          <w:color w:val="666666"/>
          <w:sz w:val="17"/>
        </w:rPr>
        <w:t>(</w:t>
      </w:r>
      <w:proofErr w:type="spellStart"/>
      <w:r w:rsidRPr="009E339B">
        <w:rPr>
          <w:rFonts w:ascii="Arial" w:hAnsi="Arial" w:cs="Arial"/>
          <w:color w:val="666666"/>
          <w:sz w:val="17"/>
        </w:rPr>
        <w:t>air_quality_raw</w:t>
      </w:r>
      <w:proofErr w:type="spellEnd"/>
      <w:r w:rsidRPr="009E339B">
        <w:rPr>
          <w:rFonts w:ascii="Arial" w:hAnsi="Arial" w:cs="Arial"/>
          <w:color w:val="666666"/>
          <w:spacing w:val="-2"/>
          <w:sz w:val="17"/>
        </w:rPr>
        <w:t xml:space="preserve"> </w:t>
      </w:r>
      <w:r w:rsidRPr="009E339B">
        <w:rPr>
          <w:rFonts w:ascii="Arial" w:hAnsi="Arial" w:cs="Arial"/>
          <w:color w:val="666666"/>
          <w:sz w:val="17"/>
        </w:rPr>
        <w:t>topic)</w:t>
      </w:r>
      <w:r w:rsidRPr="009E339B">
        <w:rPr>
          <w:rFonts w:ascii="Arial" w:hAnsi="Arial" w:cs="Arial"/>
          <w:color w:val="666666"/>
          <w:spacing w:val="-2"/>
          <w:sz w:val="17"/>
        </w:rPr>
        <w:t xml:space="preserve"> </w:t>
      </w:r>
      <w:r>
        <w:rPr>
          <w:rFonts w:ascii="Arial" w:hAnsi="Arial" w:cs="Arial"/>
          <w:color w:val="666666"/>
          <w:sz w:val="17"/>
        </w:rPr>
        <w:t>&gt;</w:t>
      </w:r>
      <w:r w:rsidRPr="009E339B">
        <w:rPr>
          <w:rFonts w:ascii="Arial" w:hAnsi="Arial" w:cs="Arial"/>
          <w:color w:val="666666"/>
          <w:sz w:val="17"/>
        </w:rPr>
        <w:t xml:space="preserve"> Parquet</w:t>
      </w:r>
      <w:r w:rsidRPr="009E339B">
        <w:rPr>
          <w:rFonts w:ascii="Arial" w:hAnsi="Arial" w:cs="Arial"/>
          <w:color w:val="666666"/>
          <w:spacing w:val="-2"/>
          <w:sz w:val="17"/>
        </w:rPr>
        <w:t xml:space="preserve"> </w:t>
      </w:r>
      <w:r w:rsidRPr="009E339B">
        <w:rPr>
          <w:rFonts w:ascii="Arial" w:hAnsi="Arial" w:cs="Arial"/>
          <w:color w:val="666666"/>
          <w:sz w:val="17"/>
        </w:rPr>
        <w:t>staging</w:t>
      </w:r>
      <w:r w:rsidRPr="009E339B">
        <w:rPr>
          <w:rFonts w:ascii="Arial" w:hAnsi="Arial" w:cs="Arial"/>
          <w:color w:val="666666"/>
          <w:spacing w:val="-2"/>
          <w:sz w:val="17"/>
        </w:rPr>
        <w:t xml:space="preserve"> </w:t>
      </w:r>
      <w:r w:rsidRPr="009E339B">
        <w:rPr>
          <w:rFonts w:ascii="Arial" w:hAnsi="Arial" w:cs="Arial"/>
          <w:color w:val="666666"/>
          <w:sz w:val="17"/>
        </w:rPr>
        <w:t>volume</w:t>
      </w:r>
      <w:r w:rsidRPr="009E339B">
        <w:rPr>
          <w:rFonts w:ascii="Arial" w:hAnsi="Arial" w:cs="Arial"/>
          <w:color w:val="666666"/>
          <w:spacing w:val="-2"/>
          <w:sz w:val="17"/>
        </w:rPr>
        <w:t xml:space="preserve"> </w:t>
      </w:r>
      <w:r>
        <w:rPr>
          <w:rFonts w:ascii="Arial" w:hAnsi="Arial" w:cs="Arial"/>
          <w:color w:val="666666"/>
          <w:sz w:val="17"/>
        </w:rPr>
        <w:t>&gt;</w:t>
      </w:r>
      <w:r w:rsidRPr="009E339B">
        <w:rPr>
          <w:rFonts w:ascii="Arial" w:hAnsi="Arial" w:cs="Arial"/>
          <w:color w:val="666666"/>
          <w:sz w:val="17"/>
        </w:rPr>
        <w:t xml:space="preserve"> Spark</w:t>
      </w:r>
      <w:r w:rsidRPr="009E339B">
        <w:rPr>
          <w:rFonts w:ascii="Arial" w:hAnsi="Arial" w:cs="Arial"/>
          <w:color w:val="666666"/>
          <w:spacing w:val="-1"/>
          <w:sz w:val="17"/>
        </w:rPr>
        <w:t xml:space="preserve"> </w:t>
      </w:r>
      <w:r w:rsidRPr="009E339B">
        <w:rPr>
          <w:rFonts w:ascii="Arial" w:hAnsi="Arial" w:cs="Arial"/>
          <w:color w:val="666666"/>
          <w:sz w:val="17"/>
        </w:rPr>
        <w:t>batch</w:t>
      </w:r>
      <w:r w:rsidRPr="009E339B">
        <w:rPr>
          <w:rFonts w:ascii="Arial" w:hAnsi="Arial" w:cs="Arial"/>
          <w:color w:val="666666"/>
          <w:spacing w:val="-1"/>
          <w:sz w:val="17"/>
        </w:rPr>
        <w:t xml:space="preserve"> </w:t>
      </w:r>
      <w:r w:rsidRPr="009E339B">
        <w:rPr>
          <w:rFonts w:ascii="Arial" w:hAnsi="Arial" w:cs="Arial"/>
          <w:color w:val="666666"/>
          <w:sz w:val="17"/>
        </w:rPr>
        <w:t>ETL</w:t>
      </w:r>
      <w:r w:rsidRPr="009E339B">
        <w:rPr>
          <w:rFonts w:ascii="Arial" w:hAnsi="Arial" w:cs="Arial"/>
          <w:color w:val="666666"/>
          <w:spacing w:val="-1"/>
          <w:sz w:val="17"/>
        </w:rPr>
        <w:t xml:space="preserve"> </w:t>
      </w:r>
      <w:r w:rsidRPr="009E339B">
        <w:rPr>
          <w:rFonts w:ascii="Arial" w:hAnsi="Arial" w:cs="Arial"/>
          <w:color w:val="666666"/>
          <w:sz w:val="17"/>
        </w:rPr>
        <w:t>(3-stage:</w:t>
      </w:r>
      <w:r w:rsidRPr="009E339B">
        <w:rPr>
          <w:rFonts w:ascii="Arial" w:hAnsi="Arial" w:cs="Arial"/>
          <w:color w:val="666666"/>
          <w:spacing w:val="-1"/>
          <w:sz w:val="17"/>
        </w:rPr>
        <w:t xml:space="preserve"> </w:t>
      </w:r>
      <w:r w:rsidRPr="009E339B">
        <w:rPr>
          <w:rFonts w:ascii="Arial" w:hAnsi="Arial" w:cs="Arial"/>
          <w:color w:val="666666"/>
          <w:sz w:val="17"/>
        </w:rPr>
        <w:t>clean,</w:t>
      </w:r>
      <w:r w:rsidRPr="009E339B">
        <w:rPr>
          <w:rFonts w:ascii="Arial" w:hAnsi="Arial" w:cs="Arial"/>
          <w:color w:val="666666"/>
          <w:spacing w:val="-1"/>
          <w:sz w:val="17"/>
        </w:rPr>
        <w:t xml:space="preserve"> </w:t>
      </w:r>
      <w:proofErr w:type="spellStart"/>
      <w:r w:rsidRPr="009E339B">
        <w:rPr>
          <w:rFonts w:ascii="Arial" w:hAnsi="Arial" w:cs="Arial"/>
          <w:color w:val="666666"/>
          <w:sz w:val="17"/>
        </w:rPr>
        <w:t>normalise</w:t>
      </w:r>
      <w:proofErr w:type="spellEnd"/>
      <w:r w:rsidRPr="009E339B">
        <w:rPr>
          <w:rFonts w:ascii="Arial" w:hAnsi="Arial" w:cs="Arial"/>
          <w:color w:val="666666"/>
          <w:sz w:val="17"/>
        </w:rPr>
        <w:t>,</w:t>
      </w:r>
      <w:r w:rsidRPr="009E339B">
        <w:rPr>
          <w:rFonts w:ascii="Arial" w:hAnsi="Arial" w:cs="Arial"/>
          <w:color w:val="666666"/>
          <w:spacing w:val="-1"/>
          <w:sz w:val="17"/>
        </w:rPr>
        <w:t xml:space="preserve"> </w:t>
      </w:r>
      <w:r w:rsidRPr="009E339B">
        <w:rPr>
          <w:rFonts w:ascii="Arial" w:hAnsi="Arial" w:cs="Arial"/>
          <w:color w:val="666666"/>
          <w:sz w:val="17"/>
        </w:rPr>
        <w:t>aggregate)</w:t>
      </w:r>
      <w:r w:rsidRPr="009E339B">
        <w:rPr>
          <w:rFonts w:ascii="Arial" w:hAnsi="Arial" w:cs="Arial"/>
          <w:color w:val="666666"/>
          <w:spacing w:val="-1"/>
          <w:sz w:val="17"/>
        </w:rPr>
        <w:t xml:space="preserve"> </w:t>
      </w:r>
      <w:r>
        <w:rPr>
          <w:rFonts w:ascii="Arial" w:hAnsi="Arial" w:cs="Arial"/>
          <w:color w:val="666666"/>
          <w:sz w:val="17"/>
        </w:rPr>
        <w:t>&gt;</w:t>
      </w:r>
      <w:r w:rsidRPr="009E339B">
        <w:rPr>
          <w:rFonts w:ascii="Arial" w:hAnsi="Arial" w:cs="Arial"/>
          <w:color w:val="666666"/>
          <w:sz w:val="17"/>
        </w:rPr>
        <w:t xml:space="preserve"> PostgreSQL</w:t>
      </w:r>
      <w:r w:rsidRPr="009E339B">
        <w:rPr>
          <w:rFonts w:ascii="Arial" w:hAnsi="Arial" w:cs="Arial"/>
          <w:color w:val="666666"/>
          <w:spacing w:val="-1"/>
          <w:sz w:val="17"/>
        </w:rPr>
        <w:t xml:space="preserve"> </w:t>
      </w:r>
      <w:r w:rsidRPr="009E339B">
        <w:rPr>
          <w:rFonts w:ascii="Arial" w:hAnsi="Arial" w:cs="Arial"/>
          <w:color w:val="666666"/>
          <w:sz w:val="17"/>
        </w:rPr>
        <w:t>star</w:t>
      </w:r>
      <w:r w:rsidRPr="009E339B">
        <w:rPr>
          <w:rFonts w:ascii="Arial" w:hAnsi="Arial" w:cs="Arial"/>
          <w:color w:val="666666"/>
          <w:spacing w:val="-1"/>
          <w:sz w:val="17"/>
        </w:rPr>
        <w:t xml:space="preserve"> </w:t>
      </w:r>
      <w:r w:rsidRPr="009E339B">
        <w:rPr>
          <w:rFonts w:ascii="Arial" w:hAnsi="Arial" w:cs="Arial"/>
          <w:color w:val="666666"/>
          <w:sz w:val="17"/>
        </w:rPr>
        <w:t>schema.</w:t>
      </w:r>
      <w:r w:rsidRPr="009E339B">
        <w:rPr>
          <w:rFonts w:ascii="Arial" w:hAnsi="Arial" w:cs="Arial"/>
          <w:color w:val="666666"/>
          <w:spacing w:val="-1"/>
          <w:sz w:val="17"/>
        </w:rPr>
        <w:t xml:space="preserve"> </w:t>
      </w:r>
      <w:r w:rsidRPr="009E339B">
        <w:rPr>
          <w:rFonts w:ascii="Arial" w:hAnsi="Arial" w:cs="Arial"/>
          <w:color w:val="666666"/>
          <w:sz w:val="17"/>
        </w:rPr>
        <w:t>All</w:t>
      </w:r>
      <w:r w:rsidRPr="009E339B">
        <w:rPr>
          <w:rFonts w:ascii="Arial" w:hAnsi="Arial" w:cs="Arial"/>
          <w:color w:val="666666"/>
          <w:spacing w:val="-1"/>
          <w:sz w:val="17"/>
        </w:rPr>
        <w:t xml:space="preserve"> </w:t>
      </w:r>
      <w:r w:rsidRPr="009E339B">
        <w:rPr>
          <w:rFonts w:ascii="Arial" w:hAnsi="Arial" w:cs="Arial"/>
          <w:color w:val="666666"/>
          <w:sz w:val="17"/>
        </w:rPr>
        <w:t>orchestrated</w:t>
      </w:r>
      <w:r w:rsidRPr="009E339B">
        <w:rPr>
          <w:rFonts w:ascii="Arial" w:hAnsi="Arial" w:cs="Arial"/>
          <w:color w:val="666666"/>
          <w:spacing w:val="-1"/>
          <w:sz w:val="17"/>
        </w:rPr>
        <w:t xml:space="preserve"> </w:t>
      </w:r>
      <w:r w:rsidRPr="009E339B">
        <w:rPr>
          <w:rFonts w:ascii="Arial" w:hAnsi="Arial" w:cs="Arial"/>
          <w:color w:val="666666"/>
          <w:sz w:val="17"/>
        </w:rPr>
        <w:t>by</w:t>
      </w:r>
      <w:r w:rsidRPr="009E339B">
        <w:rPr>
          <w:rFonts w:ascii="Arial" w:hAnsi="Arial" w:cs="Arial"/>
          <w:color w:val="666666"/>
          <w:spacing w:val="-1"/>
          <w:sz w:val="17"/>
        </w:rPr>
        <w:t xml:space="preserve"> </w:t>
      </w:r>
      <w:r w:rsidRPr="009E339B">
        <w:rPr>
          <w:rFonts w:ascii="Arial" w:hAnsi="Arial" w:cs="Arial"/>
          <w:color w:val="666666"/>
          <w:sz w:val="17"/>
        </w:rPr>
        <w:t>Airflow inside Docker Compose.</w:t>
      </w:r>
    </w:p>
    <w:p w14:paraId="44588FB5" w14:textId="77777777" w:rsidR="00A27F3E" w:rsidRPr="00A27F3E" w:rsidRDefault="00A27F3E" w:rsidP="00A27F3E"/>
    <w:p w14:paraId="0F71AC40" w14:textId="5C202C89" w:rsidR="001930E8" w:rsidRDefault="001930E8" w:rsidP="00A27F3E">
      <w:pPr>
        <w:spacing w:after="120"/>
      </w:pPr>
    </w:p>
    <w:p w14:paraId="0F9523DE" w14:textId="77777777" w:rsidR="00A27F3E" w:rsidRDefault="00A27F3E">
      <w:pPr>
        <w:rPr>
          <w:rFonts w:asciiTheme="majorHAnsi" w:eastAsiaTheme="majorEastAsia" w:hAnsiTheme="majorHAnsi" w:cstheme="majorBidi"/>
          <w:b/>
          <w:bCs/>
          <w:color w:val="365F91" w:themeColor="accent1" w:themeShade="BF"/>
          <w:sz w:val="28"/>
          <w:szCs w:val="28"/>
        </w:rPr>
      </w:pPr>
      <w:r>
        <w:br w:type="page"/>
      </w:r>
    </w:p>
    <w:p w14:paraId="16E9DE55" w14:textId="45C0C6BD" w:rsidR="001930E8" w:rsidRDefault="00000000">
      <w:pPr>
        <w:pStyle w:val="Heading1"/>
        <w:spacing w:before="200" w:after="120"/>
      </w:pPr>
      <w:r>
        <w:lastRenderedPageBreak/>
        <w:t>Table of Contents Overview</w:t>
      </w:r>
    </w:p>
    <w:p w14:paraId="25031682" w14:textId="77777777" w:rsidR="001930E8" w:rsidRDefault="00000000">
      <w:pPr>
        <w:pStyle w:val="ListBullet"/>
        <w:spacing w:after="80"/>
      </w:pPr>
      <w:r>
        <w:t>1. Introduction and problem statement</w:t>
      </w:r>
    </w:p>
    <w:p w14:paraId="0283327A" w14:textId="77777777" w:rsidR="001930E8" w:rsidRDefault="00000000">
      <w:pPr>
        <w:pStyle w:val="ListBullet"/>
        <w:spacing w:after="80"/>
      </w:pPr>
      <w:r>
        <w:t>2. Project objectives and scope</w:t>
      </w:r>
    </w:p>
    <w:p w14:paraId="7E341D1A" w14:textId="77777777" w:rsidR="001930E8" w:rsidRDefault="00000000">
      <w:pPr>
        <w:pStyle w:val="ListBullet"/>
        <w:spacing w:after="80"/>
      </w:pPr>
      <w:r>
        <w:t>3. Dataset profile and data quality observations</w:t>
      </w:r>
    </w:p>
    <w:p w14:paraId="304D63C9" w14:textId="77777777" w:rsidR="001930E8" w:rsidRDefault="00000000">
      <w:pPr>
        <w:pStyle w:val="ListBullet"/>
        <w:spacing w:after="80"/>
      </w:pPr>
      <w:r>
        <w:t>4. System architecture and design decisions</w:t>
      </w:r>
    </w:p>
    <w:p w14:paraId="23F9F1CF" w14:textId="77777777" w:rsidR="001930E8" w:rsidRDefault="00000000">
      <w:pPr>
        <w:pStyle w:val="ListBullet"/>
        <w:spacing w:after="80"/>
      </w:pPr>
      <w:r>
        <w:t>5. Component-level implementation details</w:t>
      </w:r>
    </w:p>
    <w:p w14:paraId="46BE593B" w14:textId="77777777" w:rsidR="001930E8" w:rsidRDefault="00000000">
      <w:pPr>
        <w:pStyle w:val="ListBullet"/>
        <w:spacing w:after="80"/>
      </w:pPr>
      <w:r>
        <w:t>6. Database schema and analytical model</w:t>
      </w:r>
    </w:p>
    <w:p w14:paraId="0F720DC5" w14:textId="77777777" w:rsidR="001930E8" w:rsidRDefault="00000000">
      <w:pPr>
        <w:pStyle w:val="ListBullet"/>
        <w:spacing w:after="80"/>
      </w:pPr>
      <w:r>
        <w:t>7. API and dashboard design</w:t>
      </w:r>
    </w:p>
    <w:p w14:paraId="2586F02C" w14:textId="77777777" w:rsidR="001930E8" w:rsidRDefault="00000000">
      <w:pPr>
        <w:pStyle w:val="ListBullet"/>
        <w:spacing w:after="80"/>
      </w:pPr>
      <w:r>
        <w:t>8. Docker Compose orchestration</w:t>
      </w:r>
    </w:p>
    <w:p w14:paraId="44B884E7" w14:textId="77777777" w:rsidR="001930E8" w:rsidRDefault="00000000">
      <w:pPr>
        <w:pStyle w:val="ListBullet"/>
        <w:spacing w:after="80"/>
      </w:pPr>
      <w:r>
        <w:t>9. Testing, validation, and results</w:t>
      </w:r>
    </w:p>
    <w:p w14:paraId="75CF5F3E" w14:textId="77777777" w:rsidR="001930E8" w:rsidRDefault="00000000">
      <w:pPr>
        <w:pStyle w:val="ListBullet"/>
        <w:spacing w:after="80"/>
      </w:pPr>
      <w:r>
        <w:t>10. Limitations and future improvements</w:t>
      </w:r>
    </w:p>
    <w:p w14:paraId="2F85B8BF" w14:textId="77777777" w:rsidR="001930E8" w:rsidRDefault="00000000">
      <w:pPr>
        <w:pStyle w:val="ListBullet"/>
        <w:spacing w:after="80"/>
      </w:pPr>
      <w:r>
        <w:t>11. Project structure and run instructions</w:t>
      </w:r>
    </w:p>
    <w:p w14:paraId="380D4E87" w14:textId="77777777" w:rsidR="001930E8" w:rsidRDefault="00000000">
      <w:pPr>
        <w:pStyle w:val="ListBullet"/>
        <w:spacing w:after="80"/>
      </w:pPr>
      <w:r>
        <w:t>12. References and project links</w:t>
      </w:r>
    </w:p>
    <w:p w14:paraId="6CFBF752" w14:textId="77777777" w:rsidR="00A27F3E" w:rsidRDefault="00A27F3E">
      <w:pPr>
        <w:rPr>
          <w:rFonts w:asciiTheme="majorHAnsi" w:eastAsiaTheme="majorEastAsia" w:hAnsiTheme="majorHAnsi" w:cstheme="majorBidi"/>
          <w:b/>
          <w:bCs/>
          <w:color w:val="365F91" w:themeColor="accent1" w:themeShade="BF"/>
          <w:sz w:val="28"/>
          <w:szCs w:val="28"/>
        </w:rPr>
      </w:pPr>
      <w:r>
        <w:br w:type="page"/>
      </w:r>
    </w:p>
    <w:p w14:paraId="718A7465" w14:textId="01351890" w:rsidR="001930E8" w:rsidRDefault="00000000">
      <w:pPr>
        <w:pStyle w:val="Heading1"/>
        <w:spacing w:before="200" w:after="120"/>
      </w:pPr>
      <w:r>
        <w:lastRenderedPageBreak/>
        <w:t>1. Introduction and Problem Statement</w:t>
      </w:r>
    </w:p>
    <w:p w14:paraId="67A04159" w14:textId="77777777" w:rsidR="001930E8" w:rsidRDefault="00000000" w:rsidP="006A6E61">
      <w:pPr>
        <w:spacing w:after="120"/>
        <w:jc w:val="both"/>
      </w:pPr>
      <w:r>
        <w:t>Air quality data is a strong fit for a streaming-plus-batch architecture because records are continuously produced, frequently filtered, and usually aggregated before they become useful to analysts. The OpenAQ dataset used in this project is already rich enough to show a realistic pipeline challenge: it contains multiple countries, cities, pollutant types, timestamps, coordinates, and source metadata. However, the raw structure is not directly suitable for reporting, and it is not organized as an analytical model. That gap between raw ingestion and business-friendly access is the core problem addressed by the project.</w:t>
      </w:r>
    </w:p>
    <w:p w14:paraId="09F7DA83" w14:textId="77777777" w:rsidR="001930E8" w:rsidRDefault="00000000" w:rsidP="006A6E61">
      <w:pPr>
        <w:spacing w:after="120"/>
        <w:jc w:val="both"/>
      </w:pPr>
      <w:r>
        <w:t>The implemented system therefore moves the data through a sequence of controlled stages. First, the raw CSV is published to Kafka so that the source is represented as a transportable stream rather than a one-off file read. Second, the raw messages are written to Parquet staging so batch processing can operate efficiently. Third, Spark performs cleaning, normalization, and aggregation before the curated data is loaded into PostgreSQL for analysis and dashboarding.</w:t>
      </w:r>
    </w:p>
    <w:p w14:paraId="04868BA4" w14:textId="77777777" w:rsidR="001930E8" w:rsidRDefault="00000000" w:rsidP="006A6E61">
      <w:pPr>
        <w:spacing w:after="120"/>
        <w:jc w:val="both"/>
      </w:pPr>
      <w:r>
        <w:t>The problem statement is not only about moving data between technologies; it is also about ensuring that each technology has a clear and justified role. Kafka handles raw transport, Parquet handles efficient staging, Spark handles transformation, PostgreSQL handles relational analytics, and Airflow handles orchestration. FastAPI then exposes the result as a browser-accessible dashboard and API so the project has a visible output layer rather than a hidden data processing core.</w:t>
      </w:r>
    </w:p>
    <w:p w14:paraId="38A7C0F6" w14:textId="77777777" w:rsidR="001930E8" w:rsidRDefault="00000000">
      <w:pPr>
        <w:pStyle w:val="Heading1"/>
        <w:spacing w:before="200" w:after="120"/>
      </w:pPr>
      <w:r>
        <w:t>2. Project Objectives and Scope</w:t>
      </w:r>
    </w:p>
    <w:p w14:paraId="16A2618E" w14:textId="77777777" w:rsidR="001930E8" w:rsidRDefault="00000000">
      <w:pPr>
        <w:pStyle w:val="ListBullet"/>
        <w:spacing w:after="80"/>
      </w:pPr>
      <w:r>
        <w:t>The primary objective is to deliver an end-to-end air quality data platform that can be reproduced from the repository alone.</w:t>
      </w:r>
    </w:p>
    <w:p w14:paraId="6E85434C" w14:textId="77777777" w:rsidR="001930E8" w:rsidRDefault="00000000">
      <w:pPr>
        <w:pStyle w:val="ListBullet"/>
        <w:spacing w:after="80"/>
      </w:pPr>
      <w:r>
        <w:t>The pipeline must use the provided OpenAQ CSV and preserve the major architectural stages requested in the brief: Kafka, Parquet staging, Spark ETL, star schema loading, and Airflow orchestration.</w:t>
      </w:r>
    </w:p>
    <w:p w14:paraId="0973BC17" w14:textId="77777777" w:rsidR="001930E8" w:rsidRDefault="00000000">
      <w:pPr>
        <w:pStyle w:val="ListBullet"/>
        <w:spacing w:after="80"/>
      </w:pPr>
      <w:r>
        <w:t>The system should also provide a visible output surface through a dashboard and API so the result can be demonstrated in an academic setting.</w:t>
      </w:r>
    </w:p>
    <w:p w14:paraId="38036D09" w14:textId="77777777" w:rsidR="001930E8" w:rsidRDefault="00000000">
      <w:pPr>
        <w:pStyle w:val="ListBullet"/>
        <w:spacing w:after="80"/>
      </w:pPr>
      <w:r>
        <w:t>A secondary objective is maintainability. The project should not depend on an opaque manual process; instead, each stage should be accessible by an explicit script, DAG task, or service command.</w:t>
      </w:r>
    </w:p>
    <w:p w14:paraId="767AD253" w14:textId="77777777" w:rsidR="001930E8" w:rsidRDefault="00000000">
      <w:pPr>
        <w:spacing w:after="120"/>
      </w:pPr>
      <w:r>
        <w:t>The scope of the implementation includes the ingest-and-transform path, the database model, the web interface, and the container orchestration. It does not attempt to solve real-time sensor fusion, geospatial visualization beyond a tabular dashboard, or advanced anomaly detection, because those were not required for the current workspace delivery. The deliberate focus on a well-defined scope makes the resulting document easier to assess and the deployed project easier to explain.</w:t>
      </w:r>
    </w:p>
    <w:p w14:paraId="60E3B51C" w14:textId="77777777" w:rsidR="001930E8" w:rsidRDefault="00000000">
      <w:pPr>
        <w:pStyle w:val="Heading1"/>
        <w:spacing w:before="200" w:after="120"/>
      </w:pPr>
      <w:r>
        <w:lastRenderedPageBreak/>
        <w:t>3. Dataset Profile and Data Quality Observations</w:t>
      </w:r>
    </w:p>
    <w:p w14:paraId="1AA7CFDC" w14:textId="77777777" w:rsidR="001930E8" w:rsidRDefault="00000000">
      <w:pPr>
        <w:spacing w:after="120"/>
      </w:pPr>
      <w:r>
        <w:t>The dataset used in the workspace is stored in data/openaq.csv and follows a semicolon-separated format. Its columns include country and city information, location labels, coordinates, pollutant identifiers, source names, measurement units, numeric values, timestamps, and country labels. The dataset is large enough to justify a staged pipeline and varied enough to support aggregation by pollutant and country.</w:t>
      </w:r>
    </w:p>
    <w:p w14:paraId="32DDF8D9" w14:textId="77777777" w:rsidR="001930E8" w:rsidRDefault="00000000">
      <w:pPr>
        <w:spacing w:after="120"/>
      </w:pPr>
      <w:r>
        <w:t>A quick inspection of the CSV shows that the data includes missing fields, irregular country names, and text-formatted coordinates that must be parsed before analysis. The timestamp column contains timezone-aware strings, which are useful for provenance but not ideal for all reporting scenarios. The raw values therefore require cleaning before they can be loaded into a reliable analytical schema.</w:t>
      </w:r>
    </w:p>
    <w:p w14:paraId="08A07314" w14:textId="77777777" w:rsidR="001930E8" w:rsidRDefault="00000000">
      <w:pPr>
        <w:spacing w:after="120"/>
      </w:pPr>
      <w:r>
        <w:t>The implementation handles these characteristics by splitting the pipeline into transformation phases rather than forcing all logic into one script. That decision improves readability and also mirrors how larger data engineering systems are usually designed. It means that the raw data can be examined in an intermediate state if a later stage fails, which is useful during both debugging and evaluation.</w:t>
      </w:r>
    </w:p>
    <w:tbl>
      <w:tblPr>
        <w:tblStyle w:val="TableGrid"/>
        <w:tblW w:w="0" w:type="auto"/>
        <w:tblLook w:val="04A0" w:firstRow="1" w:lastRow="0" w:firstColumn="1" w:lastColumn="0" w:noHBand="0" w:noVBand="1"/>
      </w:tblPr>
      <w:tblGrid>
        <w:gridCol w:w="2448"/>
        <w:gridCol w:w="2448"/>
        <w:gridCol w:w="2448"/>
        <w:gridCol w:w="2448"/>
      </w:tblGrid>
      <w:tr w:rsidR="001930E8" w14:paraId="72CB96BA" w14:textId="77777777">
        <w:tc>
          <w:tcPr>
            <w:tcW w:w="2448" w:type="dxa"/>
          </w:tcPr>
          <w:p w14:paraId="0E6B7C5E" w14:textId="77777777" w:rsidR="001930E8" w:rsidRDefault="00000000">
            <w:r>
              <w:t>Column</w:t>
            </w:r>
          </w:p>
        </w:tc>
        <w:tc>
          <w:tcPr>
            <w:tcW w:w="2448" w:type="dxa"/>
          </w:tcPr>
          <w:p w14:paraId="4C8EDB2B" w14:textId="77777777" w:rsidR="001930E8" w:rsidRDefault="00000000">
            <w:r>
              <w:t>Observed Role</w:t>
            </w:r>
          </w:p>
        </w:tc>
        <w:tc>
          <w:tcPr>
            <w:tcW w:w="2448" w:type="dxa"/>
          </w:tcPr>
          <w:p w14:paraId="1F7AE33B" w14:textId="77777777" w:rsidR="001930E8" w:rsidRDefault="00000000">
            <w:r>
              <w:t>Transformation Need</w:t>
            </w:r>
          </w:p>
        </w:tc>
        <w:tc>
          <w:tcPr>
            <w:tcW w:w="2448" w:type="dxa"/>
          </w:tcPr>
          <w:p w14:paraId="486C0368" w14:textId="77777777" w:rsidR="001930E8" w:rsidRDefault="00000000">
            <w:r>
              <w:t>Downstream Use</w:t>
            </w:r>
          </w:p>
        </w:tc>
      </w:tr>
      <w:tr w:rsidR="001930E8" w14:paraId="4AE4DB4B" w14:textId="77777777">
        <w:tc>
          <w:tcPr>
            <w:tcW w:w="2448" w:type="dxa"/>
          </w:tcPr>
          <w:p w14:paraId="076257A2" w14:textId="77777777" w:rsidR="001930E8" w:rsidRDefault="00000000">
            <w:r>
              <w:rPr>
                <w:sz w:val="20"/>
              </w:rPr>
              <w:t>Coordinates</w:t>
            </w:r>
          </w:p>
        </w:tc>
        <w:tc>
          <w:tcPr>
            <w:tcW w:w="2448" w:type="dxa"/>
          </w:tcPr>
          <w:p w14:paraId="62C89148" w14:textId="77777777" w:rsidR="001930E8" w:rsidRDefault="00000000">
            <w:r>
              <w:rPr>
                <w:sz w:val="20"/>
              </w:rPr>
              <w:t>Latitude and longitude as text</w:t>
            </w:r>
          </w:p>
        </w:tc>
        <w:tc>
          <w:tcPr>
            <w:tcW w:w="2448" w:type="dxa"/>
          </w:tcPr>
          <w:p w14:paraId="437A502C" w14:textId="77777777" w:rsidR="001930E8" w:rsidRDefault="00000000">
            <w:r>
              <w:rPr>
                <w:sz w:val="20"/>
              </w:rPr>
              <w:t>Split and cast to numeric values</w:t>
            </w:r>
          </w:p>
        </w:tc>
        <w:tc>
          <w:tcPr>
            <w:tcW w:w="2448" w:type="dxa"/>
          </w:tcPr>
          <w:p w14:paraId="466279BB" w14:textId="77777777" w:rsidR="001930E8" w:rsidRDefault="00000000">
            <w:r>
              <w:rPr>
                <w:sz w:val="20"/>
              </w:rPr>
              <w:t>Spatial context and reference</w:t>
            </w:r>
          </w:p>
        </w:tc>
      </w:tr>
      <w:tr w:rsidR="001930E8" w14:paraId="3ECB152C" w14:textId="77777777">
        <w:tc>
          <w:tcPr>
            <w:tcW w:w="2448" w:type="dxa"/>
          </w:tcPr>
          <w:p w14:paraId="48BD965A" w14:textId="77777777" w:rsidR="001930E8" w:rsidRDefault="00000000">
            <w:r>
              <w:rPr>
                <w:sz w:val="20"/>
              </w:rPr>
              <w:t>Value</w:t>
            </w:r>
          </w:p>
        </w:tc>
        <w:tc>
          <w:tcPr>
            <w:tcW w:w="2448" w:type="dxa"/>
          </w:tcPr>
          <w:p w14:paraId="2C3DC6D3" w14:textId="77777777" w:rsidR="001930E8" w:rsidRDefault="00000000">
            <w:r>
              <w:rPr>
                <w:sz w:val="20"/>
              </w:rPr>
              <w:t>Measurement reading</w:t>
            </w:r>
          </w:p>
        </w:tc>
        <w:tc>
          <w:tcPr>
            <w:tcW w:w="2448" w:type="dxa"/>
          </w:tcPr>
          <w:p w14:paraId="5901551B" w14:textId="77777777" w:rsidR="001930E8" w:rsidRDefault="00000000">
            <w:r>
              <w:rPr>
                <w:sz w:val="20"/>
              </w:rPr>
              <w:t>Cast to numeric and filter invalid rows</w:t>
            </w:r>
          </w:p>
        </w:tc>
        <w:tc>
          <w:tcPr>
            <w:tcW w:w="2448" w:type="dxa"/>
          </w:tcPr>
          <w:p w14:paraId="232ADF73" w14:textId="77777777" w:rsidR="001930E8" w:rsidRDefault="00000000">
            <w:r>
              <w:rPr>
                <w:sz w:val="20"/>
              </w:rPr>
              <w:t>Aggregations and reporting</w:t>
            </w:r>
          </w:p>
        </w:tc>
      </w:tr>
      <w:tr w:rsidR="001930E8" w14:paraId="7C79C194" w14:textId="77777777">
        <w:tc>
          <w:tcPr>
            <w:tcW w:w="2448" w:type="dxa"/>
          </w:tcPr>
          <w:p w14:paraId="0FF7FD06" w14:textId="77777777" w:rsidR="001930E8" w:rsidRDefault="00000000">
            <w:r>
              <w:rPr>
                <w:sz w:val="20"/>
              </w:rPr>
              <w:t>Last Updated</w:t>
            </w:r>
          </w:p>
        </w:tc>
        <w:tc>
          <w:tcPr>
            <w:tcW w:w="2448" w:type="dxa"/>
          </w:tcPr>
          <w:p w14:paraId="37B27FF5" w14:textId="77777777" w:rsidR="001930E8" w:rsidRDefault="00000000">
            <w:r>
              <w:rPr>
                <w:sz w:val="20"/>
              </w:rPr>
              <w:t>Timestamp string</w:t>
            </w:r>
          </w:p>
        </w:tc>
        <w:tc>
          <w:tcPr>
            <w:tcW w:w="2448" w:type="dxa"/>
          </w:tcPr>
          <w:p w14:paraId="55E3BD5C" w14:textId="77777777" w:rsidR="001930E8" w:rsidRDefault="00000000">
            <w:r>
              <w:rPr>
                <w:sz w:val="20"/>
              </w:rPr>
              <w:t>Parse to datetime and derive date key</w:t>
            </w:r>
          </w:p>
        </w:tc>
        <w:tc>
          <w:tcPr>
            <w:tcW w:w="2448" w:type="dxa"/>
          </w:tcPr>
          <w:p w14:paraId="1CE446B8" w14:textId="77777777" w:rsidR="001930E8" w:rsidRDefault="00000000">
            <w:r>
              <w:rPr>
                <w:sz w:val="20"/>
              </w:rPr>
              <w:t>Date dimension and grouping</w:t>
            </w:r>
          </w:p>
        </w:tc>
      </w:tr>
      <w:tr w:rsidR="001930E8" w14:paraId="6E30AF8F" w14:textId="77777777">
        <w:tc>
          <w:tcPr>
            <w:tcW w:w="2448" w:type="dxa"/>
          </w:tcPr>
          <w:p w14:paraId="66044891" w14:textId="77777777" w:rsidR="001930E8" w:rsidRDefault="00000000">
            <w:r>
              <w:rPr>
                <w:sz w:val="20"/>
              </w:rPr>
              <w:t>Pollutant</w:t>
            </w:r>
          </w:p>
        </w:tc>
        <w:tc>
          <w:tcPr>
            <w:tcW w:w="2448" w:type="dxa"/>
          </w:tcPr>
          <w:p w14:paraId="4D60E1FA" w14:textId="77777777" w:rsidR="001930E8" w:rsidRDefault="00000000">
            <w:r>
              <w:rPr>
                <w:sz w:val="20"/>
              </w:rPr>
              <w:t>Measurement type</w:t>
            </w:r>
          </w:p>
        </w:tc>
        <w:tc>
          <w:tcPr>
            <w:tcW w:w="2448" w:type="dxa"/>
          </w:tcPr>
          <w:p w14:paraId="18CA24F7" w14:textId="77777777" w:rsidR="001930E8" w:rsidRDefault="00000000">
            <w:r>
              <w:rPr>
                <w:sz w:val="20"/>
              </w:rPr>
              <w:t>Normalize casing and standardize codes</w:t>
            </w:r>
          </w:p>
        </w:tc>
        <w:tc>
          <w:tcPr>
            <w:tcW w:w="2448" w:type="dxa"/>
          </w:tcPr>
          <w:p w14:paraId="1DF8D5D9" w14:textId="77777777" w:rsidR="001930E8" w:rsidRDefault="00000000">
            <w:r>
              <w:rPr>
                <w:sz w:val="20"/>
              </w:rPr>
              <w:t>Pollutant dimension and analytics</w:t>
            </w:r>
          </w:p>
        </w:tc>
      </w:tr>
    </w:tbl>
    <w:p w14:paraId="5CCBF6F6" w14:textId="77777777" w:rsidR="001930E8" w:rsidRDefault="00000000">
      <w:pPr>
        <w:pStyle w:val="Heading1"/>
        <w:spacing w:before="200" w:after="120"/>
      </w:pPr>
      <w:r>
        <w:t>4. System Architecture and Design Decisions</w:t>
      </w:r>
    </w:p>
    <w:p w14:paraId="17CE1881" w14:textId="77777777" w:rsidR="001930E8" w:rsidRDefault="00000000">
      <w:pPr>
        <w:spacing w:after="120"/>
      </w:pPr>
      <w:r>
        <w:t>The system architecture intentionally combines a streaming metaphor with batch execution. The source file is published as messages to Kafka so the raw data can be treated like an event stream. Those messages are then consumed into Parquet so that Spark can process them in a columnar format that is efficient for batch ETL. The output of the Spark stages is finally loaded into PostgreSQL where a star schema supports analytics and summary calculations.</w:t>
      </w:r>
    </w:p>
    <w:p w14:paraId="588EDE3C" w14:textId="77777777" w:rsidR="001930E8" w:rsidRDefault="00000000">
      <w:pPr>
        <w:spacing w:after="120"/>
      </w:pPr>
      <w:r>
        <w:t>This design follows a common principle in data engineering: each layer should specialize in a single responsibility. Kafka is used for decoupling and topic-based buffering, Parquet is used for storage efficiency, Spark is used for large-scale data manipulation, PostgreSQL is used for reliable relational access, and Airflow is used for scheduling and dependency management. The FastAPI web layer sits on top of that stack as the final access point for human users.</w:t>
      </w:r>
    </w:p>
    <w:p w14:paraId="7BF087AC" w14:textId="77777777" w:rsidR="001930E8" w:rsidRDefault="00000000">
      <w:pPr>
        <w:spacing w:after="120"/>
      </w:pPr>
      <w:r>
        <w:t xml:space="preserve">The project is fully containerized so that dependencies are explicit and reproducible. The Docker Compose file defines the database, Kafka broker, topic initializer, Airflow orchestrator, and web </w:t>
      </w:r>
      <w:r>
        <w:lastRenderedPageBreak/>
        <w:t>application in one place. Because the container set is self-contained, the same architecture can be deployed, tested, or demonstrated without manual service installation.</w:t>
      </w:r>
    </w:p>
    <w:p w14:paraId="5591D68E" w14:textId="77777777" w:rsidR="001930E8" w:rsidRDefault="00000000">
      <w:pPr>
        <w:pStyle w:val="Heading1"/>
        <w:spacing w:before="200" w:after="120"/>
      </w:pPr>
      <w:r>
        <w:t>5. Component-Level Implementation Details</w:t>
      </w:r>
    </w:p>
    <w:p w14:paraId="56E0F634" w14:textId="77777777" w:rsidR="001930E8" w:rsidRDefault="00000000">
      <w:pPr>
        <w:pStyle w:val="Heading2"/>
      </w:pPr>
      <w:r>
        <w:t>5.1 Kafka Producer</w:t>
      </w:r>
    </w:p>
    <w:p w14:paraId="0F5202F5" w14:textId="77777777" w:rsidR="001930E8" w:rsidRDefault="00000000">
      <w:pPr>
        <w:spacing w:after="120"/>
      </w:pPr>
      <w:r>
        <w:t>The Kafka producer reads the semicolon-delimited CSV and sends each row as a JSON message into the air_quality_raw topic. This stage is important because it converts the dataset from a passive file into a transport stream that can be independently consumed by later jobs. In a real production setting, a similar component could be used to bridge sensors, APIs, or file drops into a centralized ingest bus.</w:t>
      </w:r>
    </w:p>
    <w:p w14:paraId="58483137" w14:textId="77777777" w:rsidR="001930E8" w:rsidRDefault="00000000">
      <w:pPr>
        <w:pStyle w:val="Heading2"/>
      </w:pPr>
      <w:r>
        <w:t>5.2 Kafka to Parquet Staging</w:t>
      </w:r>
    </w:p>
    <w:p w14:paraId="6494FE5E" w14:textId="77777777" w:rsidR="001930E8" w:rsidRDefault="00000000">
      <w:pPr>
        <w:spacing w:after="120"/>
      </w:pPr>
      <w:r>
        <w:t>The Kafka consumer accumulates messages and writes them to a Parquet file under the staging volume. The choice of Parquet ensures that Spark can read the raw dataset in a format optimized for columnar processing and schema inference. Even though the project operates in batch mode, this staging layer preserves a realistic separation between transport and transformation.</w:t>
      </w:r>
    </w:p>
    <w:p w14:paraId="42EF51DC" w14:textId="77777777" w:rsidR="001930E8" w:rsidRDefault="00000000">
      <w:pPr>
        <w:pStyle w:val="Heading2"/>
      </w:pPr>
      <w:r>
        <w:t>5.3 Spark Clean Stage</w:t>
      </w:r>
    </w:p>
    <w:p w14:paraId="72244C78" w14:textId="77777777" w:rsidR="001930E8" w:rsidRDefault="00000000">
      <w:pPr>
        <w:spacing w:after="120"/>
      </w:pPr>
      <w:r>
        <w:t>The clean stage performs the first formal transformation pass. It casts the measurement value to a numeric type, parses the coordinates into latitude and longitude, and converts the timestamp into a Spark timestamp. Rows lacking a pollutant or numeric value are filtered out at this stage so that obvious invalid records do not propagate downstream.</w:t>
      </w:r>
    </w:p>
    <w:p w14:paraId="759698D8" w14:textId="77777777" w:rsidR="001930E8" w:rsidRDefault="00000000">
      <w:pPr>
        <w:pStyle w:val="Heading2"/>
      </w:pPr>
      <w:r>
        <w:t>5.4 Spark Normalize Stage</w:t>
      </w:r>
    </w:p>
    <w:p w14:paraId="2D727D0C" w14:textId="77777777" w:rsidR="001930E8" w:rsidRDefault="00000000">
      <w:pPr>
        <w:spacing w:after="120"/>
      </w:pPr>
      <w:r>
        <w:t>The normalize stage makes the data more analytically consistent. Country codes are uppercased, city names are normalized into title case, pollutant names are standardized, and the timestamp is converted into a measurement date. This stage provides the data foundation needed for stable dimension keys and repeated analysis over time.</w:t>
      </w:r>
    </w:p>
    <w:p w14:paraId="1C340277" w14:textId="77777777" w:rsidR="001930E8" w:rsidRDefault="00000000">
      <w:pPr>
        <w:pStyle w:val="Heading2"/>
      </w:pPr>
      <w:r>
        <w:t>5.5 Spark Aggregate Stage</w:t>
      </w:r>
    </w:p>
    <w:p w14:paraId="124F3F30" w14:textId="77777777" w:rsidR="001930E8" w:rsidRDefault="00000000">
      <w:pPr>
        <w:spacing w:after="120"/>
      </w:pPr>
      <w:r>
        <w:t>The aggregate stage groups the normalized data by measurement date, country, city, and pollutant. It computes an average measurement value and a record count for each group. This output provides the analytical grain that is usually most useful when loading a fact table for reporting.</w:t>
      </w:r>
    </w:p>
    <w:p w14:paraId="0537D182" w14:textId="77777777" w:rsidR="001930E8" w:rsidRDefault="00000000">
      <w:pPr>
        <w:pStyle w:val="Heading2"/>
      </w:pPr>
      <w:r>
        <w:t>5.6 PostgreSQL Loader and Snapshot Table</w:t>
      </w:r>
    </w:p>
    <w:p w14:paraId="496D1D20" w14:textId="77777777" w:rsidR="001930E8" w:rsidRDefault="00000000">
      <w:pPr>
        <w:spacing w:after="120"/>
      </w:pPr>
      <w:r>
        <w:t>After aggregation, the loader creates the relational schema if needed and inserts dimension rows and fact rows. The same job also refreshes a measurements snapshot table so the dashboard can continue to serve detailed records without complex SQL joins. This approach supports both analytical summarization and user-friendly browsing.</w:t>
      </w:r>
    </w:p>
    <w:p w14:paraId="7A03379A" w14:textId="77777777" w:rsidR="001930E8" w:rsidRDefault="00000000">
      <w:pPr>
        <w:pStyle w:val="Heading1"/>
        <w:spacing w:before="200" w:after="120"/>
      </w:pPr>
      <w:r>
        <w:lastRenderedPageBreak/>
        <w:t>6. Database Design and Analytical Model</w:t>
      </w:r>
    </w:p>
    <w:p w14:paraId="68790D1F" w14:textId="77777777" w:rsidR="001930E8" w:rsidRDefault="00000000">
      <w:pPr>
        <w:spacing w:after="120"/>
      </w:pPr>
      <w:r>
        <w:t>A star schema is appropriate for this project because the main questions are analytical rather than transactional. The expected queries involve trends by date, pollutant distribution, and geographic breakdowns. A star schema makes those query shapes simple by separating descriptive dimensions from the measurement fact table.</w:t>
      </w:r>
    </w:p>
    <w:tbl>
      <w:tblPr>
        <w:tblStyle w:val="TableGrid"/>
        <w:tblW w:w="0" w:type="auto"/>
        <w:tblLook w:val="04A0" w:firstRow="1" w:lastRow="0" w:firstColumn="1" w:lastColumn="0" w:noHBand="0" w:noVBand="1"/>
      </w:tblPr>
      <w:tblGrid>
        <w:gridCol w:w="2448"/>
        <w:gridCol w:w="2448"/>
        <w:gridCol w:w="2448"/>
        <w:gridCol w:w="2448"/>
      </w:tblGrid>
      <w:tr w:rsidR="001930E8" w14:paraId="4B99D4B6" w14:textId="77777777">
        <w:tc>
          <w:tcPr>
            <w:tcW w:w="2448" w:type="dxa"/>
          </w:tcPr>
          <w:p w14:paraId="06F959F9" w14:textId="77777777" w:rsidR="001930E8" w:rsidRDefault="00000000">
            <w:r>
              <w:t>Table</w:t>
            </w:r>
          </w:p>
        </w:tc>
        <w:tc>
          <w:tcPr>
            <w:tcW w:w="2448" w:type="dxa"/>
          </w:tcPr>
          <w:p w14:paraId="26FD54AA" w14:textId="77777777" w:rsidR="001930E8" w:rsidRDefault="00000000">
            <w:r>
              <w:t>Purpose</w:t>
            </w:r>
          </w:p>
        </w:tc>
        <w:tc>
          <w:tcPr>
            <w:tcW w:w="2448" w:type="dxa"/>
          </w:tcPr>
          <w:p w14:paraId="5FA5C1DE" w14:textId="77777777" w:rsidR="001930E8" w:rsidRDefault="00000000">
            <w:r>
              <w:t>Key Fields</w:t>
            </w:r>
          </w:p>
        </w:tc>
        <w:tc>
          <w:tcPr>
            <w:tcW w:w="2448" w:type="dxa"/>
          </w:tcPr>
          <w:p w14:paraId="750B3FC1" w14:textId="77777777" w:rsidR="001930E8" w:rsidRDefault="00000000">
            <w:r>
              <w:t>Comment</w:t>
            </w:r>
          </w:p>
        </w:tc>
      </w:tr>
      <w:tr w:rsidR="001930E8" w14:paraId="2C7207A1" w14:textId="77777777">
        <w:tc>
          <w:tcPr>
            <w:tcW w:w="2448" w:type="dxa"/>
          </w:tcPr>
          <w:p w14:paraId="67821EDC" w14:textId="77777777" w:rsidR="001930E8" w:rsidRDefault="00000000">
            <w:r>
              <w:rPr>
                <w:sz w:val="20"/>
              </w:rPr>
              <w:t>dim_date</w:t>
            </w:r>
          </w:p>
        </w:tc>
        <w:tc>
          <w:tcPr>
            <w:tcW w:w="2448" w:type="dxa"/>
          </w:tcPr>
          <w:p w14:paraId="05E6C879" w14:textId="77777777" w:rsidR="001930E8" w:rsidRDefault="00000000">
            <w:r>
              <w:rPr>
                <w:sz w:val="20"/>
              </w:rPr>
              <w:t>Calendar dimension</w:t>
            </w:r>
          </w:p>
        </w:tc>
        <w:tc>
          <w:tcPr>
            <w:tcW w:w="2448" w:type="dxa"/>
          </w:tcPr>
          <w:p w14:paraId="01A588AD" w14:textId="77777777" w:rsidR="001930E8" w:rsidRDefault="00000000">
            <w:r>
              <w:rPr>
                <w:sz w:val="20"/>
              </w:rPr>
              <w:t>full_date, year, month, day</w:t>
            </w:r>
          </w:p>
        </w:tc>
        <w:tc>
          <w:tcPr>
            <w:tcW w:w="2448" w:type="dxa"/>
          </w:tcPr>
          <w:p w14:paraId="46790999" w14:textId="77777777" w:rsidR="001930E8" w:rsidRDefault="00000000">
            <w:r>
              <w:rPr>
                <w:sz w:val="20"/>
              </w:rPr>
              <w:t>Supports time-based slicing</w:t>
            </w:r>
          </w:p>
        </w:tc>
      </w:tr>
      <w:tr w:rsidR="001930E8" w14:paraId="7E08C26E" w14:textId="77777777">
        <w:tc>
          <w:tcPr>
            <w:tcW w:w="2448" w:type="dxa"/>
          </w:tcPr>
          <w:p w14:paraId="2D9B70A6" w14:textId="77777777" w:rsidR="001930E8" w:rsidRDefault="00000000">
            <w:r>
              <w:rPr>
                <w:sz w:val="20"/>
              </w:rPr>
              <w:t>dim_location</w:t>
            </w:r>
          </w:p>
        </w:tc>
        <w:tc>
          <w:tcPr>
            <w:tcW w:w="2448" w:type="dxa"/>
          </w:tcPr>
          <w:p w14:paraId="3F3D5CE2" w14:textId="77777777" w:rsidR="001930E8" w:rsidRDefault="00000000">
            <w:r>
              <w:rPr>
                <w:sz w:val="20"/>
              </w:rPr>
              <w:t>Geographic dimension</w:t>
            </w:r>
          </w:p>
        </w:tc>
        <w:tc>
          <w:tcPr>
            <w:tcW w:w="2448" w:type="dxa"/>
          </w:tcPr>
          <w:p w14:paraId="30211601" w14:textId="77777777" w:rsidR="001930E8" w:rsidRDefault="00000000">
            <w:r>
              <w:rPr>
                <w:sz w:val="20"/>
              </w:rPr>
              <w:t>country_code, country_label, city</w:t>
            </w:r>
          </w:p>
        </w:tc>
        <w:tc>
          <w:tcPr>
            <w:tcW w:w="2448" w:type="dxa"/>
          </w:tcPr>
          <w:p w14:paraId="0055FE48" w14:textId="77777777" w:rsidR="001930E8" w:rsidRDefault="00000000">
            <w:r>
              <w:rPr>
                <w:sz w:val="20"/>
              </w:rPr>
              <w:t>Captures country-city combinations</w:t>
            </w:r>
          </w:p>
        </w:tc>
      </w:tr>
      <w:tr w:rsidR="001930E8" w14:paraId="0818026A" w14:textId="77777777">
        <w:tc>
          <w:tcPr>
            <w:tcW w:w="2448" w:type="dxa"/>
          </w:tcPr>
          <w:p w14:paraId="3117F198" w14:textId="77777777" w:rsidR="001930E8" w:rsidRDefault="00000000">
            <w:r>
              <w:rPr>
                <w:sz w:val="20"/>
              </w:rPr>
              <w:t>dim_pollutant</w:t>
            </w:r>
          </w:p>
        </w:tc>
        <w:tc>
          <w:tcPr>
            <w:tcW w:w="2448" w:type="dxa"/>
          </w:tcPr>
          <w:p w14:paraId="7E9C3134" w14:textId="77777777" w:rsidR="001930E8" w:rsidRDefault="00000000">
            <w:r>
              <w:rPr>
                <w:sz w:val="20"/>
              </w:rPr>
              <w:t>Pollutant dimension</w:t>
            </w:r>
          </w:p>
        </w:tc>
        <w:tc>
          <w:tcPr>
            <w:tcW w:w="2448" w:type="dxa"/>
          </w:tcPr>
          <w:p w14:paraId="491881B0" w14:textId="77777777" w:rsidR="001930E8" w:rsidRDefault="00000000">
            <w:r>
              <w:rPr>
                <w:sz w:val="20"/>
              </w:rPr>
              <w:t>pollutant_code</w:t>
            </w:r>
          </w:p>
        </w:tc>
        <w:tc>
          <w:tcPr>
            <w:tcW w:w="2448" w:type="dxa"/>
          </w:tcPr>
          <w:p w14:paraId="4C34290F" w14:textId="77777777" w:rsidR="001930E8" w:rsidRDefault="00000000">
            <w:r>
              <w:rPr>
                <w:sz w:val="20"/>
              </w:rPr>
              <w:t>Standardized measurement type</w:t>
            </w:r>
          </w:p>
        </w:tc>
      </w:tr>
      <w:tr w:rsidR="001930E8" w14:paraId="2895175F" w14:textId="77777777">
        <w:tc>
          <w:tcPr>
            <w:tcW w:w="2448" w:type="dxa"/>
          </w:tcPr>
          <w:p w14:paraId="1C214772" w14:textId="77777777" w:rsidR="001930E8" w:rsidRDefault="00000000">
            <w:r>
              <w:rPr>
                <w:sz w:val="20"/>
              </w:rPr>
              <w:t>fact_air_quality</w:t>
            </w:r>
          </w:p>
        </w:tc>
        <w:tc>
          <w:tcPr>
            <w:tcW w:w="2448" w:type="dxa"/>
          </w:tcPr>
          <w:p w14:paraId="43BE96F6" w14:textId="77777777" w:rsidR="001930E8" w:rsidRDefault="00000000">
            <w:r>
              <w:rPr>
                <w:sz w:val="20"/>
              </w:rPr>
              <w:t>Analytical fact</w:t>
            </w:r>
          </w:p>
        </w:tc>
        <w:tc>
          <w:tcPr>
            <w:tcW w:w="2448" w:type="dxa"/>
          </w:tcPr>
          <w:p w14:paraId="01B23E34" w14:textId="77777777" w:rsidR="001930E8" w:rsidRDefault="00000000">
            <w:r>
              <w:rPr>
                <w:sz w:val="20"/>
              </w:rPr>
              <w:t>date_id, location_id, pollutant_id, avg_value, record_count</w:t>
            </w:r>
          </w:p>
        </w:tc>
        <w:tc>
          <w:tcPr>
            <w:tcW w:w="2448" w:type="dxa"/>
          </w:tcPr>
          <w:p w14:paraId="2E08F468" w14:textId="77777777" w:rsidR="001930E8" w:rsidRDefault="00000000">
            <w:r>
              <w:rPr>
                <w:sz w:val="20"/>
              </w:rPr>
              <w:t>Stores grouped metrics</w:t>
            </w:r>
          </w:p>
        </w:tc>
      </w:tr>
      <w:tr w:rsidR="001930E8" w14:paraId="12420E98" w14:textId="77777777">
        <w:tc>
          <w:tcPr>
            <w:tcW w:w="2448" w:type="dxa"/>
          </w:tcPr>
          <w:p w14:paraId="7AAE5CF8" w14:textId="77777777" w:rsidR="001930E8" w:rsidRDefault="00000000">
            <w:r>
              <w:rPr>
                <w:sz w:val="20"/>
              </w:rPr>
              <w:t>measurements</w:t>
            </w:r>
          </w:p>
        </w:tc>
        <w:tc>
          <w:tcPr>
            <w:tcW w:w="2448" w:type="dxa"/>
          </w:tcPr>
          <w:p w14:paraId="0E317E8C" w14:textId="77777777" w:rsidR="001930E8" w:rsidRDefault="00000000">
            <w:r>
              <w:rPr>
                <w:sz w:val="20"/>
              </w:rPr>
              <w:t>Snapshot detail table</w:t>
            </w:r>
          </w:p>
        </w:tc>
        <w:tc>
          <w:tcPr>
            <w:tcW w:w="2448" w:type="dxa"/>
          </w:tcPr>
          <w:p w14:paraId="1BD07C6E" w14:textId="77777777" w:rsidR="001930E8" w:rsidRDefault="00000000">
            <w:r>
              <w:rPr>
                <w:sz w:val="20"/>
              </w:rPr>
              <w:t>country_code, city, pollutant, value, last_updated</w:t>
            </w:r>
          </w:p>
        </w:tc>
        <w:tc>
          <w:tcPr>
            <w:tcW w:w="2448" w:type="dxa"/>
          </w:tcPr>
          <w:p w14:paraId="28424AF3" w14:textId="77777777" w:rsidR="001930E8" w:rsidRDefault="00000000">
            <w:r>
              <w:rPr>
                <w:sz w:val="20"/>
              </w:rPr>
              <w:t>Used by API and dashboard</w:t>
            </w:r>
          </w:p>
        </w:tc>
      </w:tr>
    </w:tbl>
    <w:p w14:paraId="0B36872F" w14:textId="77777777" w:rsidR="001930E8" w:rsidRDefault="00000000">
      <w:pPr>
        <w:spacing w:after="120"/>
      </w:pPr>
      <w:r>
        <w:t>The loader ensures that dimension rows are created before fact rows are inserted, which preserves referential integrity. The aggregated fact table is suitable for summary queries while the measurements snapshot retains row-level detail. This dual-purpose model provides a convenient compromise between analytic structure and application responsiveness.</w:t>
      </w:r>
    </w:p>
    <w:p w14:paraId="45ECBEC3" w14:textId="77777777" w:rsidR="001930E8" w:rsidRDefault="00000000">
      <w:pPr>
        <w:pStyle w:val="Heading1"/>
        <w:spacing w:before="200" w:after="120"/>
      </w:pPr>
      <w:r>
        <w:t>7. API and Dashboard Design</w:t>
      </w:r>
    </w:p>
    <w:p w14:paraId="265F0A85" w14:textId="77777777" w:rsidR="001930E8" w:rsidRDefault="00000000">
      <w:pPr>
        <w:spacing w:after="120"/>
      </w:pPr>
      <w:r>
        <w:t>The FastAPI application acts as the visible front door for the project. The root path returns the dashboard page, the health endpoint verifies service availability, the summary endpoint exposes aggregate counts, and the records endpoint serves filterable row-level data. Together, those routes provide a minimal but complete interface for demonstration and evaluation.</w:t>
      </w:r>
    </w:p>
    <w:p w14:paraId="27235554" w14:textId="77777777" w:rsidR="001930E8" w:rsidRDefault="00000000">
      <w:pPr>
        <w:spacing w:after="120"/>
      </w:pPr>
      <w:r>
        <w:t>The dashboard was intentionally designed to communicate project output clearly rather than simply exposing raw JSON. It presents KPI cards for record, pollutant, and country counts, bar-style summaries for the most common pollutants and countries, and a filterable table of recent measurements. That combination is enough to show that the data pipeline not only runs but produces interpretable results.</w:t>
      </w:r>
    </w:p>
    <w:p w14:paraId="118D3629" w14:textId="77777777" w:rsidR="001930E8" w:rsidRDefault="00000000">
      <w:pPr>
        <w:spacing w:after="120"/>
      </w:pPr>
      <w:r>
        <w:t>The UI itself is kept lightweight so that it remains easy to run in the same container stack as the backend. Because the visual layer is served by the FastAPI app, the project does not require a separate frontend build pipeline or browser framework installation. That choice keeps the deliverable easier to reproduce in a university setting.</w:t>
      </w:r>
    </w:p>
    <w:p w14:paraId="716370AC" w14:textId="77777777" w:rsidR="001930E8" w:rsidRDefault="00000000">
      <w:pPr>
        <w:pStyle w:val="Heading1"/>
        <w:spacing w:before="200" w:after="120"/>
      </w:pPr>
      <w:r>
        <w:t>8. Docker Compose and Airflow Orchestration</w:t>
      </w:r>
    </w:p>
    <w:p w14:paraId="0EE67604" w14:textId="77777777" w:rsidR="001930E8" w:rsidRDefault="00000000">
      <w:pPr>
        <w:spacing w:after="120"/>
      </w:pPr>
      <w:r>
        <w:t xml:space="preserve">Docker Compose defines the runtime topology and orchestrates the services needed for the project. The database container stores the star schema, the Kafka container hosts the raw topic, the Kafka </w:t>
      </w:r>
      <w:r>
        <w:lastRenderedPageBreak/>
        <w:t>initialization container creates the topic, the Airflow container runs the DAG, and the application container serves the dashboard. This setup means the project can be started with a small set of commands rather than a manual dependency setup process.</w:t>
      </w:r>
    </w:p>
    <w:p w14:paraId="3A4A30EC" w14:textId="77777777" w:rsidR="001930E8" w:rsidRDefault="00000000">
      <w:pPr>
        <w:spacing w:after="120"/>
      </w:pPr>
      <w:r>
        <w:t>Airflow coordinates the ETL workflow with explicit task dependencies. The DAG begins by preparing staging directories, then publishes the source data to Kafka, consumes the messages into Parquet, runs the Spark stages, and finally loads the star schema. The orchestrator makes the pipeline easy to explain because the execution order is visible in the DAG graph and task state history.</w:t>
      </w:r>
    </w:p>
    <w:p w14:paraId="4B43B3C9" w14:textId="77777777" w:rsidR="001930E8" w:rsidRDefault="00000000">
      <w:pPr>
        <w:spacing w:after="120"/>
      </w:pPr>
      <w:r>
        <w:t>The Airflow service in this repository is intentionally configured as a self-initializing container. On startup it initializes the metadata database, creates an admin user if needed, and launches the scheduler and webserver. This avoids a separate manual bootstrap process and keeps the deployment workflow closer to one-command reproducibility.</w:t>
      </w:r>
    </w:p>
    <w:p w14:paraId="7F550EFE" w14:textId="77777777" w:rsidR="001930E8" w:rsidRDefault="00000000">
      <w:pPr>
        <w:pStyle w:val="Heading1"/>
        <w:spacing w:before="200" w:after="120"/>
      </w:pPr>
      <w:r>
        <w:t>9. Deployment and Run Instructions</w:t>
      </w:r>
    </w:p>
    <w:p w14:paraId="7D2D1277" w14:textId="77777777" w:rsidR="001930E8" w:rsidRDefault="00000000">
      <w:pPr>
        <w:pStyle w:val="ListNumber"/>
        <w:spacing w:after="80"/>
      </w:pPr>
      <w:r>
        <w:t>Copy .env.example to .env so container defaults are available in the workspace.</w:t>
      </w:r>
    </w:p>
    <w:p w14:paraId="452A6A86" w14:textId="77777777" w:rsidR="001930E8" w:rsidRDefault="00000000">
      <w:pPr>
        <w:pStyle w:val="ListNumber"/>
        <w:spacing w:after="80"/>
      </w:pPr>
      <w:r>
        <w:t>Run docker compose up -d db kafka kafka-init airflow app to bring up the full stack.</w:t>
      </w:r>
    </w:p>
    <w:p w14:paraId="074563EF" w14:textId="77777777" w:rsidR="001930E8" w:rsidRDefault="00000000">
      <w:pPr>
        <w:pStyle w:val="ListNumber"/>
        <w:spacing w:after="80"/>
      </w:pPr>
      <w:r>
        <w:t>Open the FastAPI dashboard at http://localhost:8000/ and the Airflow UI at http://localhost:8080.</w:t>
      </w:r>
    </w:p>
    <w:p w14:paraId="0C1785B8" w14:textId="77777777" w:rsidR="001930E8" w:rsidRDefault="00000000">
      <w:pPr>
        <w:pStyle w:val="ListNumber"/>
        <w:spacing w:after="80"/>
      </w:pPr>
      <w:r>
        <w:t>Trigger the openaq_etl_pipeline DAG from Airflow or via the CLI to execute the Kafka-to-Star-Schema path.</w:t>
      </w:r>
    </w:p>
    <w:p w14:paraId="7D7198AA" w14:textId="77777777" w:rsidR="001930E8" w:rsidRDefault="00000000">
      <w:pPr>
        <w:pStyle w:val="ListNumber"/>
        <w:spacing w:after="80"/>
      </w:pPr>
      <w:r>
        <w:t>Use the /summary and /records endpoints to validate the final loaded data.</w:t>
      </w:r>
    </w:p>
    <w:p w14:paraId="09FAB423" w14:textId="77777777" w:rsidR="001930E8" w:rsidRDefault="00000000">
      <w:pPr>
        <w:spacing w:after="120"/>
      </w:pPr>
      <w:r>
        <w:t>The run instructions were kept concise in the README so that the repository remains easy to follow. The report version expands that same workflow into a narrative, making it suitable for formal submission or viva preparation.</w:t>
      </w:r>
    </w:p>
    <w:p w14:paraId="71DD5849" w14:textId="77777777" w:rsidR="001930E8" w:rsidRDefault="00000000">
      <w:pPr>
        <w:pStyle w:val="Heading1"/>
        <w:spacing w:before="200" w:after="120"/>
      </w:pPr>
      <w:r>
        <w:t>10. Testing, Validation, and Results</w:t>
      </w:r>
    </w:p>
    <w:p w14:paraId="5390E3DA" w14:textId="77777777" w:rsidR="001930E8" w:rsidRDefault="00000000">
      <w:pPr>
        <w:spacing w:after="120"/>
      </w:pPr>
      <w:r>
        <w:t>The project was validated in several ways during implementation. The Docker Compose configuration was checked for syntax and service relationships, the CSV ingestion path was verified, the dashboard and API were exercised, and the Airflow DAG was discovered and triggered successfully. These checks help demonstrate that the repository is not just a set of files but a functioning system.</w:t>
      </w:r>
    </w:p>
    <w:p w14:paraId="7881FB6F" w14:textId="77777777" w:rsidR="001930E8" w:rsidRDefault="00000000">
      <w:pPr>
        <w:spacing w:after="120"/>
      </w:pPr>
      <w:r>
        <w:t>The dashboard and API are able to surface useful statistics from the loaded dataset. The summary endpoint returns counts by pollutant and country, while the records endpoint can filter by pollutant, country code, and city. That behavior is sufficient to demonstrate that the data model is being read correctly and that the transformed data remains accessible after orchestration.</w:t>
      </w:r>
    </w:p>
    <w:p w14:paraId="2D97B7FA" w14:textId="77777777" w:rsidR="001930E8" w:rsidRDefault="00000000">
      <w:pPr>
        <w:spacing w:after="120"/>
      </w:pPr>
      <w:r>
        <w:t>During Airflow testing, the first task failure revealed a real permission issue on the staging volume, and that issue was corrected by adjusting the container execution approach. This is worth mentioning in the document because it shows active debugging and iteration rather than a polished but untested mockup. The final state is therefore more credible as a completed project artifact.</w:t>
      </w:r>
    </w:p>
    <w:p w14:paraId="3079C5F7" w14:textId="77777777" w:rsidR="001930E8" w:rsidRDefault="00000000">
      <w:pPr>
        <w:pStyle w:val="Heading1"/>
        <w:spacing w:before="200" w:after="120"/>
      </w:pPr>
      <w:r>
        <w:lastRenderedPageBreak/>
        <w:t>11. Observed Outputs and Project Results</w:t>
      </w:r>
    </w:p>
    <w:p w14:paraId="4AAC6DE5" w14:textId="77777777" w:rsidR="001930E8" w:rsidRDefault="00000000">
      <w:pPr>
        <w:spacing w:after="120"/>
      </w:pPr>
      <w:r>
        <w:t>The final output of the pipeline is a loaded PostgreSQL star schema that supports analytical summarization. It is paired with a detail snapshot table for the API and dashboard, which provides immediate visibility into the underlying measurements. The combination of the two gives the project both a warehouse-style analytics core and an application-friendly access layer.</w:t>
      </w:r>
    </w:p>
    <w:p w14:paraId="5400C9E0" w14:textId="77777777" w:rsidR="001930E8" w:rsidRDefault="00000000">
      <w:pPr>
        <w:spacing w:after="120"/>
      </w:pPr>
      <w:r>
        <w:t>The visual output is important because it makes the project easier to explain to a non-specialist reviewer. Rather than requiring the evaluator to inspect logs or raw SQL directly, the dashboard shows KPI cards, category bars, and sample records in one browser page. This substantially improves the usability of the project during demonstration.</w:t>
      </w:r>
    </w:p>
    <w:p w14:paraId="3D4D6E7E" w14:textId="77777777" w:rsidR="001930E8" w:rsidRDefault="00000000">
      <w:pPr>
        <w:pStyle w:val="Heading1"/>
        <w:spacing w:before="200" w:after="120"/>
      </w:pPr>
      <w:r>
        <w:t>12. Limitations and Future Improvements</w:t>
      </w:r>
    </w:p>
    <w:p w14:paraId="5E94A2A0" w14:textId="77777777" w:rsidR="001930E8" w:rsidRDefault="00000000">
      <w:pPr>
        <w:spacing w:after="120"/>
      </w:pPr>
      <w:r>
        <w:t>The current implementation is intentionally focused on a robust academic baseline. It does not attempt to solve geospatial mapping, near-real-time stream processing, advanced warehouse history management, or production-grade secret handling. Those features could be added in a later version if the assignment or dissertation scope expands.</w:t>
      </w:r>
    </w:p>
    <w:p w14:paraId="072FBF93" w14:textId="77777777" w:rsidR="001930E8" w:rsidRDefault="00000000">
      <w:pPr>
        <w:spacing w:after="120"/>
      </w:pPr>
      <w:r>
        <w:t>A natural extension would be to add richer business intelligence views, more formal Airflow scheduling, additional data validation rules, and incremental loading logic. Another possible improvement is to introduce a proper database migration layer and a more fully normalized operational schema alongside the analytical star model. Such changes would move the project closer to a mature production pipeline while keeping the current structure as a clear foundation.</w:t>
      </w:r>
    </w:p>
    <w:p w14:paraId="4DD53003" w14:textId="77777777" w:rsidR="001930E8" w:rsidRDefault="00000000">
      <w:pPr>
        <w:pStyle w:val="Heading1"/>
        <w:spacing w:before="200" w:after="120"/>
      </w:pPr>
      <w:r>
        <w:t>13. Key Project Files and Responsibilities</w:t>
      </w:r>
    </w:p>
    <w:p w14:paraId="069FB31E" w14:textId="77777777" w:rsidR="001930E8" w:rsidRDefault="00000000">
      <w:pPr>
        <w:pStyle w:val="ListBullet"/>
        <w:spacing w:after="80"/>
      </w:pPr>
      <w:r>
        <w:t>docker-compose.yml: top-level service orchestration for DB, Kafka, Airflow, and the app.</w:t>
      </w:r>
    </w:p>
    <w:p w14:paraId="37A73913" w14:textId="77777777" w:rsidR="001930E8" w:rsidRDefault="00000000">
      <w:pPr>
        <w:pStyle w:val="ListBullet"/>
        <w:spacing w:after="80"/>
      </w:pPr>
      <w:r>
        <w:t>app/main.py: FastAPI routes for dashboard, health, summary, and records.</w:t>
      </w:r>
    </w:p>
    <w:p w14:paraId="25456A11" w14:textId="77777777" w:rsidR="001930E8" w:rsidRDefault="00000000">
      <w:pPr>
        <w:pStyle w:val="ListBullet"/>
        <w:spacing w:after="80"/>
      </w:pPr>
      <w:r>
        <w:t>app/static/index.html: browser dashboard layout.</w:t>
      </w:r>
    </w:p>
    <w:p w14:paraId="7302D1AF" w14:textId="77777777" w:rsidR="001930E8" w:rsidRDefault="00000000">
      <w:pPr>
        <w:pStyle w:val="ListBullet"/>
        <w:spacing w:after="80"/>
      </w:pPr>
      <w:r>
        <w:t>app/static/style.css: dashboard styling and layout system.</w:t>
      </w:r>
    </w:p>
    <w:p w14:paraId="4E3319AA" w14:textId="77777777" w:rsidR="001930E8" w:rsidRDefault="00000000">
      <w:pPr>
        <w:pStyle w:val="ListBullet"/>
        <w:spacing w:after="80"/>
      </w:pPr>
      <w:r>
        <w:t>app/static/app.js: frontend data loading and rendering logic.</w:t>
      </w:r>
    </w:p>
    <w:p w14:paraId="196C6899" w14:textId="77777777" w:rsidR="001930E8" w:rsidRDefault="00000000">
      <w:pPr>
        <w:pStyle w:val="ListBullet"/>
        <w:spacing w:after="80"/>
      </w:pPr>
      <w:r>
        <w:t>pipeline/kafka_producer.py: publishes the CSV to Kafka.</w:t>
      </w:r>
    </w:p>
    <w:p w14:paraId="6EF58740" w14:textId="77777777" w:rsidR="001930E8" w:rsidRDefault="00000000">
      <w:pPr>
        <w:pStyle w:val="ListBullet"/>
        <w:spacing w:after="80"/>
      </w:pPr>
      <w:r>
        <w:t>pipeline/kafka_to_parquet.py: consumes Kafka messages into raw Parquet.</w:t>
      </w:r>
    </w:p>
    <w:p w14:paraId="5C52A200" w14:textId="77777777" w:rsidR="001930E8" w:rsidRDefault="00000000">
      <w:pPr>
        <w:pStyle w:val="ListBullet"/>
        <w:spacing w:after="80"/>
      </w:pPr>
      <w:r>
        <w:t>pipeline/spark_jobs.py: Spark clean, normalize, and aggregate stages.</w:t>
      </w:r>
    </w:p>
    <w:p w14:paraId="691DCEA9" w14:textId="77777777" w:rsidR="001930E8" w:rsidRDefault="00000000">
      <w:pPr>
        <w:pStyle w:val="ListBullet"/>
        <w:spacing w:after="80"/>
      </w:pPr>
      <w:r>
        <w:t>pipeline/load_star_schema.py: creates and loads the relational model.</w:t>
      </w:r>
    </w:p>
    <w:p w14:paraId="378E227B" w14:textId="77777777" w:rsidR="001930E8" w:rsidRDefault="00000000">
      <w:pPr>
        <w:pStyle w:val="ListBullet"/>
        <w:spacing w:after="80"/>
      </w:pPr>
      <w:r>
        <w:t>airflow/dags/openaq_pipeline.py: DAG that ties the full workflow together.</w:t>
      </w:r>
    </w:p>
    <w:p w14:paraId="62CD908A" w14:textId="77777777" w:rsidR="001930E8" w:rsidRDefault="00000000">
      <w:pPr>
        <w:pStyle w:val="Heading1"/>
        <w:spacing w:before="200" w:after="120"/>
      </w:pPr>
      <w:r>
        <w:t>14. References and Project Links</w:t>
      </w:r>
    </w:p>
    <w:p w14:paraId="032EDF65" w14:textId="77777777" w:rsidR="001930E8" w:rsidRDefault="00000000">
      <w:pPr>
        <w:spacing w:after="120"/>
      </w:pPr>
      <w:r>
        <w:t>The following links can be used as references for the implementation and the technologies used in the project. The last section is intentionally placed at the end of the document so it can serve as a proper reference list for submission.</w:t>
      </w:r>
    </w:p>
    <w:tbl>
      <w:tblPr>
        <w:tblStyle w:val="TableGrid"/>
        <w:tblW w:w="0" w:type="auto"/>
        <w:tblLook w:val="04A0" w:firstRow="1" w:lastRow="0" w:firstColumn="1" w:lastColumn="0" w:noHBand="0" w:noVBand="1"/>
      </w:tblPr>
      <w:tblGrid>
        <w:gridCol w:w="2038"/>
        <w:gridCol w:w="2347"/>
        <w:gridCol w:w="5623"/>
      </w:tblGrid>
      <w:tr w:rsidR="001930E8" w14:paraId="79BD91CF" w14:textId="77777777">
        <w:tc>
          <w:tcPr>
            <w:tcW w:w="3264" w:type="dxa"/>
          </w:tcPr>
          <w:p w14:paraId="383CD054" w14:textId="77777777" w:rsidR="001930E8" w:rsidRDefault="00000000">
            <w:r>
              <w:lastRenderedPageBreak/>
              <w:t>Type</w:t>
            </w:r>
          </w:p>
        </w:tc>
        <w:tc>
          <w:tcPr>
            <w:tcW w:w="3264" w:type="dxa"/>
          </w:tcPr>
          <w:p w14:paraId="1010E78F" w14:textId="77777777" w:rsidR="001930E8" w:rsidRDefault="00000000">
            <w:r>
              <w:t>Reference</w:t>
            </w:r>
          </w:p>
        </w:tc>
        <w:tc>
          <w:tcPr>
            <w:tcW w:w="3264" w:type="dxa"/>
          </w:tcPr>
          <w:p w14:paraId="7390168A" w14:textId="77777777" w:rsidR="001930E8" w:rsidRDefault="00000000">
            <w:r>
              <w:t>Link</w:t>
            </w:r>
          </w:p>
        </w:tc>
      </w:tr>
      <w:tr w:rsidR="001930E8" w14:paraId="6170643F" w14:textId="77777777">
        <w:tc>
          <w:tcPr>
            <w:tcW w:w="3264" w:type="dxa"/>
          </w:tcPr>
          <w:p w14:paraId="788F9EC4" w14:textId="77777777" w:rsidR="001930E8" w:rsidRDefault="00000000">
            <w:r>
              <w:rPr>
                <w:sz w:val="20"/>
              </w:rPr>
              <w:t>Project file</w:t>
            </w:r>
          </w:p>
        </w:tc>
        <w:tc>
          <w:tcPr>
            <w:tcW w:w="3264" w:type="dxa"/>
          </w:tcPr>
          <w:p w14:paraId="38CACD0D" w14:textId="77777777" w:rsidR="001930E8" w:rsidRDefault="00000000">
            <w:r>
              <w:rPr>
                <w:sz w:val="20"/>
              </w:rPr>
              <w:t>README.md</w:t>
            </w:r>
          </w:p>
        </w:tc>
        <w:tc>
          <w:tcPr>
            <w:tcW w:w="3264" w:type="dxa"/>
          </w:tcPr>
          <w:p w14:paraId="57292B56" w14:textId="77777777" w:rsidR="001930E8" w:rsidRDefault="00000000">
            <w:hyperlink r:id="rId9">
              <w:r>
                <w:rPr>
                  <w:color w:val="0563C1"/>
                  <w:u w:val="single"/>
                </w:rPr>
                <w:t>c:\P_storage\Air\aqp\README.md</w:t>
              </w:r>
            </w:hyperlink>
          </w:p>
        </w:tc>
      </w:tr>
      <w:tr w:rsidR="001930E8" w14:paraId="39B7A210" w14:textId="77777777">
        <w:tc>
          <w:tcPr>
            <w:tcW w:w="3264" w:type="dxa"/>
          </w:tcPr>
          <w:p w14:paraId="2FC2B535" w14:textId="77777777" w:rsidR="001930E8" w:rsidRDefault="00000000">
            <w:r>
              <w:rPr>
                <w:sz w:val="20"/>
              </w:rPr>
              <w:t>Project file</w:t>
            </w:r>
          </w:p>
        </w:tc>
        <w:tc>
          <w:tcPr>
            <w:tcW w:w="3264" w:type="dxa"/>
          </w:tcPr>
          <w:p w14:paraId="5BAE7071" w14:textId="77777777" w:rsidR="001930E8" w:rsidRDefault="00000000">
            <w:r>
              <w:rPr>
                <w:sz w:val="20"/>
              </w:rPr>
              <w:t>Docker Compose</w:t>
            </w:r>
          </w:p>
        </w:tc>
        <w:tc>
          <w:tcPr>
            <w:tcW w:w="3264" w:type="dxa"/>
          </w:tcPr>
          <w:p w14:paraId="4E1C961C" w14:textId="77777777" w:rsidR="001930E8" w:rsidRDefault="00000000">
            <w:hyperlink r:id="rId10">
              <w:r>
                <w:rPr>
                  <w:color w:val="0563C1"/>
                  <w:u w:val="single"/>
                </w:rPr>
                <w:t>c:\P_storage\Air\aqp\docker-compose.yml</w:t>
              </w:r>
            </w:hyperlink>
          </w:p>
        </w:tc>
      </w:tr>
      <w:tr w:rsidR="001930E8" w14:paraId="71413DAB" w14:textId="77777777">
        <w:tc>
          <w:tcPr>
            <w:tcW w:w="3264" w:type="dxa"/>
          </w:tcPr>
          <w:p w14:paraId="54D11D3F" w14:textId="77777777" w:rsidR="001930E8" w:rsidRDefault="00000000">
            <w:r>
              <w:rPr>
                <w:sz w:val="20"/>
              </w:rPr>
              <w:t>Project file</w:t>
            </w:r>
          </w:p>
        </w:tc>
        <w:tc>
          <w:tcPr>
            <w:tcW w:w="3264" w:type="dxa"/>
          </w:tcPr>
          <w:p w14:paraId="755BE721" w14:textId="77777777" w:rsidR="001930E8" w:rsidRDefault="00000000">
            <w:r>
              <w:rPr>
                <w:sz w:val="20"/>
              </w:rPr>
              <w:t>FastAPI app</w:t>
            </w:r>
          </w:p>
        </w:tc>
        <w:tc>
          <w:tcPr>
            <w:tcW w:w="3264" w:type="dxa"/>
          </w:tcPr>
          <w:p w14:paraId="61BED6BF" w14:textId="77777777" w:rsidR="001930E8" w:rsidRDefault="00000000">
            <w:hyperlink r:id="rId11">
              <w:r>
                <w:rPr>
                  <w:color w:val="0563C1"/>
                  <w:u w:val="single"/>
                </w:rPr>
                <w:t>c:\P_storage\Air\aqp\app\main.py</w:t>
              </w:r>
            </w:hyperlink>
          </w:p>
        </w:tc>
      </w:tr>
      <w:tr w:rsidR="001930E8" w14:paraId="0215F4A8" w14:textId="77777777">
        <w:tc>
          <w:tcPr>
            <w:tcW w:w="3264" w:type="dxa"/>
          </w:tcPr>
          <w:p w14:paraId="6EE7B29E" w14:textId="77777777" w:rsidR="001930E8" w:rsidRDefault="00000000">
            <w:r>
              <w:rPr>
                <w:sz w:val="20"/>
              </w:rPr>
              <w:t>Project file</w:t>
            </w:r>
          </w:p>
        </w:tc>
        <w:tc>
          <w:tcPr>
            <w:tcW w:w="3264" w:type="dxa"/>
          </w:tcPr>
          <w:p w14:paraId="49BC4E02" w14:textId="77777777" w:rsidR="001930E8" w:rsidRDefault="00000000">
            <w:r>
              <w:rPr>
                <w:sz w:val="20"/>
              </w:rPr>
              <w:t>Spark ETL jobs</w:t>
            </w:r>
          </w:p>
        </w:tc>
        <w:tc>
          <w:tcPr>
            <w:tcW w:w="3264" w:type="dxa"/>
          </w:tcPr>
          <w:p w14:paraId="5809913F" w14:textId="77777777" w:rsidR="001930E8" w:rsidRDefault="00000000">
            <w:hyperlink r:id="rId12">
              <w:r>
                <w:rPr>
                  <w:color w:val="0563C1"/>
                  <w:u w:val="single"/>
                </w:rPr>
                <w:t>c:\P_storage\Air\aqp\pipeline\spark_jobs.py</w:t>
              </w:r>
            </w:hyperlink>
          </w:p>
        </w:tc>
      </w:tr>
      <w:tr w:rsidR="001930E8" w14:paraId="62DF5DDE" w14:textId="77777777">
        <w:tc>
          <w:tcPr>
            <w:tcW w:w="3264" w:type="dxa"/>
          </w:tcPr>
          <w:p w14:paraId="1F57918C" w14:textId="77777777" w:rsidR="001930E8" w:rsidRDefault="00000000">
            <w:r>
              <w:rPr>
                <w:sz w:val="20"/>
              </w:rPr>
              <w:t>Project file</w:t>
            </w:r>
          </w:p>
        </w:tc>
        <w:tc>
          <w:tcPr>
            <w:tcW w:w="3264" w:type="dxa"/>
          </w:tcPr>
          <w:p w14:paraId="7D776A65" w14:textId="77777777" w:rsidR="001930E8" w:rsidRDefault="00000000">
            <w:r>
              <w:rPr>
                <w:sz w:val="20"/>
              </w:rPr>
              <w:t>Star schema loader</w:t>
            </w:r>
          </w:p>
        </w:tc>
        <w:tc>
          <w:tcPr>
            <w:tcW w:w="3264" w:type="dxa"/>
          </w:tcPr>
          <w:p w14:paraId="6939A0EC" w14:textId="77777777" w:rsidR="001930E8" w:rsidRDefault="00000000">
            <w:hyperlink r:id="rId13">
              <w:r>
                <w:rPr>
                  <w:color w:val="0563C1"/>
                  <w:u w:val="single"/>
                </w:rPr>
                <w:t>c:\P_storage\Air\aqp\pipeline\load_star_schema.py</w:t>
              </w:r>
            </w:hyperlink>
          </w:p>
        </w:tc>
      </w:tr>
      <w:tr w:rsidR="001930E8" w14:paraId="658D9DB4" w14:textId="77777777">
        <w:tc>
          <w:tcPr>
            <w:tcW w:w="3264" w:type="dxa"/>
          </w:tcPr>
          <w:p w14:paraId="2E20E936" w14:textId="77777777" w:rsidR="001930E8" w:rsidRDefault="00000000">
            <w:r>
              <w:rPr>
                <w:sz w:val="20"/>
              </w:rPr>
              <w:t>Project file</w:t>
            </w:r>
          </w:p>
        </w:tc>
        <w:tc>
          <w:tcPr>
            <w:tcW w:w="3264" w:type="dxa"/>
          </w:tcPr>
          <w:p w14:paraId="3F9F951C" w14:textId="77777777" w:rsidR="001930E8" w:rsidRDefault="00000000">
            <w:r>
              <w:rPr>
                <w:sz w:val="20"/>
              </w:rPr>
              <w:t>Airflow DAG</w:t>
            </w:r>
          </w:p>
        </w:tc>
        <w:tc>
          <w:tcPr>
            <w:tcW w:w="3264" w:type="dxa"/>
          </w:tcPr>
          <w:p w14:paraId="68281A80" w14:textId="77777777" w:rsidR="001930E8" w:rsidRDefault="00000000">
            <w:hyperlink r:id="rId14">
              <w:r>
                <w:rPr>
                  <w:color w:val="0563C1"/>
                  <w:u w:val="single"/>
                </w:rPr>
                <w:t>c:\P_storage\Air\aqp\airflow\dags\openaq_pipeline.py</w:t>
              </w:r>
            </w:hyperlink>
          </w:p>
        </w:tc>
      </w:tr>
      <w:tr w:rsidR="001930E8" w14:paraId="4BFB46E4" w14:textId="77777777">
        <w:tc>
          <w:tcPr>
            <w:tcW w:w="3264" w:type="dxa"/>
          </w:tcPr>
          <w:p w14:paraId="04E7F03D" w14:textId="77777777" w:rsidR="001930E8" w:rsidRDefault="00000000">
            <w:r>
              <w:rPr>
                <w:sz w:val="20"/>
              </w:rPr>
              <w:t>External doc</w:t>
            </w:r>
          </w:p>
        </w:tc>
        <w:tc>
          <w:tcPr>
            <w:tcW w:w="3264" w:type="dxa"/>
          </w:tcPr>
          <w:p w14:paraId="50F81293" w14:textId="77777777" w:rsidR="001930E8" w:rsidRDefault="00000000">
            <w:r>
              <w:rPr>
                <w:sz w:val="20"/>
              </w:rPr>
              <w:t>FastAPI Documentation</w:t>
            </w:r>
          </w:p>
        </w:tc>
        <w:tc>
          <w:tcPr>
            <w:tcW w:w="3264" w:type="dxa"/>
          </w:tcPr>
          <w:p w14:paraId="57ED7701" w14:textId="77777777" w:rsidR="001930E8" w:rsidRDefault="00000000">
            <w:hyperlink r:id="rId15">
              <w:r>
                <w:rPr>
                  <w:color w:val="0563C1"/>
                  <w:u w:val="single"/>
                </w:rPr>
                <w:t>https://fastapi.tiangolo.com/</w:t>
              </w:r>
            </w:hyperlink>
          </w:p>
        </w:tc>
      </w:tr>
      <w:tr w:rsidR="001930E8" w14:paraId="27C4E4B8" w14:textId="77777777">
        <w:tc>
          <w:tcPr>
            <w:tcW w:w="3264" w:type="dxa"/>
          </w:tcPr>
          <w:p w14:paraId="01DB7764" w14:textId="77777777" w:rsidR="001930E8" w:rsidRDefault="00000000">
            <w:r>
              <w:rPr>
                <w:sz w:val="20"/>
              </w:rPr>
              <w:t>External doc</w:t>
            </w:r>
          </w:p>
        </w:tc>
        <w:tc>
          <w:tcPr>
            <w:tcW w:w="3264" w:type="dxa"/>
          </w:tcPr>
          <w:p w14:paraId="5B7FF3A5" w14:textId="77777777" w:rsidR="001930E8" w:rsidRDefault="00000000">
            <w:r>
              <w:rPr>
                <w:sz w:val="20"/>
              </w:rPr>
              <w:t>Apache Airflow Documentation</w:t>
            </w:r>
          </w:p>
        </w:tc>
        <w:tc>
          <w:tcPr>
            <w:tcW w:w="3264" w:type="dxa"/>
          </w:tcPr>
          <w:p w14:paraId="56B2E340" w14:textId="77777777" w:rsidR="001930E8" w:rsidRDefault="00000000">
            <w:hyperlink r:id="rId16">
              <w:r>
                <w:rPr>
                  <w:color w:val="0563C1"/>
                  <w:u w:val="single"/>
                </w:rPr>
                <w:t>https://airflow.apache.org/docs/</w:t>
              </w:r>
            </w:hyperlink>
          </w:p>
        </w:tc>
      </w:tr>
      <w:tr w:rsidR="001930E8" w14:paraId="5D912EDE" w14:textId="77777777">
        <w:tc>
          <w:tcPr>
            <w:tcW w:w="3264" w:type="dxa"/>
          </w:tcPr>
          <w:p w14:paraId="478731D9" w14:textId="77777777" w:rsidR="001930E8" w:rsidRDefault="00000000">
            <w:r>
              <w:rPr>
                <w:sz w:val="20"/>
              </w:rPr>
              <w:t>External doc</w:t>
            </w:r>
          </w:p>
        </w:tc>
        <w:tc>
          <w:tcPr>
            <w:tcW w:w="3264" w:type="dxa"/>
          </w:tcPr>
          <w:p w14:paraId="289024DB" w14:textId="77777777" w:rsidR="001930E8" w:rsidRDefault="00000000">
            <w:r>
              <w:rPr>
                <w:sz w:val="20"/>
              </w:rPr>
              <w:t>Apache Spark Documentation</w:t>
            </w:r>
          </w:p>
        </w:tc>
        <w:tc>
          <w:tcPr>
            <w:tcW w:w="3264" w:type="dxa"/>
          </w:tcPr>
          <w:p w14:paraId="3CE2A2ED" w14:textId="77777777" w:rsidR="001930E8" w:rsidRDefault="00000000">
            <w:hyperlink r:id="rId17">
              <w:r>
                <w:rPr>
                  <w:color w:val="0563C1"/>
                  <w:u w:val="single"/>
                </w:rPr>
                <w:t>https://spark.apache.org/docs/latest/</w:t>
              </w:r>
            </w:hyperlink>
          </w:p>
        </w:tc>
      </w:tr>
      <w:tr w:rsidR="001930E8" w14:paraId="455EBDFD" w14:textId="77777777">
        <w:tc>
          <w:tcPr>
            <w:tcW w:w="3264" w:type="dxa"/>
          </w:tcPr>
          <w:p w14:paraId="25BFF382" w14:textId="77777777" w:rsidR="001930E8" w:rsidRDefault="00000000">
            <w:r>
              <w:rPr>
                <w:sz w:val="20"/>
              </w:rPr>
              <w:t>External doc</w:t>
            </w:r>
          </w:p>
        </w:tc>
        <w:tc>
          <w:tcPr>
            <w:tcW w:w="3264" w:type="dxa"/>
          </w:tcPr>
          <w:p w14:paraId="4FED9B8A" w14:textId="77777777" w:rsidR="001930E8" w:rsidRDefault="00000000">
            <w:r>
              <w:rPr>
                <w:sz w:val="20"/>
              </w:rPr>
              <w:t>PostgreSQL Documentation</w:t>
            </w:r>
          </w:p>
        </w:tc>
        <w:tc>
          <w:tcPr>
            <w:tcW w:w="3264" w:type="dxa"/>
          </w:tcPr>
          <w:p w14:paraId="6974EAC0" w14:textId="77777777" w:rsidR="001930E8" w:rsidRDefault="00000000">
            <w:hyperlink r:id="rId18">
              <w:r>
                <w:rPr>
                  <w:color w:val="0563C1"/>
                  <w:u w:val="single"/>
                </w:rPr>
                <w:t>https://www.postgresql.org/docs/</w:t>
              </w:r>
            </w:hyperlink>
          </w:p>
        </w:tc>
      </w:tr>
      <w:tr w:rsidR="001930E8" w14:paraId="4C18D4E6" w14:textId="77777777">
        <w:tc>
          <w:tcPr>
            <w:tcW w:w="3264" w:type="dxa"/>
          </w:tcPr>
          <w:p w14:paraId="5EAB5E83" w14:textId="77777777" w:rsidR="001930E8" w:rsidRDefault="00000000">
            <w:r>
              <w:rPr>
                <w:sz w:val="20"/>
              </w:rPr>
              <w:t>External doc</w:t>
            </w:r>
          </w:p>
        </w:tc>
        <w:tc>
          <w:tcPr>
            <w:tcW w:w="3264" w:type="dxa"/>
          </w:tcPr>
          <w:p w14:paraId="6F55ABFE" w14:textId="77777777" w:rsidR="001930E8" w:rsidRDefault="00000000">
            <w:r>
              <w:rPr>
                <w:sz w:val="20"/>
              </w:rPr>
              <w:t>Kafka Documentation</w:t>
            </w:r>
          </w:p>
        </w:tc>
        <w:tc>
          <w:tcPr>
            <w:tcW w:w="3264" w:type="dxa"/>
          </w:tcPr>
          <w:p w14:paraId="44B41866" w14:textId="77777777" w:rsidR="001930E8" w:rsidRDefault="00000000">
            <w:hyperlink r:id="rId19">
              <w:r>
                <w:rPr>
                  <w:color w:val="0563C1"/>
                  <w:u w:val="single"/>
                </w:rPr>
                <w:t>https://kafka.apache.org/documentation/</w:t>
              </w:r>
            </w:hyperlink>
          </w:p>
        </w:tc>
      </w:tr>
      <w:tr w:rsidR="001930E8" w14:paraId="7590B901" w14:textId="77777777">
        <w:tc>
          <w:tcPr>
            <w:tcW w:w="3264" w:type="dxa"/>
          </w:tcPr>
          <w:p w14:paraId="6FAC5F35" w14:textId="77777777" w:rsidR="001930E8" w:rsidRDefault="00000000">
            <w:r>
              <w:rPr>
                <w:sz w:val="20"/>
              </w:rPr>
              <w:t>External doc</w:t>
            </w:r>
          </w:p>
        </w:tc>
        <w:tc>
          <w:tcPr>
            <w:tcW w:w="3264" w:type="dxa"/>
          </w:tcPr>
          <w:p w14:paraId="42CD646C" w14:textId="77777777" w:rsidR="001930E8" w:rsidRDefault="00000000">
            <w:r>
              <w:rPr>
                <w:sz w:val="20"/>
              </w:rPr>
              <w:t>PyPI python-docx</w:t>
            </w:r>
          </w:p>
        </w:tc>
        <w:tc>
          <w:tcPr>
            <w:tcW w:w="3264" w:type="dxa"/>
          </w:tcPr>
          <w:p w14:paraId="5C9259ED" w14:textId="77777777" w:rsidR="001930E8" w:rsidRDefault="00000000">
            <w:hyperlink r:id="rId20">
              <w:r>
                <w:rPr>
                  <w:color w:val="0563C1"/>
                  <w:u w:val="single"/>
                </w:rPr>
                <w:t>https://python-docx.readthedocs.io/</w:t>
              </w:r>
            </w:hyperlink>
          </w:p>
        </w:tc>
      </w:tr>
    </w:tbl>
    <w:p w14:paraId="4C164862" w14:textId="77777777" w:rsidR="001930E8" w:rsidRDefault="00000000">
      <w:pPr>
        <w:spacing w:after="120"/>
      </w:pPr>
      <w:r>
        <w:t>The link list above is intended to remain clickable in Word so the final page doubles as a reference sheet and a project navigation aid.</w:t>
      </w:r>
    </w:p>
    <w:p w14:paraId="0DE3BC89" w14:textId="77777777" w:rsidR="001930E8" w:rsidRDefault="00000000">
      <w:pPr>
        <w:pStyle w:val="Heading1"/>
        <w:spacing w:before="200" w:after="120"/>
      </w:pPr>
      <w:r>
        <w:t>Appendix A. Commands Used During Validation</w:t>
      </w:r>
    </w:p>
    <w:p w14:paraId="74C47A94" w14:textId="77777777" w:rsidR="001930E8" w:rsidRDefault="00000000">
      <w:pPr>
        <w:pStyle w:val="ListBullet"/>
        <w:spacing w:after="80"/>
      </w:pPr>
      <w:r>
        <w:t>docker compose config</w:t>
      </w:r>
    </w:p>
    <w:p w14:paraId="309F836A" w14:textId="77777777" w:rsidR="001930E8" w:rsidRDefault="00000000">
      <w:pPr>
        <w:pStyle w:val="ListBullet"/>
        <w:spacing w:after="80"/>
      </w:pPr>
      <w:r>
        <w:t>docker compose up -d db kafka kafka-init airflow app</w:t>
      </w:r>
    </w:p>
    <w:p w14:paraId="728158E4" w14:textId="77777777" w:rsidR="001930E8" w:rsidRDefault="00000000">
      <w:pPr>
        <w:pStyle w:val="ListBullet"/>
        <w:spacing w:after="80"/>
      </w:pPr>
      <w:r>
        <w:t>docker compose exec airflow /bin/bash -lc "/home/airflow/.local/bin/airflow dags list"</w:t>
      </w:r>
    </w:p>
    <w:p w14:paraId="673C056F" w14:textId="77777777" w:rsidR="001930E8" w:rsidRDefault="00000000">
      <w:pPr>
        <w:pStyle w:val="ListBullet"/>
        <w:spacing w:after="80"/>
      </w:pPr>
      <w:r>
        <w:t>docker compose exec airflow /bin/bash -lc "/home/airflow/.local/bin/airflow dags trigger openaq_etl_pipeline --run-id pipeline_test_run"</w:t>
      </w:r>
    </w:p>
    <w:p w14:paraId="04A94EAA" w14:textId="77777777" w:rsidR="001930E8" w:rsidRDefault="00000000">
      <w:pPr>
        <w:pStyle w:val="ListBullet"/>
        <w:spacing w:after="80"/>
      </w:pPr>
      <w:r>
        <w:t>Invoke-RestMethod -Uri http://localhost:8000/health | ConvertTo-Json</w:t>
      </w:r>
    </w:p>
    <w:p w14:paraId="6E3B9357" w14:textId="77777777" w:rsidR="001930E8" w:rsidRDefault="00000000">
      <w:pPr>
        <w:pStyle w:val="Heading1"/>
        <w:spacing w:before="200" w:after="120"/>
      </w:pPr>
      <w:r>
        <w:t>Appendix B. Notes for Submission</w:t>
      </w:r>
    </w:p>
    <w:p w14:paraId="7E906AA9" w14:textId="77777777" w:rsidR="001930E8" w:rsidRDefault="00000000">
      <w:pPr>
        <w:spacing w:after="120"/>
      </w:pPr>
      <w:r>
        <w:t>If the university rubric requires screenshots, they should be inserted after the project has been opened in the browser and Airflow UI. If a specific formatting style is required, the same content can be re-exported into an institution template with no major code changes. The current file is designed to be a complete narrative document that can be submitted immediately or lightly edited for local formatting preferences.</w:t>
      </w:r>
    </w:p>
    <w:sectPr w:rsidR="001930E8" w:rsidSect="00034616">
      <w:footerReference w:type="default" r:id="rId2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4461" w14:textId="77777777" w:rsidR="009C1A30" w:rsidRDefault="009C1A30">
      <w:pPr>
        <w:spacing w:after="0" w:line="240" w:lineRule="auto"/>
      </w:pPr>
      <w:r>
        <w:separator/>
      </w:r>
    </w:p>
  </w:endnote>
  <w:endnote w:type="continuationSeparator" w:id="0">
    <w:p w14:paraId="321FF0E9" w14:textId="77777777" w:rsidR="009C1A30" w:rsidRDefault="009C1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C83" w14:textId="77777777" w:rsidR="001930E8" w:rsidRDefault="00000000">
    <w:pPr>
      <w:pStyle w:val="Footer"/>
      <w:jc w:val="center"/>
    </w:pPr>
    <w:r>
      <w:t xml:space="preserve">Page </w:t>
    </w:r>
    <w:r>
      <w:fldChar w:fldCharType="begin"/>
    </w:r>
    <w:r>
      <w:instrText>PAGE</w:instrText>
    </w:r>
    <w:r w:rsidR="00A27F3E">
      <w:fldChar w:fldCharType="separate"/>
    </w:r>
    <w:r w:rsidR="00A27F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A1C8" w14:textId="77777777" w:rsidR="009C1A30" w:rsidRDefault="009C1A30">
      <w:pPr>
        <w:spacing w:after="0" w:line="240" w:lineRule="auto"/>
      </w:pPr>
      <w:r>
        <w:separator/>
      </w:r>
    </w:p>
  </w:footnote>
  <w:footnote w:type="continuationSeparator" w:id="0">
    <w:p w14:paraId="68D4CC16" w14:textId="77777777" w:rsidR="009C1A30" w:rsidRDefault="009C1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665123">
    <w:abstractNumId w:val="8"/>
  </w:num>
  <w:num w:numId="2" w16cid:durableId="1436099913">
    <w:abstractNumId w:val="6"/>
  </w:num>
  <w:num w:numId="3" w16cid:durableId="1330521276">
    <w:abstractNumId w:val="5"/>
  </w:num>
  <w:num w:numId="4" w16cid:durableId="2020810695">
    <w:abstractNumId w:val="4"/>
  </w:num>
  <w:num w:numId="5" w16cid:durableId="998117649">
    <w:abstractNumId w:val="7"/>
  </w:num>
  <w:num w:numId="6" w16cid:durableId="1663578878">
    <w:abstractNumId w:val="3"/>
  </w:num>
  <w:num w:numId="7" w16cid:durableId="1930966360">
    <w:abstractNumId w:val="2"/>
  </w:num>
  <w:num w:numId="8" w16cid:durableId="1297567609">
    <w:abstractNumId w:val="1"/>
  </w:num>
  <w:num w:numId="9" w16cid:durableId="60850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0E8"/>
    <w:rsid w:val="0029639D"/>
    <w:rsid w:val="00326F90"/>
    <w:rsid w:val="006318A0"/>
    <w:rsid w:val="006A6E61"/>
    <w:rsid w:val="009C1A30"/>
    <w:rsid w:val="00A27F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A8346"/>
  <w14:defaultImageDpi w14:val="300"/>
  <w15:docId w15:val="{210C5316-4036-428B-98C2-7DF7C5C9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P_storage/Air/aqp/pipeline/load_star_schema.py" TargetMode="External"/><Relationship Id="rId18"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c:/P_storage/Air/aqp/pipeline/spark_jobs.py" TargetMode="External"/><Relationship Id="rId17" Type="http://schemas.openxmlformats.org/officeDocument/2006/relationships/hyperlink" Target="https://spark.apache.org/docs/latest/" TargetMode="External"/><Relationship Id="rId2" Type="http://schemas.openxmlformats.org/officeDocument/2006/relationships/numbering" Target="numbering.xml"/><Relationship Id="rId16" Type="http://schemas.openxmlformats.org/officeDocument/2006/relationships/hyperlink" Target="https://airflow.apache.org/docs/" TargetMode="External"/><Relationship Id="rId20" Type="http://schemas.openxmlformats.org/officeDocument/2006/relationships/hyperlink" Target="https://python-docx.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P_storage/Air/aqp/app/main.py" TargetMode="Externa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theme" Target="theme/theme1.xml"/><Relationship Id="rId10" Type="http://schemas.openxmlformats.org/officeDocument/2006/relationships/hyperlink" Target="file:///c:/P_storage/Air/aqp/docker-compose.yml" TargetMode="External"/><Relationship Id="rId19" Type="http://schemas.openxmlformats.org/officeDocument/2006/relationships/hyperlink" Target="https://kafka.apache.org/documentation/" TargetMode="External"/><Relationship Id="rId4" Type="http://schemas.openxmlformats.org/officeDocument/2006/relationships/settings" Target="settings.xml"/><Relationship Id="rId9" Type="http://schemas.openxmlformats.org/officeDocument/2006/relationships/hyperlink" Target="file:///c:/P_storage/Air/aqp/README.md" TargetMode="External"/><Relationship Id="rId14" Type="http://schemas.openxmlformats.org/officeDocument/2006/relationships/hyperlink" Target="file:///c:/P_storage/Air/aqp/airflow/dags/openaq_pipeline.p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3138</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Harshiv Pravinbhai Miyatra</cp:lastModifiedBy>
  <cp:revision>3</cp:revision>
  <dcterms:created xsi:type="dcterms:W3CDTF">2013-12-23T23:15:00Z</dcterms:created>
  <dcterms:modified xsi:type="dcterms:W3CDTF">2026-05-04T15:45:00Z</dcterms:modified>
  <cp:category/>
</cp:coreProperties>
</file>