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0" w:lineRule="auto"/>
        <w:jc w:val="center"/>
        <w:rPr/>
      </w:pPr>
      <w:r w:rsidDel="00000000" w:rsidR="00000000" w:rsidRPr="00000000">
        <w:rPr>
          <w:rtl w:val="0"/>
        </w:rPr>
      </w:r>
    </w:p>
    <w:p w:rsidR="00000000" w:rsidDel="00000000" w:rsidP="00000000" w:rsidRDefault="00000000" w:rsidRPr="00000000" w14:paraId="00000002">
      <w:pPr>
        <w:spacing w:after="600" w:lineRule="auto"/>
        <w:jc w:val="center"/>
        <w:rPr>
          <w:sz w:val="30"/>
          <w:szCs w:val="30"/>
        </w:rPr>
      </w:pPr>
      <w:r w:rsidDel="00000000" w:rsidR="00000000" w:rsidRPr="00000000">
        <w:rPr>
          <w:i w:val="1"/>
          <w:iCs w:val="1"/>
          <w:color w:val="555555"/>
          <w:sz w:val="36"/>
          <w:szCs w:val="36"/>
          <w:rtl w:val="0"/>
        </w:rPr>
        <w:t xml:space="preserve">An Exploratory Data Analysis of the NSW Rental Crisis</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280" w:lineRule="auto"/>
        <w:rPr/>
      </w:pPr>
      <w:r w:rsidDel="00000000" w:rsidR="00000000" w:rsidRPr="00000000">
        <w:rPr>
          <w:b w:val="1"/>
          <w:bCs w:val="1"/>
          <w:color w:val="1f3a5f"/>
          <w:sz w:val="32"/>
          <w:szCs w:val="32"/>
          <w:rtl w:val="0"/>
        </w:rPr>
        <w:t xml:space="preserve">1.  Executive Summary</w:t>
      </w:r>
      <w:r w:rsidDel="00000000" w:rsidR="00000000" w:rsidRPr="00000000">
        <w:rPr>
          <w:rtl w:val="0"/>
        </w:rPr>
      </w:r>
    </w:p>
    <w:p w:rsidR="00000000" w:rsidDel="00000000" w:rsidP="00000000" w:rsidRDefault="00000000" w:rsidRPr="00000000" w14:paraId="00000007">
      <w:pPr>
        <w:spacing w:after="120" w:lineRule="auto"/>
        <w:jc w:val="left"/>
        <w:rPr/>
      </w:pPr>
      <w:r w:rsidDel="00000000" w:rsidR="00000000" w:rsidRPr="00000000">
        <w:rPr>
          <w:b w:val="0"/>
          <w:bCs w:val="0"/>
          <w:i w:val="0"/>
          <w:iCs w:val="0"/>
          <w:color w:val="222222"/>
          <w:sz w:val="22"/>
          <w:szCs w:val="22"/>
          <w:rtl w:val="0"/>
        </w:rPr>
        <w:t xml:space="preserve">We analysed 303,111 NSW rental bond lodgements from 2025, 310,428 refund records, and ABS SEIFA disadvantage scores covering 636 postcodes. The dataset reveals one strong, original finding and several supporting patterns that together support a clear persuasion narrative.</w:t>
      </w:r>
      <w:r w:rsidDel="00000000" w:rsidR="00000000" w:rsidRPr="00000000">
        <w:rPr>
          <w:rtl w:val="0"/>
        </w:rPr>
      </w:r>
    </w:p>
    <w:p w:rsidR="00000000" w:rsidDel="00000000" w:rsidP="00000000" w:rsidRDefault="00000000" w:rsidRPr="00000000" w14:paraId="00000008">
      <w:pPr>
        <w:pStyle w:val="Heading3"/>
        <w:spacing w:after="100" w:before="200" w:lineRule="auto"/>
        <w:rPr/>
      </w:pPr>
      <w:r w:rsidDel="00000000" w:rsidR="00000000" w:rsidRPr="00000000">
        <w:rPr>
          <w:b w:val="1"/>
          <w:bCs w:val="1"/>
          <w:color w:val="555555"/>
          <w:sz w:val="22"/>
          <w:szCs w:val="22"/>
          <w:rtl w:val="0"/>
        </w:rPr>
        <w:t xml:space="preserve">Headline finding</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8dc" w:val="clear"/>
            <w:tcMar>
              <w:top w:w="160.0" w:type="dxa"/>
              <w:left w:w="200.0" w:type="dxa"/>
              <w:bottom w:w="160.0" w:type="dxa"/>
              <w:right w:w="200.0" w:type="dxa"/>
            </w:tcMar>
          </w:tcPr>
          <w:p w:rsidR="00000000" w:rsidDel="00000000" w:rsidP="00000000" w:rsidRDefault="00000000" w:rsidRPr="00000000" w14:paraId="00000009">
            <w:pPr>
              <w:rPr/>
            </w:pPr>
            <w:r w:rsidDel="00000000" w:rsidR="00000000" w:rsidRPr="00000000">
              <w:rPr>
                <w:i w:val="1"/>
                <w:iCs w:val="1"/>
                <w:color w:val="333333"/>
                <w:sz w:val="22"/>
                <w:szCs w:val="22"/>
                <w:rtl w:val="0"/>
              </w:rPr>
              <w:t xml:space="preserve">Tenants in NSW's most disadvantaged postcodes lose 37.0% of their bond on average. In the wealthiest postcodes, they lose just 13.0%. Same legal system, nearly 3× the loss rate.</w:t>
            </w:r>
            <w:r w:rsidDel="00000000" w:rsidR="00000000" w:rsidRPr="00000000">
              <w:rPr>
                <w:rtl w:val="0"/>
              </w:rPr>
            </w:r>
          </w:p>
        </w:tc>
      </w:tr>
    </w:tbl>
    <w:p w:rsidR="00000000" w:rsidDel="00000000" w:rsidP="00000000" w:rsidRDefault="00000000" w:rsidRPr="00000000" w14:paraId="0000000A">
      <w:pPr>
        <w:pStyle w:val="Heading3"/>
        <w:spacing w:after="100" w:before="200" w:lineRule="auto"/>
        <w:rPr/>
      </w:pPr>
      <w:r w:rsidDel="00000000" w:rsidR="00000000" w:rsidRPr="00000000">
        <w:rPr>
          <w:b w:val="1"/>
          <w:bCs w:val="1"/>
          <w:color w:val="555555"/>
          <w:sz w:val="22"/>
          <w:szCs w:val="22"/>
          <w:rtl w:val="0"/>
        </w:rPr>
        <w:t xml:space="preserve">What this document contains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8 EDA figures with the pattern each one reveals.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we propose to tell — "The Bond Penalty".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Stakeholder Hat (persona) and three asks.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brief for the Tableau team — which figure becomes which dashboard, and how.</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Caveats and known limitations to address proactively in Q&amp;A.</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60" w:before="280" w:lineRule="auto"/>
        <w:rPr/>
      </w:pPr>
      <w:r w:rsidDel="00000000" w:rsidR="00000000" w:rsidRPr="00000000">
        <w:rPr>
          <w:b w:val="1"/>
          <w:bCs w:val="1"/>
          <w:color w:val="1f3a5f"/>
          <w:sz w:val="32"/>
          <w:szCs w:val="32"/>
          <w:rtl w:val="0"/>
        </w:rPr>
        <w:t xml:space="preserve">2.  EDA Figures and What Each One Tells Us</w:t>
      </w:r>
      <w:r w:rsidDel="00000000" w:rsidR="00000000" w:rsidRPr="00000000">
        <w:rPr>
          <w:rtl w:val="0"/>
        </w:rPr>
      </w:r>
    </w:p>
    <w:p w:rsidR="00000000" w:rsidDel="00000000" w:rsidP="00000000" w:rsidRDefault="00000000" w:rsidRPr="00000000" w14:paraId="00000012">
      <w:pPr>
        <w:spacing w:after="120" w:lineRule="auto"/>
        <w:jc w:val="left"/>
        <w:rPr/>
      </w:pPr>
      <w:r w:rsidDel="00000000" w:rsidR="00000000" w:rsidRPr="00000000">
        <w:rPr>
          <w:b w:val="0"/>
          <w:bCs w:val="0"/>
          <w:i w:val="0"/>
          <w:iCs w:val="0"/>
          <w:color w:val="222222"/>
          <w:sz w:val="22"/>
          <w:szCs w:val="22"/>
          <w:rtl w:val="0"/>
        </w:rPr>
        <w:t xml:space="preserve">We worked through eight figures in increasing depth: the basic shape of the market, trends across 2025, then the SEIFA cross-tabs that uncover the headline pattern. Each figure has a one-paragraph plain-English interpretation directly underneath.</w:t>
      </w: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b w:val="1"/>
          <w:bCs w:val="1"/>
          <w:color w:val="2e86ab"/>
          <w:sz w:val="26"/>
          <w:szCs w:val="26"/>
          <w:rtl w:val="0"/>
        </w:rPr>
        <w:t xml:space="preserve">Figure 1 — Distribution of weekly rents in NSW</w:t>
      </w:r>
      <w:r w:rsidDel="00000000" w:rsidR="00000000" w:rsidRPr="00000000">
        <w:rPr>
          <w:rtl w:val="0"/>
        </w:rPr>
      </w:r>
    </w:p>
    <w:p w:rsidR="00000000" w:rsidDel="00000000" w:rsidP="00000000" w:rsidRDefault="00000000" w:rsidRPr="00000000" w14:paraId="00000014">
      <w:pPr>
        <w:spacing w:after="80" w:before="160" w:lineRule="auto"/>
        <w:jc w:val="center"/>
        <w:rPr/>
      </w:pPr>
      <w:r w:rsidDel="00000000" w:rsidR="00000000" w:rsidRPr="00000000">
        <w:rPr/>
        <w:drawing>
          <wp:inline distB="0" distT="0" distL="0" distR="0">
            <wp:extent cx="5524500" cy="276225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Rule="auto"/>
        <w:jc w:val="center"/>
        <w:rPr/>
      </w:pPr>
      <w:r w:rsidDel="00000000" w:rsidR="00000000" w:rsidRPr="00000000">
        <w:rPr>
          <w:b w:val="1"/>
          <w:bCs w:val="1"/>
          <w:color w:val="555555"/>
          <w:sz w:val="20"/>
          <w:szCs w:val="20"/>
          <w:rtl w:val="0"/>
        </w:rPr>
        <w:t xml:space="preserve">Figure 1. </w:t>
      </w:r>
      <w:r w:rsidDel="00000000" w:rsidR="00000000" w:rsidRPr="00000000">
        <w:rPr>
          <w:i w:val="1"/>
          <w:iCs w:val="1"/>
          <w:color w:val="555555"/>
          <w:sz w:val="20"/>
          <w:szCs w:val="20"/>
          <w:rtl w:val="0"/>
        </w:rPr>
        <w:t xml:space="preserve">Distribution of weekly rents, 303k bonds lodged in NSW during 2025.</w:t>
      </w:r>
      <w:r w:rsidDel="00000000" w:rsidR="00000000" w:rsidRPr="00000000">
        <w:rPr>
          <w:rtl w:val="0"/>
        </w:rPr>
      </w:r>
    </w:p>
    <w:p w:rsidR="00000000" w:rsidDel="00000000" w:rsidP="00000000" w:rsidRDefault="00000000" w:rsidRPr="00000000" w14:paraId="00000016">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17">
      <w:pPr>
        <w:spacing w:after="120" w:lineRule="auto"/>
        <w:jc w:val="left"/>
        <w:rPr/>
      </w:pPr>
      <w:r w:rsidDel="00000000" w:rsidR="00000000" w:rsidRPr="00000000">
        <w:rPr>
          <w:b w:val="0"/>
          <w:bCs w:val="0"/>
          <w:i w:val="0"/>
          <w:iCs w:val="0"/>
          <w:color w:val="222222"/>
          <w:sz w:val="22"/>
          <w:szCs w:val="22"/>
          <w:rtl w:val="0"/>
        </w:rPr>
        <w:t xml:space="preserve">The NSW market is concentrated around $500–$900/week, with median rent of $690/week. The mean sits well above the median — a classic right-skewed distribution caused by a long tail of rentals above $1,500. This sets the scene: when we later say a teacher cannot afford the median rent, we mean they cannot afford the experience of half the renters in NSW.</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b w:val="1"/>
          <w:bCs w:val="1"/>
          <w:color w:val="2e86ab"/>
          <w:sz w:val="26"/>
          <w:szCs w:val="26"/>
          <w:rtl w:val="0"/>
        </w:rPr>
        <w:t xml:space="preserve">Figure 2 — Monthly trend across 2025</w:t>
      </w:r>
      <w:r w:rsidDel="00000000" w:rsidR="00000000" w:rsidRPr="00000000">
        <w:rPr>
          <w:rtl w:val="0"/>
        </w:rPr>
      </w:r>
    </w:p>
    <w:p w:rsidR="00000000" w:rsidDel="00000000" w:rsidP="00000000" w:rsidRDefault="00000000" w:rsidRPr="00000000" w14:paraId="00000019">
      <w:pPr>
        <w:spacing w:after="80" w:before="160" w:lineRule="auto"/>
        <w:jc w:val="center"/>
        <w:rPr/>
      </w:pPr>
      <w:r w:rsidDel="00000000" w:rsidR="00000000" w:rsidRPr="00000000">
        <w:rPr/>
        <w:drawing>
          <wp:inline distB="0" distT="0" distL="0" distR="0">
            <wp:extent cx="5524500" cy="276225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lineRule="auto"/>
        <w:jc w:val="center"/>
        <w:rPr/>
      </w:pPr>
      <w:r w:rsidDel="00000000" w:rsidR="00000000" w:rsidRPr="00000000">
        <w:rPr>
          <w:b w:val="1"/>
          <w:bCs w:val="1"/>
          <w:color w:val="555555"/>
          <w:sz w:val="20"/>
          <w:szCs w:val="20"/>
          <w:rtl w:val="0"/>
        </w:rPr>
        <w:t xml:space="preserve">Figure 2. </w:t>
      </w:r>
      <w:r w:rsidDel="00000000" w:rsidR="00000000" w:rsidRPr="00000000">
        <w:rPr>
          <w:i w:val="1"/>
          <w:iCs w:val="1"/>
          <w:color w:val="555555"/>
          <w:sz w:val="20"/>
          <w:szCs w:val="20"/>
          <w:rtl w:val="0"/>
        </w:rPr>
        <w:t xml:space="preserve">Median weekly rent and number of bonds lodged, by month, NSW 2025.</w:t>
      </w:r>
      <w:r w:rsidDel="00000000" w:rsidR="00000000" w:rsidRPr="00000000">
        <w:rPr>
          <w:rtl w:val="0"/>
        </w:rPr>
      </w:r>
    </w:p>
    <w:p w:rsidR="00000000" w:rsidDel="00000000" w:rsidP="00000000" w:rsidRDefault="00000000" w:rsidRPr="00000000" w14:paraId="0000001B">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1C">
      <w:pPr>
        <w:spacing w:after="120" w:lineRule="auto"/>
        <w:jc w:val="left"/>
        <w:rPr/>
      </w:pPr>
      <w:r w:rsidDel="00000000" w:rsidR="00000000" w:rsidRPr="00000000">
        <w:rPr>
          <w:b w:val="0"/>
          <w:bCs w:val="0"/>
          <w:i w:val="0"/>
          <w:iCs w:val="0"/>
          <w:color w:val="222222"/>
          <w:sz w:val="22"/>
          <w:szCs w:val="22"/>
          <w:rtl w:val="0"/>
        </w:rPr>
        <w:t xml:space="preserve">The median rent climbed gently from $682 (January) to $700 (December) — a +2.6% rise over 2025. Lodgement volumes peak in mid-year (July–September) and dip late in the year. The takeaway: the market has cooled compared to 2022–2024, but rents have not fallen. This is context for the deck, not the lead. The story is not that rents are spiking; it is that the gaps we are about to show are baked in regardless of headline movement.</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b w:val="1"/>
          <w:bCs w:val="1"/>
          <w:color w:val="2e86ab"/>
          <w:sz w:val="26"/>
          <w:szCs w:val="26"/>
          <w:rtl w:val="0"/>
        </w:rPr>
        <w:t xml:space="preserve">Figure 3 — Rent vs SEIFA disadvantage decile</w:t>
      </w:r>
      <w:r w:rsidDel="00000000" w:rsidR="00000000" w:rsidRPr="00000000">
        <w:rPr>
          <w:rtl w:val="0"/>
        </w:rPr>
      </w:r>
    </w:p>
    <w:p w:rsidR="00000000" w:rsidDel="00000000" w:rsidP="00000000" w:rsidRDefault="00000000" w:rsidRPr="00000000" w14:paraId="0000001E">
      <w:pPr>
        <w:spacing w:after="80" w:before="160" w:lineRule="auto"/>
        <w:jc w:val="center"/>
        <w:rPr/>
      </w:pPr>
      <w:r w:rsidDel="00000000" w:rsidR="00000000" w:rsidRPr="00000000">
        <w:rPr/>
        <w:drawing>
          <wp:inline distB="0" distT="0" distL="0" distR="0">
            <wp:extent cx="5524500" cy="276225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jc w:val="center"/>
        <w:rPr/>
      </w:pPr>
      <w:r w:rsidDel="00000000" w:rsidR="00000000" w:rsidRPr="00000000">
        <w:rPr>
          <w:b w:val="1"/>
          <w:bCs w:val="1"/>
          <w:color w:val="555555"/>
          <w:sz w:val="20"/>
          <w:szCs w:val="20"/>
          <w:rtl w:val="0"/>
        </w:rPr>
        <w:t xml:space="preserve">Figure 3. </w:t>
      </w:r>
      <w:r w:rsidDel="00000000" w:rsidR="00000000" w:rsidRPr="00000000">
        <w:rPr>
          <w:i w:val="1"/>
          <w:iCs w:val="1"/>
          <w:color w:val="555555"/>
          <w:sz w:val="20"/>
          <w:szCs w:val="20"/>
          <w:rtl w:val="0"/>
        </w:rPr>
        <w:t xml:space="preserve">Median weekly rent at postcode level grouped by SEIFA disadvantage decile.</w:t>
      </w:r>
      <w:r w:rsidDel="00000000" w:rsidR="00000000" w:rsidRPr="00000000">
        <w:rPr>
          <w:rtl w:val="0"/>
        </w:rPr>
      </w:r>
    </w:p>
    <w:p w:rsidR="00000000" w:rsidDel="00000000" w:rsidP="00000000" w:rsidRDefault="00000000" w:rsidRPr="00000000" w14:paraId="00000020">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21">
      <w:pPr>
        <w:spacing w:after="120" w:lineRule="auto"/>
        <w:jc w:val="left"/>
        <w:rPr/>
      </w:pPr>
      <w:r w:rsidDel="00000000" w:rsidR="00000000" w:rsidRPr="00000000">
        <w:rPr>
          <w:b w:val="0"/>
          <w:bCs w:val="0"/>
          <w:i w:val="0"/>
          <w:iCs w:val="0"/>
          <w:color w:val="222222"/>
          <w:sz w:val="22"/>
          <w:szCs w:val="22"/>
          <w:rtl w:val="0"/>
        </w:rPr>
        <w:t xml:space="preserve">Broadly, rent rises with affluence — deciles 4 through 10 climb steadily from $550 to $861/week. But the bottom of the chart hides something unexpected: decile 1 sits HIGHER than deciles 2 and 3. The most disadvantaged postcodes are paying more than the slightly less disadvantaged ones. This U-shape at the bottom is the visual hook for the Squeezed Middle anomaly — disadvantaged communities trapped in expensive inner-Sydney pockets like Auburn, Burwood and Greenacre. We name those postcodes in Figure 6.</w:t>
      </w: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b w:val="1"/>
          <w:bCs w:val="1"/>
          <w:color w:val="2e86ab"/>
          <w:sz w:val="26"/>
          <w:szCs w:val="26"/>
          <w:rtl w:val="0"/>
        </w:rPr>
        <w:t xml:space="preserve">Figure 4 — THE HEADLINE: Bond loss by SEIFA decile</w:t>
      </w:r>
      <w:r w:rsidDel="00000000" w:rsidR="00000000" w:rsidRPr="00000000">
        <w:rPr>
          <w:rtl w:val="0"/>
        </w:rPr>
      </w:r>
    </w:p>
    <w:p w:rsidR="00000000" w:rsidDel="00000000" w:rsidP="00000000" w:rsidRDefault="00000000" w:rsidRPr="00000000" w14:paraId="00000023">
      <w:pPr>
        <w:spacing w:after="80" w:before="160" w:lineRule="auto"/>
        <w:jc w:val="center"/>
        <w:rPr/>
      </w:pPr>
      <w:r w:rsidDel="00000000" w:rsidR="00000000" w:rsidRPr="00000000">
        <w:rPr/>
        <w:drawing>
          <wp:inline distB="0" distT="0" distL="0" distR="0">
            <wp:extent cx="5524500" cy="276225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jc w:val="center"/>
        <w:rPr/>
      </w:pPr>
      <w:r w:rsidDel="00000000" w:rsidR="00000000" w:rsidRPr="00000000">
        <w:rPr>
          <w:b w:val="1"/>
          <w:bCs w:val="1"/>
          <w:color w:val="555555"/>
          <w:sz w:val="20"/>
          <w:szCs w:val="20"/>
          <w:rtl w:val="0"/>
        </w:rPr>
        <w:t xml:space="preserve">Figure 4. </w:t>
      </w:r>
      <w:r w:rsidDel="00000000" w:rsidR="00000000" w:rsidRPr="00000000">
        <w:rPr>
          <w:i w:val="1"/>
          <w:iCs w:val="1"/>
          <w:color w:val="555555"/>
          <w:sz w:val="20"/>
          <w:szCs w:val="20"/>
          <w:rtl w:val="0"/>
        </w:rPr>
        <w:t xml:space="preserve">Average percentage of bond paid to landlord (rather than refunded to tenant), grouped by SEIFA decile.</w:t>
      </w:r>
      <w:r w:rsidDel="00000000" w:rsidR="00000000" w:rsidRPr="00000000">
        <w:rPr>
          <w:rtl w:val="0"/>
        </w:rPr>
      </w:r>
    </w:p>
    <w:p w:rsidR="00000000" w:rsidDel="00000000" w:rsidP="00000000" w:rsidRDefault="00000000" w:rsidRPr="00000000" w14:paraId="00000025">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26">
      <w:pPr>
        <w:spacing w:after="120" w:lineRule="auto"/>
        <w:jc w:val="left"/>
        <w:rPr/>
      </w:pPr>
      <w:r w:rsidDel="00000000" w:rsidR="00000000" w:rsidRPr="00000000">
        <w:rPr>
          <w:b w:val="0"/>
          <w:bCs w:val="0"/>
          <w:i w:val="0"/>
          <w:iCs w:val="0"/>
          <w:color w:val="222222"/>
          <w:sz w:val="22"/>
          <w:szCs w:val="22"/>
          <w:rtl w:val="0"/>
        </w:rPr>
        <w:t xml:space="preserve">This is the strongest finding in the dataset and the centrepiece of the pitch. The gradient is monotonic — every step up the SEIFA ladder = less bond lost. A renter in decile 1 (most disadvantaged) loses 37.0% of their bond on average, against just 13.0% for decile 10. Same legal system, same forms, same Fair Trading process — but a renter in Mount Druitt loses nearly 3× more of their bond than a renter in Mosman.</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8dc" w:val="clear"/>
            <w:tcMar>
              <w:top w:w="160.0" w:type="dxa"/>
              <w:left w:w="200.0" w:type="dxa"/>
              <w:bottom w:w="160.0" w:type="dxa"/>
              <w:right w:w="200.0" w:type="dxa"/>
            </w:tcMar>
          </w:tcPr>
          <w:p w:rsidR="00000000" w:rsidDel="00000000" w:rsidP="00000000" w:rsidRDefault="00000000" w:rsidRPr="00000000" w14:paraId="00000027">
            <w:pPr>
              <w:rPr/>
            </w:pPr>
            <w:r w:rsidDel="00000000" w:rsidR="00000000" w:rsidRPr="00000000">
              <w:rPr>
                <w:i w:val="1"/>
                <w:iCs w:val="1"/>
                <w:color w:val="333333"/>
                <w:sz w:val="22"/>
                <w:szCs w:val="22"/>
                <w:rtl w:val="0"/>
              </w:rPr>
              <w:t xml:space="preserve">Why this lands: the chart is impossible to argue with. There is no noise, no caveat. The poorer the postcode, the more of the bond the tenant loses. Anyone who sees this chart instinctively asks: "Why?"</w:t>
            </w:r>
            <w:r w:rsidDel="00000000" w:rsidR="00000000" w:rsidRPr="00000000">
              <w:rPr>
                <w:rtl w:val="0"/>
              </w:rPr>
            </w:r>
          </w:p>
        </w:tc>
      </w:tr>
    </w:tbl>
    <w:p w:rsidR="00000000" w:rsidDel="00000000" w:rsidP="00000000" w:rsidRDefault="00000000" w:rsidRPr="00000000" w14:paraId="00000028">
      <w:pPr>
        <w:pStyle w:val="Heading2"/>
        <w:spacing w:after="120" w:before="240" w:lineRule="auto"/>
        <w:rPr/>
      </w:pPr>
      <w:r w:rsidDel="00000000" w:rsidR="00000000" w:rsidRPr="00000000">
        <w:rPr>
          <w:b w:val="1"/>
          <w:bCs w:val="1"/>
          <w:color w:val="2e86ab"/>
          <w:sz w:val="26"/>
          <w:szCs w:val="26"/>
          <w:rtl w:val="0"/>
        </w:rPr>
        <w:t xml:space="preserve">Figure 5 — Tenancy length distribution</w:t>
      </w:r>
      <w:r w:rsidDel="00000000" w:rsidR="00000000" w:rsidRPr="00000000">
        <w:rPr>
          <w:rtl w:val="0"/>
        </w:rPr>
      </w:r>
    </w:p>
    <w:p w:rsidR="00000000" w:rsidDel="00000000" w:rsidP="00000000" w:rsidRDefault="00000000" w:rsidRPr="00000000" w14:paraId="00000029">
      <w:pPr>
        <w:spacing w:after="80" w:before="160" w:lineRule="auto"/>
        <w:jc w:val="center"/>
        <w:rPr/>
      </w:pPr>
      <w:r w:rsidDel="00000000" w:rsidR="00000000" w:rsidRPr="00000000">
        <w:rPr/>
        <w:drawing>
          <wp:inline distB="0" distT="0" distL="0" distR="0">
            <wp:extent cx="5524500" cy="276225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jc w:val="center"/>
        <w:rPr/>
      </w:pPr>
      <w:r w:rsidDel="00000000" w:rsidR="00000000" w:rsidRPr="00000000">
        <w:rPr>
          <w:b w:val="1"/>
          <w:bCs w:val="1"/>
          <w:color w:val="555555"/>
          <w:sz w:val="20"/>
          <w:szCs w:val="20"/>
          <w:rtl w:val="0"/>
        </w:rPr>
        <w:t xml:space="preserve">Figure 5. </w:t>
      </w:r>
      <w:r w:rsidDel="00000000" w:rsidR="00000000" w:rsidRPr="00000000">
        <w:rPr>
          <w:i w:val="1"/>
          <w:iCs w:val="1"/>
          <w:color w:val="555555"/>
          <w:sz w:val="20"/>
          <w:szCs w:val="20"/>
          <w:rtl w:val="0"/>
        </w:rPr>
        <w:t xml:space="preserve">Distribution of tenancy duration in days, derived from refund records.</w:t>
      </w:r>
      <w:r w:rsidDel="00000000" w:rsidR="00000000" w:rsidRPr="00000000">
        <w:rPr>
          <w:rtl w:val="0"/>
        </w:rPr>
      </w:r>
    </w:p>
    <w:p w:rsidR="00000000" w:rsidDel="00000000" w:rsidP="00000000" w:rsidRDefault="00000000" w:rsidRPr="00000000" w14:paraId="0000002B">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2C">
      <w:pPr>
        <w:spacing w:after="120" w:lineRule="auto"/>
        <w:jc w:val="left"/>
        <w:rPr/>
      </w:pPr>
      <w:r w:rsidDel="00000000" w:rsidR="00000000" w:rsidRPr="00000000">
        <w:rPr>
          <w:b w:val="0"/>
          <w:bCs w:val="0"/>
          <w:i w:val="0"/>
          <w:iCs w:val="0"/>
          <w:color w:val="222222"/>
          <w:sz w:val="22"/>
          <w:szCs w:val="22"/>
          <w:rtl w:val="0"/>
        </w:rPr>
        <w:t xml:space="preserve">The median NSW tenancy lasts just 564 days (about 18.8 months). 30% end within a year, and only 11% reach the 5-year mark. Renters are not just losing bond — they are doing so on a cycle short enough that the bond loss compounds. A renter who moves every two years takes the bond hit again and again, while an owner-occupier never does.</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b w:val="1"/>
          <w:bCs w:val="1"/>
          <w:color w:val="2e86ab"/>
          <w:sz w:val="26"/>
          <w:szCs w:val="26"/>
          <w:rtl w:val="0"/>
        </w:rPr>
        <w:t xml:space="preserve">Figure 6 — The Squeezed postcodes</w:t>
      </w:r>
      <w:r w:rsidDel="00000000" w:rsidR="00000000" w:rsidRPr="00000000">
        <w:rPr>
          <w:rtl w:val="0"/>
        </w:rPr>
      </w:r>
    </w:p>
    <w:p w:rsidR="00000000" w:rsidDel="00000000" w:rsidP="00000000" w:rsidRDefault="00000000" w:rsidRPr="00000000" w14:paraId="0000002E">
      <w:pPr>
        <w:spacing w:after="80" w:before="160" w:lineRule="auto"/>
        <w:jc w:val="center"/>
        <w:rPr/>
      </w:pPr>
      <w:r w:rsidDel="00000000" w:rsidR="00000000" w:rsidRPr="00000000">
        <w:rPr/>
        <w:drawing>
          <wp:inline distB="0" distT="0" distL="0" distR="0">
            <wp:extent cx="5524500" cy="276225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lineRule="auto"/>
        <w:jc w:val="center"/>
        <w:rPr/>
      </w:pPr>
      <w:r w:rsidDel="00000000" w:rsidR="00000000" w:rsidRPr="00000000">
        <w:rPr>
          <w:b w:val="1"/>
          <w:bCs w:val="1"/>
          <w:color w:val="555555"/>
          <w:sz w:val="20"/>
          <w:szCs w:val="20"/>
          <w:rtl w:val="0"/>
        </w:rPr>
        <w:t xml:space="preserve">Figure 6. </w:t>
      </w:r>
      <w:r w:rsidDel="00000000" w:rsidR="00000000" w:rsidRPr="00000000">
        <w:rPr>
          <w:i w:val="1"/>
          <w:iCs w:val="1"/>
          <w:color w:val="555555"/>
          <w:sz w:val="20"/>
          <w:szCs w:val="20"/>
          <w:rtl w:val="0"/>
        </w:rPr>
        <w:t xml:space="preserve">Each dot is a NSW postcode; size = number of bonds. Postcodes in red text are disadvantaged AND expensive.</w:t>
      </w:r>
      <w:r w:rsidDel="00000000" w:rsidR="00000000" w:rsidRPr="00000000">
        <w:rPr>
          <w:rtl w:val="0"/>
        </w:rPr>
      </w:r>
    </w:p>
    <w:p w:rsidR="00000000" w:rsidDel="00000000" w:rsidP="00000000" w:rsidRDefault="00000000" w:rsidRPr="00000000" w14:paraId="00000030">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31">
      <w:pPr>
        <w:spacing w:after="120" w:lineRule="auto"/>
        <w:jc w:val="left"/>
        <w:rPr/>
      </w:pPr>
      <w:r w:rsidDel="00000000" w:rsidR="00000000" w:rsidRPr="00000000">
        <w:rPr>
          <w:b w:val="0"/>
          <w:bCs w:val="0"/>
          <w:i w:val="0"/>
          <w:iCs w:val="0"/>
          <w:color w:val="222222"/>
          <w:sz w:val="22"/>
          <w:szCs w:val="22"/>
          <w:rtl w:val="0"/>
        </w:rPr>
        <w:t xml:space="preserve">Eight named postcodes sit in SEIFA deciles 1–3 (the most disadvantaged 30% of NSW) AND have median rents at or above the NSW-wide median of $690/week:</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2134 (Burwood) — $800/wk, decile 2</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2197 (Chester Hill) — $790/wk, decile 1</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2190 (Greenacre) — $750/wk, decile 1</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2141 (Auburn) — $750/wk, decile 2</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2220 (Hurstville) — $730/wk, decile 3</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2176 (Wetherill Park) — $700/wk, decile 1</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2485 (Tweed Heads) — $700/wk, decile 3</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2209 (Padstow) — $690/wk, decile 3</w:t>
      </w:r>
    </w:p>
    <w:p w:rsidR="00000000" w:rsidDel="00000000" w:rsidP="00000000" w:rsidRDefault="00000000" w:rsidRPr="00000000" w14:paraId="0000003A">
      <w:pPr>
        <w:spacing w:after="120" w:lineRule="auto"/>
        <w:jc w:val="left"/>
        <w:rPr/>
      </w:pPr>
      <w:r w:rsidDel="00000000" w:rsidR="00000000" w:rsidRPr="00000000">
        <w:rPr>
          <w:b w:val="0"/>
          <w:bCs w:val="0"/>
          <w:i w:val="1"/>
          <w:iCs w:val="1"/>
          <w:color w:val="222222"/>
          <w:sz w:val="22"/>
          <w:szCs w:val="22"/>
          <w:rtl w:val="0"/>
        </w:rPr>
        <w:t xml:space="preserve">Combined population: ~200,000 residents. These are the human places we name on slides. People know Auburn and Burwood; abstract deciles do not move audiences but real suburbs do.</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b w:val="1"/>
          <w:bCs w:val="1"/>
          <w:color w:val="2e86ab"/>
          <w:sz w:val="26"/>
          <w:szCs w:val="26"/>
          <w:rtl w:val="0"/>
        </w:rPr>
        <w:t xml:space="preserve">Figure 7 — Affordability for essential workers</w:t>
      </w:r>
      <w:r w:rsidDel="00000000" w:rsidR="00000000" w:rsidRPr="00000000">
        <w:rPr>
          <w:rtl w:val="0"/>
        </w:rPr>
      </w:r>
    </w:p>
    <w:p w:rsidR="00000000" w:rsidDel="00000000" w:rsidP="00000000" w:rsidRDefault="00000000" w:rsidRPr="00000000" w14:paraId="0000003C">
      <w:pPr>
        <w:spacing w:after="80" w:before="160" w:lineRule="auto"/>
        <w:jc w:val="center"/>
        <w:rPr/>
      </w:pPr>
      <w:r w:rsidDel="00000000" w:rsidR="00000000" w:rsidRPr="00000000">
        <w:rPr/>
        <w:drawing>
          <wp:inline distB="0" distT="0" distL="0" distR="0">
            <wp:extent cx="5524500" cy="276225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jc w:val="center"/>
        <w:rPr/>
      </w:pPr>
      <w:r w:rsidDel="00000000" w:rsidR="00000000" w:rsidRPr="00000000">
        <w:rPr>
          <w:b w:val="1"/>
          <w:bCs w:val="1"/>
          <w:color w:val="555555"/>
          <w:sz w:val="20"/>
          <w:szCs w:val="20"/>
          <w:rtl w:val="0"/>
        </w:rPr>
        <w:t xml:space="preserve">Figure 7. </w:t>
      </w:r>
      <w:r w:rsidDel="00000000" w:rsidR="00000000" w:rsidRPr="00000000">
        <w:rPr>
          <w:i w:val="1"/>
          <w:iCs w:val="1"/>
          <w:color w:val="555555"/>
          <w:sz w:val="20"/>
          <w:szCs w:val="20"/>
          <w:rtl w:val="0"/>
        </w:rPr>
        <w:t xml:space="preserve">Percentage of NSW postcodes affordable at the 30% rent-burden threshold for given budgets.</w:t>
      </w:r>
      <w:r w:rsidDel="00000000" w:rsidR="00000000" w:rsidRPr="00000000">
        <w:rPr>
          <w:rtl w:val="0"/>
        </w:rPr>
      </w:r>
    </w:p>
    <w:p w:rsidR="00000000" w:rsidDel="00000000" w:rsidP="00000000" w:rsidRDefault="00000000" w:rsidRPr="00000000" w14:paraId="0000003E">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3F">
      <w:pPr>
        <w:spacing w:after="120" w:lineRule="auto"/>
        <w:jc w:val="left"/>
        <w:rPr/>
      </w:pPr>
      <w:r w:rsidDel="00000000" w:rsidR="00000000" w:rsidRPr="00000000">
        <w:rPr>
          <w:b w:val="0"/>
          <w:bCs w:val="0"/>
          <w:i w:val="0"/>
          <w:iCs w:val="0"/>
          <w:color w:val="222222"/>
          <w:sz w:val="22"/>
          <w:szCs w:val="22"/>
          <w:rtl w:val="0"/>
        </w:rPr>
        <w:t xml:space="preserve">Using the standard 30% rent-burden rule, a Level 1 nurse (~$78k gross, $480/week budget) can afford the median rent in only about 22% of NSW postcodes. A Year 3 teacher (~$95k, $612/week) can afford 44%. A police constable (~$120k, $770/week) can afford about 64%. The curve is steepest in the middle — small income changes move workers across many postcodes, which is exactly what makes this a useful live demo: drag the budget slider and watch the map turn red.</w:t>
      </w: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b w:val="1"/>
          <w:bCs w:val="1"/>
          <w:color w:val="2e86ab"/>
          <w:sz w:val="26"/>
          <w:szCs w:val="26"/>
          <w:rtl w:val="0"/>
        </w:rPr>
        <w:t xml:space="preserve">Figure 8 — Rent heatmap by dwelling type and bedrooms</w:t>
      </w:r>
      <w:r w:rsidDel="00000000" w:rsidR="00000000" w:rsidRPr="00000000">
        <w:rPr>
          <w:rtl w:val="0"/>
        </w:rPr>
      </w:r>
    </w:p>
    <w:p w:rsidR="00000000" w:rsidDel="00000000" w:rsidP="00000000" w:rsidRDefault="00000000" w:rsidRPr="00000000" w14:paraId="00000041">
      <w:pPr>
        <w:spacing w:after="80" w:before="160" w:lineRule="auto"/>
        <w:jc w:val="center"/>
        <w:rPr/>
      </w:pPr>
      <w:r w:rsidDel="00000000" w:rsidR="00000000" w:rsidRPr="00000000">
        <w:rPr/>
        <w:drawing>
          <wp:inline distB="0" distT="0" distL="0" distR="0">
            <wp:extent cx="4572000" cy="22860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7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jc w:val="center"/>
        <w:rPr/>
      </w:pPr>
      <w:r w:rsidDel="00000000" w:rsidR="00000000" w:rsidRPr="00000000">
        <w:rPr>
          <w:b w:val="1"/>
          <w:bCs w:val="1"/>
          <w:color w:val="555555"/>
          <w:sz w:val="20"/>
          <w:szCs w:val="20"/>
          <w:rtl w:val="0"/>
        </w:rPr>
        <w:t xml:space="preserve">Figure 8. </w:t>
      </w:r>
      <w:r w:rsidDel="00000000" w:rsidR="00000000" w:rsidRPr="00000000">
        <w:rPr>
          <w:i w:val="1"/>
          <w:iCs w:val="1"/>
          <w:color w:val="555555"/>
          <w:sz w:val="20"/>
          <w:szCs w:val="20"/>
          <w:rtl w:val="0"/>
        </w:rPr>
        <w:t xml:space="preserve">Median weekly rent by dwelling type and bedroom count.</w:t>
      </w:r>
      <w:r w:rsidDel="00000000" w:rsidR="00000000" w:rsidRPr="00000000">
        <w:rPr>
          <w:rtl w:val="0"/>
        </w:rPr>
      </w:r>
    </w:p>
    <w:p w:rsidR="00000000" w:rsidDel="00000000" w:rsidP="00000000" w:rsidRDefault="00000000" w:rsidRPr="00000000" w14:paraId="00000043">
      <w:pPr>
        <w:spacing w:after="120" w:lineRule="auto"/>
        <w:jc w:val="left"/>
        <w:rPr/>
      </w:pPr>
      <w:r w:rsidDel="00000000" w:rsidR="00000000" w:rsidRPr="00000000">
        <w:rPr>
          <w:b w:val="1"/>
          <w:bCs w:val="1"/>
          <w:i w:val="0"/>
          <w:iCs w:val="0"/>
          <w:color w:val="222222"/>
          <w:sz w:val="22"/>
          <w:szCs w:val="22"/>
          <w:rtl w:val="0"/>
        </w:rPr>
        <w:t xml:space="preserve">What it tells us:</w:t>
      </w:r>
      <w:r w:rsidDel="00000000" w:rsidR="00000000" w:rsidRPr="00000000">
        <w:rPr>
          <w:rtl w:val="0"/>
        </w:rPr>
      </w:r>
    </w:p>
    <w:p w:rsidR="00000000" w:rsidDel="00000000" w:rsidP="00000000" w:rsidRDefault="00000000" w:rsidRPr="00000000" w14:paraId="00000044">
      <w:pPr>
        <w:spacing w:after="120" w:lineRule="auto"/>
        <w:jc w:val="left"/>
        <w:rPr/>
      </w:pPr>
      <w:r w:rsidDel="00000000" w:rsidR="00000000" w:rsidRPr="00000000">
        <w:rPr>
          <w:b w:val="0"/>
          <w:bCs w:val="0"/>
          <w:i w:val="0"/>
          <w:iCs w:val="0"/>
          <w:color w:val="222222"/>
          <w:sz w:val="22"/>
          <w:szCs w:val="22"/>
          <w:rtl w:val="0"/>
        </w:rPr>
        <w:t xml:space="preserve">A sanity check and Q&amp;A backstop. A 2-bedroom flat ($730/wk median) is more expensive than a 3-bedroom house ($650/wk) because flats cluster in inner-city postcodes while houses dominate cheaper outer suburbs. If anyone in Q&amp;A asks "isn't your bond-loss finding just confounded by dwelling type?", the answer is no — the postcode/SEIFA effect dominates.</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160" w:before="280" w:lineRule="auto"/>
        <w:rPr/>
      </w:pPr>
      <w:r w:rsidDel="00000000" w:rsidR="00000000" w:rsidRPr="00000000">
        <w:rPr>
          <w:b w:val="1"/>
          <w:bCs w:val="1"/>
          <w:color w:val="1f3a5f"/>
          <w:sz w:val="32"/>
          <w:szCs w:val="32"/>
          <w:rtl w:val="0"/>
        </w:rPr>
        <w:t xml:space="preserve">3.  The Story — "The Bond Penalty"</w:t>
      </w:r>
      <w:r w:rsidDel="00000000" w:rsidR="00000000" w:rsidRPr="00000000">
        <w:rPr>
          <w:rtl w:val="0"/>
        </w:rPr>
      </w:r>
    </w:p>
    <w:p w:rsidR="00000000" w:rsidDel="00000000" w:rsidP="00000000" w:rsidRDefault="00000000" w:rsidRPr="00000000" w14:paraId="00000047">
      <w:pPr>
        <w:spacing w:after="120" w:lineRule="auto"/>
        <w:jc w:val="left"/>
        <w:rPr/>
      </w:pPr>
      <w:r w:rsidDel="00000000" w:rsidR="00000000" w:rsidRPr="00000000">
        <w:rPr>
          <w:b w:val="0"/>
          <w:bCs w:val="0"/>
          <w:i w:val="0"/>
          <w:iCs w:val="0"/>
          <w:color w:val="222222"/>
          <w:sz w:val="22"/>
          <w:szCs w:val="22"/>
          <w:rtl w:val="0"/>
        </w:rPr>
        <w:t xml:space="preserve">All eight figures combine into a single 90-second narrative for the pitch. The story has three beats.</w:t>
      </w:r>
      <w:r w:rsidDel="00000000" w:rsidR="00000000" w:rsidRPr="00000000">
        <w:rPr>
          <w:rtl w:val="0"/>
        </w:rPr>
      </w:r>
    </w:p>
    <w:p w:rsidR="00000000" w:rsidDel="00000000" w:rsidP="00000000" w:rsidRDefault="00000000" w:rsidRPr="00000000" w14:paraId="00000048">
      <w:pPr>
        <w:pStyle w:val="Heading3"/>
        <w:spacing w:after="100" w:before="200" w:lineRule="auto"/>
        <w:rPr/>
      </w:pPr>
      <w:r w:rsidDel="00000000" w:rsidR="00000000" w:rsidRPr="00000000">
        <w:rPr>
          <w:b w:val="1"/>
          <w:bCs w:val="1"/>
          <w:color w:val="555555"/>
          <w:sz w:val="22"/>
          <w:szCs w:val="22"/>
          <w:rtl w:val="0"/>
        </w:rPr>
        <w:t xml:space="preserve">Beat 1 — The injustice (Figure 4)</w:t>
      </w:r>
      <w:r w:rsidDel="00000000" w:rsidR="00000000" w:rsidRPr="00000000">
        <w:rPr>
          <w:rtl w:val="0"/>
        </w:rPr>
      </w:r>
    </w:p>
    <w:p w:rsidR="00000000" w:rsidDel="00000000" w:rsidP="00000000" w:rsidRDefault="00000000" w:rsidRPr="00000000" w14:paraId="00000049">
      <w:pPr>
        <w:spacing w:after="120" w:lineRule="auto"/>
        <w:jc w:val="left"/>
        <w:rPr/>
      </w:pPr>
      <w:r w:rsidDel="00000000" w:rsidR="00000000" w:rsidRPr="00000000">
        <w:rPr>
          <w:b w:val="0"/>
          <w:bCs w:val="0"/>
          <w:i w:val="0"/>
          <w:iCs w:val="0"/>
          <w:color w:val="222222"/>
          <w:sz w:val="22"/>
          <w:szCs w:val="22"/>
          <w:rtl w:val="0"/>
        </w:rPr>
        <w:t xml:space="preserve">In NSW, your postcode decides how much of your bond you will lose when you move. Not your behaviour. Not the condition of the property. Your postcode. Renters in the wealthiest postcodes get 87% of their bond back. Renters in the poorest get 63%. Same legal system. Same forms. Same Fair Trading.</w:t>
      </w:r>
      <w:r w:rsidDel="00000000" w:rsidR="00000000" w:rsidRPr="00000000">
        <w:rPr>
          <w:rtl w:val="0"/>
        </w:rPr>
      </w:r>
    </w:p>
    <w:p w:rsidR="00000000" w:rsidDel="00000000" w:rsidP="00000000" w:rsidRDefault="00000000" w:rsidRPr="00000000" w14:paraId="0000004A">
      <w:pPr>
        <w:pStyle w:val="Heading3"/>
        <w:spacing w:after="100" w:before="200" w:lineRule="auto"/>
        <w:rPr/>
      </w:pPr>
      <w:r w:rsidDel="00000000" w:rsidR="00000000" w:rsidRPr="00000000">
        <w:rPr>
          <w:b w:val="1"/>
          <w:bCs w:val="1"/>
          <w:color w:val="555555"/>
          <w:sz w:val="22"/>
          <w:szCs w:val="22"/>
          <w:rtl w:val="0"/>
        </w:rPr>
        <w:t xml:space="preserve">Beat 2 — The compounding (Figures 3 &amp; 6)</w:t>
      </w:r>
      <w:r w:rsidDel="00000000" w:rsidR="00000000" w:rsidRPr="00000000">
        <w:rPr>
          <w:rtl w:val="0"/>
        </w:rPr>
      </w:r>
    </w:p>
    <w:p w:rsidR="00000000" w:rsidDel="00000000" w:rsidP="00000000" w:rsidRDefault="00000000" w:rsidRPr="00000000" w14:paraId="0000004B">
      <w:pPr>
        <w:spacing w:after="120" w:lineRule="auto"/>
        <w:jc w:val="left"/>
        <w:rPr/>
      </w:pPr>
      <w:r w:rsidDel="00000000" w:rsidR="00000000" w:rsidRPr="00000000">
        <w:rPr>
          <w:b w:val="0"/>
          <w:bCs w:val="0"/>
          <w:i w:val="0"/>
          <w:iCs w:val="0"/>
          <w:color w:val="222222"/>
          <w:sz w:val="22"/>
          <w:szCs w:val="22"/>
          <w:rtl w:val="0"/>
        </w:rPr>
        <w:t xml:space="preserve">And the people losing the most are the people who can least afford to. In eight named NSW postcodes — Auburn, Burwood, Greenacre, Chester Hill, Hurstville, Wetherill Park, Padstow, Tweed Heads — communities in SEIFA deciles 1–3 are paying rents at or above the NSW median. They have less to lose, lose more of it, and have nowhere cheaper to go.</w:t>
      </w:r>
      <w:r w:rsidDel="00000000" w:rsidR="00000000" w:rsidRPr="00000000">
        <w:rPr>
          <w:rtl w:val="0"/>
        </w:rPr>
      </w:r>
    </w:p>
    <w:p w:rsidR="00000000" w:rsidDel="00000000" w:rsidP="00000000" w:rsidRDefault="00000000" w:rsidRPr="00000000" w14:paraId="0000004C">
      <w:pPr>
        <w:pStyle w:val="Heading3"/>
        <w:spacing w:after="100" w:before="200" w:lineRule="auto"/>
        <w:rPr/>
      </w:pPr>
      <w:r w:rsidDel="00000000" w:rsidR="00000000" w:rsidRPr="00000000">
        <w:rPr>
          <w:b w:val="1"/>
          <w:bCs w:val="1"/>
          <w:color w:val="555555"/>
          <w:sz w:val="22"/>
          <w:szCs w:val="22"/>
          <w:rtl w:val="0"/>
        </w:rPr>
        <w:t xml:space="preserve">Beat 3 — The fix exists (Figures 5 &amp; 7)</w:t>
      </w:r>
      <w:r w:rsidDel="00000000" w:rsidR="00000000" w:rsidRPr="00000000">
        <w:rPr>
          <w:rtl w:val="0"/>
        </w:rPr>
      </w:r>
    </w:p>
    <w:p w:rsidR="00000000" w:rsidDel="00000000" w:rsidP="00000000" w:rsidRDefault="00000000" w:rsidRPr="00000000" w14:paraId="0000004D">
      <w:pPr>
        <w:spacing w:after="120" w:lineRule="auto"/>
        <w:jc w:val="left"/>
        <w:rPr/>
      </w:pPr>
      <w:r w:rsidDel="00000000" w:rsidR="00000000" w:rsidRPr="00000000">
        <w:rPr>
          <w:b w:val="0"/>
          <w:bCs w:val="0"/>
          <w:i w:val="0"/>
          <w:iCs w:val="0"/>
          <w:color w:val="222222"/>
          <w:sz w:val="22"/>
          <w:szCs w:val="22"/>
          <w:rtl w:val="0"/>
        </w:rPr>
        <w:t xml:space="preserve">The bond system, designed to protect everyone equally, has quietly become a tax on poverty — and renters take that hit every 18 months on average, because that is how long the typical NSW tenancy lasts. We can fix this. The data tells us exactly which postcodes need intervention, how big the gap is, and who pays the price. What is missing is the will to act.</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160" w:before="280" w:lineRule="auto"/>
        <w:rPr/>
      </w:pPr>
      <w:r w:rsidDel="00000000" w:rsidR="00000000" w:rsidRPr="00000000">
        <w:rPr>
          <w:b w:val="1"/>
          <w:bCs w:val="1"/>
          <w:color w:val="1f3a5f"/>
          <w:sz w:val="32"/>
          <w:szCs w:val="32"/>
          <w:rtl w:val="0"/>
        </w:rPr>
        <w:t xml:space="preserve">4.  Persona — Who We Pitch To</w:t>
      </w:r>
      <w:r w:rsidDel="00000000" w:rsidR="00000000" w:rsidRPr="00000000">
        <w:rPr>
          <w:rtl w:val="0"/>
        </w:rPr>
      </w:r>
    </w:p>
    <w:p w:rsidR="00000000" w:rsidDel="00000000" w:rsidP="00000000" w:rsidRDefault="00000000" w:rsidRPr="00000000" w14:paraId="00000050">
      <w:pPr>
        <w:spacing w:after="120" w:lineRule="auto"/>
        <w:jc w:val="left"/>
        <w:rPr/>
      </w:pPr>
      <w:r w:rsidDel="00000000" w:rsidR="00000000" w:rsidRPr="00000000">
        <w:rPr>
          <w:b w:val="0"/>
          <w:bCs w:val="0"/>
          <w:i w:val="0"/>
          <w:iCs w:val="0"/>
          <w:color w:val="222222"/>
          <w:sz w:val="22"/>
          <w:szCs w:val="22"/>
          <w:rtl w:val="0"/>
        </w:rPr>
        <w:t xml:space="preserve">We considered three credible Stakeholder Hats and </w:t>
      </w:r>
      <w:r w:rsidDel="00000000" w:rsidR="00000000" w:rsidRPr="00000000">
        <w:rPr>
          <w:color w:val="222222"/>
          <w:rtl w:val="0"/>
        </w:rPr>
        <w:t xml:space="preserve">recommended</w:t>
      </w:r>
      <w:r w:rsidDel="00000000" w:rsidR="00000000" w:rsidRPr="00000000">
        <w:rPr>
          <w:b w:val="0"/>
          <w:bCs w:val="0"/>
          <w:i w:val="0"/>
          <w:iCs w:val="0"/>
          <w:color w:val="222222"/>
          <w:sz w:val="22"/>
          <w:szCs w:val="22"/>
          <w:rtl w:val="0"/>
        </w:rPr>
        <w:t xml:space="preserve"> Option A.</w:t>
      </w: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b w:val="1"/>
          <w:bCs w:val="1"/>
          <w:color w:val="2e86ab"/>
          <w:sz w:val="26"/>
          <w:szCs w:val="26"/>
          <w:rtl w:val="0"/>
        </w:rPr>
        <w:t xml:space="preserve">Recommended: NSW Minister for Better Regulation &amp; Fair Trading</w:t>
      </w:r>
      <w:r w:rsidDel="00000000" w:rsidR="00000000" w:rsidRPr="00000000">
        <w:rPr>
          <w:rtl w:val="0"/>
        </w:rPr>
      </w:r>
    </w:p>
    <w:p w:rsidR="00000000" w:rsidDel="00000000" w:rsidP="00000000" w:rsidRDefault="00000000" w:rsidRPr="00000000" w14:paraId="00000052">
      <w:pPr>
        <w:spacing w:after="120" w:lineRule="auto"/>
        <w:jc w:val="left"/>
        <w:rPr/>
      </w:pPr>
      <w:r w:rsidDel="00000000" w:rsidR="00000000" w:rsidRPr="00000000">
        <w:rPr>
          <w:b w:val="1"/>
          <w:bCs w:val="1"/>
          <w:i w:val="0"/>
          <w:iCs w:val="0"/>
          <w:color w:val="222222"/>
          <w:sz w:val="22"/>
          <w:szCs w:val="22"/>
          <w:rtl w:val="0"/>
        </w:rPr>
        <w:t xml:space="preserve">Why this persona wins: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Bond disputes fall directly under their portfolio.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the authority to change the rules — no need to invent new powers.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asking them to build something new; we are showing them their existing system is failing unevenly.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we used is published BY their department — we are handing them a mirror.</w:t>
      </w:r>
    </w:p>
    <w:p w:rsidR="00000000" w:rsidDel="00000000" w:rsidP="00000000" w:rsidRDefault="00000000" w:rsidRPr="00000000" w14:paraId="00000057">
      <w:pPr>
        <w:spacing w:after="120" w:lineRule="auto"/>
        <w:jc w:val="left"/>
        <w:rPr/>
      </w:pPr>
      <w:r w:rsidDel="00000000" w:rsidR="00000000" w:rsidRPr="00000000">
        <w:rPr>
          <w:b w:val="1"/>
          <w:bCs w:val="1"/>
          <w:i w:val="0"/>
          <w:iCs w:val="0"/>
          <w:color w:val="222222"/>
          <w:sz w:val="22"/>
          <w:szCs w:val="22"/>
          <w:rtl w:val="0"/>
        </w:rPr>
        <w:t xml:space="preserve">Opening line for the pitch:</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8dc" w:val="clear"/>
            <w:tcMar>
              <w:top w:w="160.0" w:type="dxa"/>
              <w:left w:w="200.0" w:type="dxa"/>
              <w:bottom w:w="160.0" w:type="dxa"/>
              <w:right w:w="200.0" w:type="dxa"/>
            </w:tcMar>
          </w:tcPr>
          <w:p w:rsidR="00000000" w:rsidDel="00000000" w:rsidP="00000000" w:rsidRDefault="00000000" w:rsidRPr="00000000" w14:paraId="00000058">
            <w:pPr>
              <w:rPr/>
            </w:pPr>
            <w:r w:rsidDel="00000000" w:rsidR="00000000" w:rsidRPr="00000000">
              <w:rPr>
                <w:i w:val="1"/>
                <w:iCs w:val="1"/>
                <w:color w:val="333333"/>
                <w:sz w:val="22"/>
                <w:szCs w:val="22"/>
                <w:rtl w:val="0"/>
              </w:rPr>
              <w:t xml:space="preserve">"Minister, your department processes 300,000 bonds a year. We pulled the data your team publishes — and found a pattern your team has never been shown."</w:t>
            </w:r>
            <w:r w:rsidDel="00000000" w:rsidR="00000000" w:rsidRPr="00000000">
              <w:rPr>
                <w:rtl w:val="0"/>
              </w:rPr>
            </w:r>
          </w:p>
        </w:tc>
      </w:tr>
    </w:tbl>
    <w:p w:rsidR="00000000" w:rsidDel="00000000" w:rsidP="00000000" w:rsidRDefault="00000000" w:rsidRPr="00000000" w14:paraId="00000059">
      <w:pPr>
        <w:spacing w:after="120" w:lineRule="auto"/>
        <w:jc w:val="left"/>
        <w:rPr/>
      </w:pPr>
      <w:r w:rsidDel="00000000" w:rsidR="00000000" w:rsidRPr="00000000">
        <w:rPr>
          <w:b w:val="1"/>
          <w:bCs w:val="1"/>
          <w:i w:val="0"/>
          <w:iCs w:val="0"/>
          <w:color w:val="222222"/>
          <w:sz w:val="22"/>
          <w:szCs w:val="22"/>
          <w:rtl w:val="0"/>
        </w:rPr>
        <w:t xml:space="preserve">The three asks (Changemaker award):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 — mandatory itemised deductions on every bond claim, with photographic evidence.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YEAR — quarterly public reporting of bond dispute outcomes by postcode.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LEGACY — default tenant-favour presumption in disputes from SEIFA decile 1–3 postcodes, reversible only with documented evidence.</w:t>
      </w:r>
    </w:p>
    <w:p w:rsidR="00000000" w:rsidDel="00000000" w:rsidP="00000000" w:rsidRDefault="00000000" w:rsidRPr="00000000" w14:paraId="0000005D">
      <w:pPr>
        <w:pStyle w:val="Heading3"/>
        <w:spacing w:after="100" w:before="200" w:lineRule="auto"/>
        <w:rPr/>
      </w:pPr>
      <w:r w:rsidDel="00000000" w:rsidR="00000000" w:rsidRPr="00000000">
        <w:rPr>
          <w:b w:val="1"/>
          <w:bCs w:val="1"/>
          <w:color w:val="555555"/>
          <w:sz w:val="22"/>
          <w:szCs w:val="22"/>
          <w:rtl w:val="0"/>
        </w:rPr>
        <w:t xml:space="preserve">Why this hits all four awards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Heart-String: real named suburbs (Auburn, Greenacre, Burwood) — the audience knows these places.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Truth-Teller: 37% vs 13% is the cleanest stat in the cohort.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Changemaker: the asks are specific, costed, and within the Minister's power.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Masterclass: the prototype lets the audience drag the SEIFA slider and watch bond-loss rate change live.</w:t>
      </w:r>
    </w:p>
    <w:p w:rsidR="00000000" w:rsidDel="00000000" w:rsidP="00000000" w:rsidRDefault="00000000" w:rsidRPr="00000000" w14:paraId="00000062">
      <w:pPr>
        <w:pStyle w:val="Heading3"/>
        <w:spacing w:after="100" w:before="200" w:lineRule="auto"/>
        <w:rPr/>
      </w:pPr>
      <w:r w:rsidDel="00000000" w:rsidR="00000000" w:rsidRPr="00000000">
        <w:rPr>
          <w:b w:val="1"/>
          <w:bCs w:val="1"/>
          <w:color w:val="555555"/>
          <w:sz w:val="22"/>
          <w:szCs w:val="22"/>
          <w:rtl w:val="0"/>
        </w:rPr>
        <w:t xml:space="preserve">Backup options (not recommended for primary pitch)</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Board (Mission Australia / Anglicare / Tenants' Union NSW) — emotional licence is higher, but the asks are softer.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Housing Minister — bigger room, but bonds are state-regulated; the jurisdictional Q&amp;A could derail.</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160" w:before="280" w:lineRule="auto"/>
        <w:rPr/>
      </w:pPr>
      <w:r w:rsidDel="00000000" w:rsidR="00000000" w:rsidRPr="00000000">
        <w:rPr>
          <w:b w:val="1"/>
          <w:bCs w:val="1"/>
          <w:color w:val="1f3a5f"/>
          <w:sz w:val="32"/>
          <w:szCs w:val="32"/>
          <w:rtl w:val="0"/>
        </w:rPr>
        <w:t xml:space="preserve">5.  Brief for the Tableau Team</w:t>
      </w:r>
      <w:r w:rsidDel="00000000" w:rsidR="00000000" w:rsidRPr="00000000">
        <w:rPr>
          <w:rtl w:val="0"/>
        </w:rPr>
      </w:r>
    </w:p>
    <w:p w:rsidR="00000000" w:rsidDel="00000000" w:rsidP="00000000" w:rsidRDefault="00000000" w:rsidRPr="00000000" w14:paraId="00000067">
      <w:pPr>
        <w:spacing w:after="120" w:lineRule="auto"/>
        <w:jc w:val="left"/>
        <w:rPr/>
      </w:pPr>
      <w:r w:rsidDel="00000000" w:rsidR="00000000" w:rsidRPr="00000000">
        <w:rPr>
          <w:b w:val="0"/>
          <w:bCs w:val="0"/>
          <w:i w:val="0"/>
          <w:iCs w:val="0"/>
          <w:color w:val="222222"/>
          <w:sz w:val="22"/>
          <w:szCs w:val="22"/>
          <w:rtl w:val="0"/>
        </w:rPr>
        <w:t xml:space="preserve">The figures above are matplotlib drafts. The Tableau team's job is to turn them into an interactive prototype that supports the live demo in the pitch. Below is the proposed mapping.</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3700"/>
        <w:tblGridChange w:id="0">
          <w:tblGrid>
            <w:gridCol w:w="2500"/>
            <w:gridCol w:w="2800"/>
            <w:gridCol w:w="3700"/>
          </w:tblGrid>
        </w:tblGridChange>
      </w:tblGrid>
      <w:tr>
        <w:trPr>
          <w:cantSplit w:val="0"/>
          <w:tblHeader w:val="0"/>
        </w:trPr>
        <w:tc>
          <w:tcPr>
            <w:shd w:fill="1f3a5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EDA figure</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Tableau worksheet</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Interactivity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Fig 4 — Bond loss by SEIFA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Headline 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Hover to drill into contributing postcodes. Click to filter 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Fig 3 — Rent vs SEIFA boxplot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Companion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Toggle by dwelling type (flat/house/townhouse) — preserve decile-1 anomaly.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Fig 6 — Squeezed scatter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Annotated scatter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Eight squeezed postcodes always labelled. Filterable by population.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Fig 7 — Affordability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LIVE DEMO worksheet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Slider for weekly budget. Map updates colour as user drags. This is the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Fig 1, 2, 5,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Context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One worksheet each for Q&amp;A defence; not in main demo flow.</w:t>
            </w:r>
            <w:r w:rsidDel="00000000" w:rsidR="00000000" w:rsidRPr="00000000">
              <w:rPr>
                <w:rtl w:val="0"/>
              </w:rPr>
            </w:r>
          </w:p>
        </w:tc>
      </w:tr>
    </w:tbl>
    <w:p w:rsidR="00000000" w:rsidDel="00000000" w:rsidP="00000000" w:rsidRDefault="00000000" w:rsidRPr="00000000" w14:paraId="0000007A">
      <w:pPr>
        <w:pStyle w:val="Heading3"/>
        <w:spacing w:after="100" w:before="200" w:lineRule="auto"/>
        <w:rPr/>
      </w:pPr>
      <w:r w:rsidDel="00000000" w:rsidR="00000000" w:rsidRPr="00000000">
        <w:rPr>
          <w:b w:val="1"/>
          <w:bCs w:val="1"/>
          <w:color w:val="555555"/>
          <w:sz w:val="22"/>
          <w:szCs w:val="22"/>
          <w:rtl w:val="0"/>
        </w:rPr>
        <w:t xml:space="preserve">Design notes for Tableau</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same RdYlGn colour ramp as Figure 4. The visual identity ties the deck together.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bar chart should default to a sorted view — decile 1 on the left, decile 10 on the right.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live-demo worksheet, fix the budget slider range at $300–$1,300 and use $50 steps.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dashboard padding tight — the projector will cut off the edges.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one-click "reset" button so the demo can be re-run smoothly during Q&amp;A.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a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55555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bdLvPmlKoYlYtNR5iuNtLhpdA==">CgMxLjA4AHIhMXRHNXJDUnR1ZGJ0LVlQYlRQbzVOZmVLYm1zYm5vcWVF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