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8179E" w14:textId="088DF52F" w:rsidR="0018427F" w:rsidRDefault="00E42374" w:rsidP="00E42374">
      <w:pPr>
        <w:jc w:val="center"/>
        <w:rPr>
          <w:b/>
          <w:bCs/>
          <w:sz w:val="24"/>
          <w:szCs w:val="24"/>
        </w:rPr>
      </w:pPr>
      <w:r w:rsidRPr="00E42374">
        <w:rPr>
          <w:b/>
          <w:bCs/>
          <w:sz w:val="24"/>
          <w:szCs w:val="24"/>
        </w:rPr>
        <w:t>Quantifying “Risk” of Mutual Funds/ETFs</w:t>
      </w:r>
    </w:p>
    <w:p w14:paraId="246FC9DB" w14:textId="3A76178A" w:rsidR="00E42374" w:rsidRPr="00E42374" w:rsidRDefault="00E42374" w:rsidP="00E42374">
      <w:pPr>
        <w:jc w:val="center"/>
        <w:rPr>
          <w:sz w:val="24"/>
          <w:szCs w:val="24"/>
          <w:lang w:val="es-MX"/>
        </w:rPr>
      </w:pPr>
      <w:r w:rsidRPr="00E42374">
        <w:rPr>
          <w:sz w:val="24"/>
          <w:szCs w:val="24"/>
          <w:lang w:val="es-MX"/>
        </w:rPr>
        <w:t>Alejandro de la Borbolla (aborbo@mit.edu, ID: 903436910)</w:t>
      </w:r>
      <w:r w:rsidRPr="00E42374">
        <w:rPr>
          <w:sz w:val="24"/>
          <w:szCs w:val="24"/>
          <w:lang w:val="es-MX"/>
        </w:rPr>
        <w:br/>
        <w:t>Adrian Oesch (adrianoe@mit.edu, ID:971024139</w:t>
      </w:r>
      <w:r w:rsidRPr="00E42374">
        <w:rPr>
          <w:sz w:val="24"/>
          <w:szCs w:val="24"/>
          <w:lang w:val="es-MX"/>
        </w:rPr>
        <w:br/>
        <w:t>Tim Felix Schmedding (felix877@mit.edu, ID:910325402)</w:t>
      </w:r>
      <w:r w:rsidR="00B32738">
        <w:rPr>
          <w:sz w:val="24"/>
          <w:szCs w:val="24"/>
          <w:lang w:val="es-MX"/>
        </w:rPr>
        <w:br/>
        <w:t xml:space="preserve">Harsh Kumar </w:t>
      </w:r>
      <w:r w:rsidR="00B32738" w:rsidRPr="00B32738">
        <w:rPr>
          <w:sz w:val="24"/>
          <w:szCs w:val="24"/>
          <w:highlight w:val="yellow"/>
          <w:lang w:val="es-MX"/>
        </w:rPr>
        <w:t>(  )</w:t>
      </w:r>
    </w:p>
    <w:p w14:paraId="2F00BF98" w14:textId="21827283" w:rsidR="00E42374" w:rsidRDefault="00E42374" w:rsidP="00E42374">
      <w:pPr>
        <w:jc w:val="center"/>
        <w:rPr>
          <w:b/>
          <w:bCs/>
          <w:sz w:val="24"/>
          <w:szCs w:val="24"/>
          <w:lang w:val="es-MX"/>
        </w:rPr>
      </w:pPr>
      <w:r>
        <w:rPr>
          <w:b/>
          <w:bCs/>
          <w:sz w:val="24"/>
          <w:szCs w:val="24"/>
          <w:lang w:val="es-MX"/>
        </w:rPr>
        <w:t xml:space="preserve"> </w:t>
      </w:r>
    </w:p>
    <w:p w14:paraId="47833C9C" w14:textId="05916497" w:rsidR="00E42374" w:rsidRDefault="00E42374" w:rsidP="00E42374">
      <w:pPr>
        <w:rPr>
          <w:b/>
          <w:bCs/>
          <w:sz w:val="24"/>
          <w:szCs w:val="24"/>
        </w:rPr>
      </w:pPr>
      <w:r>
        <w:rPr>
          <w:b/>
          <w:bCs/>
          <w:sz w:val="24"/>
          <w:szCs w:val="24"/>
        </w:rPr>
        <w:t>Introduction</w:t>
      </w:r>
    </w:p>
    <w:p w14:paraId="27ED823A" w14:textId="77777777" w:rsidR="00E42374" w:rsidRDefault="00E42374" w:rsidP="00E42374">
      <w:pPr>
        <w:rPr>
          <w:b/>
          <w:bCs/>
          <w:sz w:val="24"/>
          <w:szCs w:val="24"/>
        </w:rPr>
      </w:pPr>
    </w:p>
    <w:p w14:paraId="5BEBAE7A" w14:textId="10B9187F" w:rsidR="00E42374" w:rsidRPr="00E42374" w:rsidRDefault="00E42374" w:rsidP="00E42374">
      <w:pPr>
        <w:rPr>
          <w:b/>
          <w:bCs/>
          <w:sz w:val="24"/>
          <w:szCs w:val="24"/>
        </w:rPr>
      </w:pPr>
      <w:r w:rsidRPr="00E42374">
        <w:rPr>
          <w:b/>
          <w:bCs/>
          <w:sz w:val="24"/>
          <w:szCs w:val="24"/>
        </w:rPr>
        <w:t>Risk Profile Analysis Based on Asset Class and Fund Design</w:t>
      </w:r>
    </w:p>
    <w:p w14:paraId="6445A54B" w14:textId="65867260" w:rsidR="00E42374" w:rsidRDefault="00E42374" w:rsidP="007F7301">
      <w:pPr>
        <w:jc w:val="both"/>
        <w:rPr>
          <w:sz w:val="24"/>
          <w:szCs w:val="24"/>
        </w:rPr>
      </w:pPr>
      <w:r>
        <w:rPr>
          <w:sz w:val="24"/>
          <w:szCs w:val="24"/>
        </w:rPr>
        <w:t>In this section, we explore how the type of fund and the asset classes it invest</w:t>
      </w:r>
      <w:r w:rsidR="00D75102">
        <w:rPr>
          <w:sz w:val="24"/>
          <w:szCs w:val="24"/>
        </w:rPr>
        <w:t>s</w:t>
      </w:r>
      <w:r>
        <w:rPr>
          <w:sz w:val="24"/>
          <w:szCs w:val="24"/>
        </w:rPr>
        <w:t xml:space="preserve"> </w:t>
      </w:r>
      <w:r w:rsidR="00D75102">
        <w:rPr>
          <w:sz w:val="24"/>
          <w:szCs w:val="24"/>
        </w:rPr>
        <w:t>in</w:t>
      </w:r>
      <w:r>
        <w:rPr>
          <w:sz w:val="24"/>
          <w:szCs w:val="24"/>
        </w:rPr>
        <w:t xml:space="preserve"> affect a fund</w:t>
      </w:r>
      <w:r w:rsidR="00D75102">
        <w:rPr>
          <w:sz w:val="24"/>
          <w:szCs w:val="24"/>
        </w:rPr>
        <w:t>’</w:t>
      </w:r>
      <w:r>
        <w:rPr>
          <w:sz w:val="24"/>
          <w:szCs w:val="24"/>
        </w:rPr>
        <w:t>s risk profile. We analyze the universe of large mutual funds in the United States</w:t>
      </w:r>
      <w:r w:rsidR="00945432">
        <w:rPr>
          <w:sz w:val="24"/>
          <w:szCs w:val="24"/>
        </w:rPr>
        <w:t xml:space="preserve"> from 2010 to 2024</w:t>
      </w:r>
      <w:r>
        <w:rPr>
          <w:sz w:val="24"/>
          <w:szCs w:val="24"/>
        </w:rPr>
        <w:t>. We use data</w:t>
      </w:r>
      <w:r w:rsidR="00945432">
        <w:rPr>
          <w:sz w:val="24"/>
          <w:szCs w:val="24"/>
        </w:rPr>
        <w:t xml:space="preserve"> from CRSP Mutual Fund Database</w:t>
      </w:r>
      <w:r>
        <w:rPr>
          <w:sz w:val="24"/>
          <w:szCs w:val="24"/>
        </w:rPr>
        <w:t xml:space="preserve"> obtained from the WRDS portal</w:t>
      </w:r>
      <w:r w:rsidR="00945432">
        <w:rPr>
          <w:sz w:val="24"/>
          <w:szCs w:val="24"/>
        </w:rPr>
        <w:t xml:space="preserve">. </w:t>
      </w:r>
    </w:p>
    <w:p w14:paraId="7A7D012B" w14:textId="3DDE6323" w:rsidR="00945432" w:rsidRDefault="00945432" w:rsidP="007F7301">
      <w:pPr>
        <w:jc w:val="both"/>
        <w:rPr>
          <w:sz w:val="24"/>
          <w:szCs w:val="24"/>
        </w:rPr>
      </w:pPr>
      <w:r>
        <w:rPr>
          <w:sz w:val="24"/>
          <w:szCs w:val="24"/>
        </w:rPr>
        <w:t>The database has information on more than 50,000 funds over this period. However, most of them are small funds with poor data quality. We restrict our sample to funds that have total net assets above 10 billion dollars during at least one year. Additionally, we only analyze funds that have complete information on total assets and on portfolio composition across asset classes. This reduces our sample to 698 funds</w:t>
      </w:r>
      <w:r w:rsidR="00D75102">
        <w:rPr>
          <w:sz w:val="24"/>
          <w:szCs w:val="24"/>
        </w:rPr>
        <w:t>, out of which 161 are exchange traded funds (ETFs).</w:t>
      </w:r>
    </w:p>
    <w:p w14:paraId="1BEB30F9" w14:textId="181E7558" w:rsidR="00C10BBD" w:rsidRDefault="00C10BBD" w:rsidP="007F7301">
      <w:pPr>
        <w:jc w:val="both"/>
        <w:rPr>
          <w:sz w:val="24"/>
          <w:szCs w:val="24"/>
        </w:rPr>
      </w:pPr>
      <w:r>
        <w:rPr>
          <w:sz w:val="24"/>
          <w:szCs w:val="24"/>
        </w:rPr>
        <w:t xml:space="preserve">We use information on monthly returns provided by CRSP that include the change in the net asset value and </w:t>
      </w:r>
      <w:r w:rsidR="007F7301">
        <w:rPr>
          <w:sz w:val="24"/>
          <w:szCs w:val="24"/>
        </w:rPr>
        <w:t>dividends paid out by the fund. We calculate the standard deviation of these returns. Graph 1 shows the histogram of the standard deviation of the returns across all 698 funds. The distribution seems to be bimodal. In the following analysis, we will try to uncover the reason behind this type of distribution to better understand the sources of risk in these funds.</w:t>
      </w:r>
    </w:p>
    <w:p w14:paraId="78AAE00D" w14:textId="161BA7CF" w:rsidR="007F7301" w:rsidRDefault="007F7301" w:rsidP="007F7301">
      <w:pPr>
        <w:jc w:val="center"/>
        <w:rPr>
          <w:b/>
          <w:bCs/>
          <w:sz w:val="24"/>
          <w:szCs w:val="24"/>
        </w:rPr>
      </w:pPr>
      <w:r w:rsidRPr="007F7301">
        <w:rPr>
          <w:b/>
          <w:bCs/>
          <w:sz w:val="24"/>
          <w:szCs w:val="24"/>
        </w:rPr>
        <w:lastRenderedPageBreak/>
        <w:t>Graph 1</w:t>
      </w:r>
      <w:r>
        <w:rPr>
          <w:sz w:val="24"/>
          <w:szCs w:val="24"/>
        </w:rPr>
        <w:br/>
      </w:r>
      <w:r w:rsidRPr="007F7301">
        <w:drawing>
          <wp:inline distT="0" distB="0" distL="0" distR="0" wp14:anchorId="62CED1E1" wp14:editId="42F21F5D">
            <wp:extent cx="4029927" cy="2880000"/>
            <wp:effectExtent l="0" t="0" r="8890" b="0"/>
            <wp:docPr id="1164622324" name="Picture 1" descr="A graph of a number of colum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22324" name="Picture 1" descr="A graph of a number of columns&#10;&#10;Description automatically generated"/>
                    <pic:cNvPicPr/>
                  </pic:nvPicPr>
                  <pic:blipFill>
                    <a:blip r:embed="rId5"/>
                    <a:stretch>
                      <a:fillRect/>
                    </a:stretch>
                  </pic:blipFill>
                  <pic:spPr>
                    <a:xfrm>
                      <a:off x="0" y="0"/>
                      <a:ext cx="4029927" cy="2880000"/>
                    </a:xfrm>
                    <a:prstGeom prst="rect">
                      <a:avLst/>
                    </a:prstGeom>
                  </pic:spPr>
                </pic:pic>
              </a:graphicData>
            </a:graphic>
          </wp:inline>
        </w:drawing>
      </w:r>
    </w:p>
    <w:p w14:paraId="60400175" w14:textId="77777777" w:rsidR="007F7301" w:rsidRDefault="007F7301" w:rsidP="007F7301">
      <w:pPr>
        <w:jc w:val="both"/>
        <w:rPr>
          <w:sz w:val="24"/>
          <w:szCs w:val="24"/>
        </w:rPr>
      </w:pPr>
    </w:p>
    <w:p w14:paraId="01882657" w14:textId="2D20E9FA" w:rsidR="007F7301" w:rsidRDefault="00D75102" w:rsidP="00D75102">
      <w:pPr>
        <w:jc w:val="both"/>
        <w:rPr>
          <w:sz w:val="24"/>
          <w:szCs w:val="24"/>
        </w:rPr>
      </w:pPr>
      <w:r>
        <w:rPr>
          <w:sz w:val="24"/>
          <w:szCs w:val="24"/>
        </w:rPr>
        <w:t xml:space="preserve">We first analyze if there is a difference in the risk profile between index and non-index funds. A fund is considered an index fund if it </w:t>
      </w:r>
      <w:r w:rsidRPr="00D75102">
        <w:rPr>
          <w:sz w:val="24"/>
          <w:szCs w:val="24"/>
        </w:rPr>
        <w:t>utilizes indexes as its primary filter for the purchase</w:t>
      </w:r>
      <w:r>
        <w:rPr>
          <w:sz w:val="24"/>
          <w:szCs w:val="24"/>
        </w:rPr>
        <w:t xml:space="preserve"> </w:t>
      </w:r>
      <w:r w:rsidRPr="00D75102">
        <w:rPr>
          <w:sz w:val="24"/>
          <w:szCs w:val="24"/>
        </w:rPr>
        <w:t>and sale of securities</w:t>
      </w:r>
      <w:r>
        <w:rPr>
          <w:sz w:val="24"/>
          <w:szCs w:val="24"/>
        </w:rPr>
        <w:t>. This includes pure and non-pure index funds, as well as enhanced index funds. Graph 2 shows the overlapping histograms of index and non-index funds’ return volatility. Most of the funds in our sample are index funds. There is no clear difference in the standard deviation of both types of funds.</w:t>
      </w:r>
    </w:p>
    <w:p w14:paraId="17110553" w14:textId="666BC47B" w:rsidR="00D75102" w:rsidRDefault="00880B96" w:rsidP="00880B96">
      <w:pPr>
        <w:jc w:val="center"/>
        <w:rPr>
          <w:b/>
          <w:bCs/>
          <w:sz w:val="24"/>
          <w:szCs w:val="24"/>
        </w:rPr>
      </w:pPr>
      <w:r>
        <w:rPr>
          <w:sz w:val="24"/>
          <w:szCs w:val="24"/>
        </w:rPr>
        <w:br/>
      </w:r>
      <w:r w:rsidRPr="00880B96">
        <w:rPr>
          <w:b/>
          <w:bCs/>
          <w:sz w:val="24"/>
          <w:szCs w:val="24"/>
        </w:rPr>
        <w:t>Graph 2</w:t>
      </w:r>
      <w:r>
        <w:rPr>
          <w:sz w:val="24"/>
          <w:szCs w:val="24"/>
        </w:rPr>
        <w:br/>
      </w:r>
      <w:r w:rsidR="00D75102">
        <w:rPr>
          <w:noProof/>
        </w:rPr>
        <w:drawing>
          <wp:inline distT="0" distB="0" distL="0" distR="0" wp14:anchorId="3C4129AB" wp14:editId="6FBC317D">
            <wp:extent cx="4237122" cy="2880000"/>
            <wp:effectExtent l="0" t="0" r="0" b="0"/>
            <wp:docPr id="1530048721" name="Picture 1" descr="A graph of a number of colum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048721" name="Picture 1" descr="A graph of a number of columns&#10;&#10;Description automatically generated"/>
                    <pic:cNvPicPr/>
                  </pic:nvPicPr>
                  <pic:blipFill>
                    <a:blip r:embed="rId6"/>
                    <a:stretch>
                      <a:fillRect/>
                    </a:stretch>
                  </pic:blipFill>
                  <pic:spPr>
                    <a:xfrm>
                      <a:off x="0" y="0"/>
                      <a:ext cx="4237122" cy="2880000"/>
                    </a:xfrm>
                    <a:prstGeom prst="rect">
                      <a:avLst/>
                    </a:prstGeom>
                  </pic:spPr>
                </pic:pic>
              </a:graphicData>
            </a:graphic>
          </wp:inline>
        </w:drawing>
      </w:r>
    </w:p>
    <w:p w14:paraId="5164E801" w14:textId="73102387" w:rsidR="00880B96" w:rsidRPr="00880B96" w:rsidRDefault="00880B96" w:rsidP="00880B96">
      <w:pPr>
        <w:jc w:val="both"/>
        <w:rPr>
          <w:sz w:val="24"/>
          <w:szCs w:val="24"/>
        </w:rPr>
      </w:pPr>
      <w:r w:rsidRPr="00880B96">
        <w:rPr>
          <w:sz w:val="24"/>
          <w:szCs w:val="24"/>
        </w:rPr>
        <w:lastRenderedPageBreak/>
        <w:t>In Graph 3 we explore if ETFs have a different risk profile than regular mutual funds. The histogram of the volatility of returns shows that there is not a clear difference between them.</w:t>
      </w:r>
    </w:p>
    <w:p w14:paraId="434AAE2F" w14:textId="7F23F102" w:rsidR="00880B96" w:rsidRDefault="00880B96" w:rsidP="00880B96">
      <w:pPr>
        <w:jc w:val="center"/>
        <w:rPr>
          <w:noProof/>
        </w:rPr>
      </w:pPr>
      <w:r>
        <w:rPr>
          <w:b/>
          <w:bCs/>
          <w:sz w:val="24"/>
          <w:szCs w:val="24"/>
        </w:rPr>
        <w:t>Graph 3</w:t>
      </w:r>
      <w:r>
        <w:rPr>
          <w:b/>
          <w:bCs/>
          <w:sz w:val="24"/>
          <w:szCs w:val="24"/>
        </w:rPr>
        <w:br/>
      </w:r>
      <w:r w:rsidRPr="00880B96">
        <w:rPr>
          <w:noProof/>
        </w:rPr>
        <w:t xml:space="preserve"> </w:t>
      </w:r>
      <w:r>
        <w:rPr>
          <w:noProof/>
        </w:rPr>
        <w:drawing>
          <wp:inline distT="0" distB="0" distL="0" distR="0" wp14:anchorId="3DCFA43C" wp14:editId="1E4A70AD">
            <wp:extent cx="4029928" cy="2880000"/>
            <wp:effectExtent l="0" t="0" r="8890" b="0"/>
            <wp:docPr id="2083119097" name="Picture 1" descr="A graph of a number of colum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119097" name="Picture 1" descr="A graph of a number of columns&#10;&#10;Description automatically generated"/>
                    <pic:cNvPicPr/>
                  </pic:nvPicPr>
                  <pic:blipFill>
                    <a:blip r:embed="rId7"/>
                    <a:stretch>
                      <a:fillRect/>
                    </a:stretch>
                  </pic:blipFill>
                  <pic:spPr>
                    <a:xfrm>
                      <a:off x="0" y="0"/>
                      <a:ext cx="4029928" cy="2880000"/>
                    </a:xfrm>
                    <a:prstGeom prst="rect">
                      <a:avLst/>
                    </a:prstGeom>
                  </pic:spPr>
                </pic:pic>
              </a:graphicData>
            </a:graphic>
          </wp:inline>
        </w:drawing>
      </w:r>
    </w:p>
    <w:p w14:paraId="1016D7CE" w14:textId="77777777" w:rsidR="00880B96" w:rsidRDefault="00880B96" w:rsidP="00880B96">
      <w:pPr>
        <w:jc w:val="center"/>
        <w:rPr>
          <w:sz w:val="24"/>
          <w:szCs w:val="24"/>
        </w:rPr>
      </w:pPr>
    </w:p>
    <w:p w14:paraId="025C424F" w14:textId="74AA5763" w:rsidR="00880B96" w:rsidRDefault="00880B96" w:rsidP="00880B96">
      <w:pPr>
        <w:jc w:val="both"/>
        <w:rPr>
          <w:sz w:val="24"/>
          <w:szCs w:val="24"/>
        </w:rPr>
      </w:pPr>
      <w:r>
        <w:rPr>
          <w:sz w:val="24"/>
          <w:szCs w:val="24"/>
        </w:rPr>
        <w:t>In Graph 4 we split the sample into funds that can be accessed by retail investors and those targeted to institutional investors. Again, the histograms have a similar shape.</w:t>
      </w:r>
    </w:p>
    <w:p w14:paraId="2C44B79B" w14:textId="72532001" w:rsidR="00880B96" w:rsidRDefault="00880B96" w:rsidP="00880B96">
      <w:pPr>
        <w:jc w:val="center"/>
        <w:rPr>
          <w:b/>
          <w:bCs/>
          <w:sz w:val="24"/>
          <w:szCs w:val="24"/>
        </w:rPr>
      </w:pPr>
      <w:r w:rsidRPr="00880B96">
        <w:rPr>
          <w:b/>
          <w:bCs/>
          <w:sz w:val="24"/>
          <w:szCs w:val="24"/>
        </w:rPr>
        <w:t>Graph 4</w:t>
      </w:r>
      <w:r w:rsidRPr="00880B96">
        <w:rPr>
          <w:b/>
          <w:bCs/>
          <w:sz w:val="24"/>
          <w:szCs w:val="24"/>
        </w:rPr>
        <w:br/>
      </w:r>
      <w:r w:rsidRPr="00880B96">
        <w:drawing>
          <wp:inline distT="0" distB="0" distL="0" distR="0" wp14:anchorId="65BF7900" wp14:editId="0EEDE7D4">
            <wp:extent cx="4361438" cy="2880000"/>
            <wp:effectExtent l="0" t="0" r="1270" b="0"/>
            <wp:docPr id="1983330578" name="Picture 1" descr="A graph of a number of colum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30578" name="Picture 1" descr="A graph of a number of columns&#10;&#10;Description automatically generated with medium confidence"/>
                    <pic:cNvPicPr/>
                  </pic:nvPicPr>
                  <pic:blipFill>
                    <a:blip r:embed="rId8"/>
                    <a:stretch>
                      <a:fillRect/>
                    </a:stretch>
                  </pic:blipFill>
                  <pic:spPr>
                    <a:xfrm>
                      <a:off x="0" y="0"/>
                      <a:ext cx="4361438" cy="2880000"/>
                    </a:xfrm>
                    <a:prstGeom prst="rect">
                      <a:avLst/>
                    </a:prstGeom>
                  </pic:spPr>
                </pic:pic>
              </a:graphicData>
            </a:graphic>
          </wp:inline>
        </w:drawing>
      </w:r>
    </w:p>
    <w:p w14:paraId="642F5D52" w14:textId="77777777" w:rsidR="00880B96" w:rsidRDefault="00880B96" w:rsidP="00880B96">
      <w:pPr>
        <w:jc w:val="both"/>
        <w:rPr>
          <w:b/>
          <w:bCs/>
          <w:sz w:val="24"/>
          <w:szCs w:val="24"/>
        </w:rPr>
      </w:pPr>
    </w:p>
    <w:p w14:paraId="34F80FA4" w14:textId="59A8E0BA" w:rsidR="00880B96" w:rsidRPr="00345263" w:rsidRDefault="00880B96" w:rsidP="00880B96">
      <w:pPr>
        <w:jc w:val="both"/>
        <w:rPr>
          <w:sz w:val="24"/>
          <w:szCs w:val="24"/>
        </w:rPr>
      </w:pPr>
      <w:r w:rsidRPr="00345263">
        <w:rPr>
          <w:sz w:val="24"/>
          <w:szCs w:val="24"/>
        </w:rPr>
        <w:lastRenderedPageBreak/>
        <w:t xml:space="preserve">Finally, we explore </w:t>
      </w:r>
      <w:r w:rsidR="00345263" w:rsidRPr="00345263">
        <w:rPr>
          <w:sz w:val="24"/>
          <w:szCs w:val="24"/>
        </w:rPr>
        <w:t>the risk of the funds based on the asset classes they invest in. We only have information of the allocation of each fund at a broad level. On average, funds in our sample invest 65% of their portfolio in common stocks, 12% in government bonds, 9% in corporate bonds, and the rest in other asset classes such as mortgage backed securities, municipal bonds, cash, etc.</w:t>
      </w:r>
      <w:r w:rsidR="00345263">
        <w:rPr>
          <w:sz w:val="24"/>
          <w:szCs w:val="24"/>
        </w:rPr>
        <w:t xml:space="preserve"> In Graph 5, we plot the histogram of the return volatility of funds that invest more than 50% of their assets in common stocks and those that invest less than 50% in stocks. The graph shows that this characteristic explains the bimodal distribution of funds’ return volatility. Funds that invest mostly in stocks have riskier returns than those that invest in other asset classes.</w:t>
      </w:r>
    </w:p>
    <w:p w14:paraId="04317E4E" w14:textId="76DD7E4D" w:rsidR="00345263" w:rsidRDefault="00345263" w:rsidP="00345263">
      <w:pPr>
        <w:jc w:val="center"/>
        <w:rPr>
          <w:b/>
          <w:bCs/>
          <w:sz w:val="24"/>
          <w:szCs w:val="24"/>
        </w:rPr>
      </w:pPr>
      <w:r>
        <w:rPr>
          <w:sz w:val="24"/>
          <w:szCs w:val="24"/>
        </w:rPr>
        <w:br/>
      </w:r>
      <w:r w:rsidRPr="00345263">
        <w:rPr>
          <w:b/>
          <w:bCs/>
          <w:sz w:val="24"/>
          <w:szCs w:val="24"/>
        </w:rPr>
        <w:t>Graph 5</w:t>
      </w:r>
      <w:r w:rsidRPr="00345263">
        <w:rPr>
          <w:b/>
          <w:bCs/>
          <w:sz w:val="24"/>
          <w:szCs w:val="24"/>
        </w:rPr>
        <w:br/>
      </w:r>
      <w:r w:rsidR="00427B2C">
        <w:rPr>
          <w:noProof/>
        </w:rPr>
        <w:drawing>
          <wp:inline distT="0" distB="0" distL="0" distR="0" wp14:anchorId="2A434CA8" wp14:editId="6803F488">
            <wp:extent cx="4029928" cy="2880000"/>
            <wp:effectExtent l="0" t="0" r="8890" b="0"/>
            <wp:docPr id="897336998" name="Picture 1" descr="A graph of a number of colum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336998" name="Picture 1" descr="A graph of a number of columns&#10;&#10;Description automatically generated"/>
                    <pic:cNvPicPr/>
                  </pic:nvPicPr>
                  <pic:blipFill>
                    <a:blip r:embed="rId9"/>
                    <a:stretch>
                      <a:fillRect/>
                    </a:stretch>
                  </pic:blipFill>
                  <pic:spPr>
                    <a:xfrm>
                      <a:off x="0" y="0"/>
                      <a:ext cx="4029928" cy="2880000"/>
                    </a:xfrm>
                    <a:prstGeom prst="rect">
                      <a:avLst/>
                    </a:prstGeom>
                  </pic:spPr>
                </pic:pic>
              </a:graphicData>
            </a:graphic>
          </wp:inline>
        </w:drawing>
      </w:r>
    </w:p>
    <w:p w14:paraId="15361335" w14:textId="77777777" w:rsidR="00427649" w:rsidRDefault="00427649" w:rsidP="00427649">
      <w:pPr>
        <w:rPr>
          <w:b/>
          <w:bCs/>
          <w:sz w:val="24"/>
          <w:szCs w:val="24"/>
        </w:rPr>
      </w:pPr>
    </w:p>
    <w:p w14:paraId="44C99C18" w14:textId="5AB88238" w:rsidR="00427649" w:rsidRDefault="00427649" w:rsidP="00B32738">
      <w:pPr>
        <w:jc w:val="both"/>
        <w:rPr>
          <w:sz w:val="24"/>
          <w:szCs w:val="24"/>
        </w:rPr>
      </w:pPr>
      <w:r>
        <w:rPr>
          <w:sz w:val="24"/>
          <w:szCs w:val="24"/>
        </w:rPr>
        <w:t>To understand how different fund characteristics affect the fund’s risk profile, we estimate regressions to explain the fund’s returns standard deviation. The regression takes the form:</w:t>
      </w:r>
    </w:p>
    <w:p w14:paraId="08FCFE94" w14:textId="4B2638B3" w:rsidR="00427649" w:rsidRPr="00427649" w:rsidRDefault="00427649" w:rsidP="00427649">
      <w:pPr>
        <w:rPr>
          <w:rFonts w:eastAsiaTheme="minorEastAsia"/>
          <w:sz w:val="24"/>
          <w:szCs w:val="24"/>
        </w:rPr>
      </w:pPr>
      <m:oMathPara>
        <m:oMath>
          <m:r>
            <w:rPr>
              <w:rFonts w:ascii="Cambria Math" w:hAnsi="Cambria Math"/>
              <w:sz w:val="24"/>
              <w:szCs w:val="24"/>
            </w:rPr>
            <m:t>ReturnSt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=α+</m:t>
          </m:r>
          <m:sSup>
            <m:sSupPr>
              <m:ctrlPr>
                <w:rPr>
                  <w:rFonts w:ascii="Cambria Math" w:hAnsi="Cambria Math"/>
                  <w:b/>
                  <w:bCs/>
                  <w:i/>
                  <w:sz w:val="24"/>
                  <w:szCs w:val="24"/>
                </w:rPr>
              </m:ctrlPr>
            </m:sSupPr>
            <m:e>
              <m:r>
                <m:rPr>
                  <m:sty m:val="bi"/>
                </m:rPr>
                <w:rPr>
                  <w:rFonts w:ascii="Cambria Math" w:hAnsi="Cambria Math"/>
                  <w:sz w:val="24"/>
                  <w:szCs w:val="24"/>
                </w:rPr>
                <m:t>β</m:t>
              </m:r>
            </m:e>
            <m:sup>
              <m:r>
                <m:rPr>
                  <m:sty m:val="bi"/>
                </m:rPr>
                <w:rPr>
                  <w:rFonts w:ascii="Cambria Math" w:hAnsi="Cambria Math"/>
                  <w:sz w:val="24"/>
                  <w:szCs w:val="24"/>
                </w:rPr>
                <m:t>'</m:t>
              </m:r>
            </m:sup>
          </m:sSup>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i</m:t>
              </m:r>
            </m:sub>
          </m:sSub>
        </m:oMath>
      </m:oMathPara>
    </w:p>
    <w:p w14:paraId="750705A5" w14:textId="77777777" w:rsidR="00B551B8" w:rsidRDefault="00427649" w:rsidP="00B32738">
      <w:pPr>
        <w:jc w:val="both"/>
        <w:rPr>
          <w:sz w:val="24"/>
          <w:szCs w:val="24"/>
        </w:rPr>
      </w:pPr>
      <w:r>
        <w:rPr>
          <w:rFonts w:eastAsiaTheme="minorEastAsia"/>
          <w:sz w:val="24"/>
          <w:szCs w:val="24"/>
        </w:rPr>
        <w:t xml:space="preserve">where </w:t>
      </w:r>
      <m:oMath>
        <m:r>
          <w:rPr>
            <w:rFonts w:ascii="Cambria Math" w:hAnsi="Cambria Math"/>
            <w:sz w:val="24"/>
            <w:szCs w:val="24"/>
          </w:rPr>
          <m:t>ReturnSt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oMath>
      <w:r>
        <w:rPr>
          <w:rFonts w:eastAsiaTheme="minorEastAsia"/>
          <w:sz w:val="24"/>
          <w:szCs w:val="24"/>
        </w:rPr>
        <w:t xml:space="preserve"> is the standard deviation of fund’s </w:t>
      </w:r>
      <w:r>
        <w:rPr>
          <w:rFonts w:eastAsiaTheme="minorEastAsia"/>
          <w:i/>
          <w:iCs/>
          <w:sz w:val="24"/>
          <w:szCs w:val="24"/>
        </w:rPr>
        <w:t xml:space="preserve">i </w:t>
      </w:r>
      <w:r>
        <w:rPr>
          <w:rFonts w:eastAsiaTheme="minorEastAsia"/>
          <w:sz w:val="24"/>
          <w:szCs w:val="24"/>
        </w:rPr>
        <w:t>monthly returns from 2010-2024.</w:t>
      </w:r>
      <w:r w:rsidR="00B551B8">
        <w:rPr>
          <w:rFonts w:eastAsiaTheme="minorEastAsia"/>
          <w:sz w:val="24"/>
          <w:szCs w:val="24"/>
        </w:rPr>
        <w:t xml:space="preserve"> For the first model,</w:t>
      </w:r>
      <w:r>
        <w:rPr>
          <w:rFonts w:eastAsiaTheme="minorEastAsia"/>
          <w:sz w:val="24"/>
          <w:szCs w:val="24"/>
        </w:rPr>
        <w:t xml:space="preserve"> </w:t>
      </w:r>
      <m:oMath>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eastAsiaTheme="minorEastAsia"/>
          <w:b/>
          <w:bCs/>
          <w:sz w:val="24"/>
          <w:szCs w:val="24"/>
        </w:rPr>
        <w:t xml:space="preserve"> </w:t>
      </w:r>
      <w:r w:rsidRPr="00427649">
        <w:rPr>
          <w:rFonts w:eastAsiaTheme="minorEastAsia"/>
          <w:sz w:val="24"/>
          <w:szCs w:val="24"/>
        </w:rPr>
        <w:t>is a vector of explanatory variables that includes</w:t>
      </w:r>
      <w:r w:rsidR="00B551B8">
        <w:rPr>
          <w:rFonts w:eastAsiaTheme="minorEastAsia"/>
          <w:sz w:val="24"/>
          <w:szCs w:val="24"/>
        </w:rPr>
        <w:t xml:space="preserve"> t</w:t>
      </w:r>
      <w:r w:rsidRPr="00B551B8">
        <w:rPr>
          <w:sz w:val="24"/>
          <w:szCs w:val="24"/>
        </w:rPr>
        <w:t>he percentage of the funds assets allocated to i) stocks, ii) government bonds, and iii) corporate bonds. Since the rest of the asset classes are omitted to avoid multicollinearity, the coefficients of these variables should be interpreted as the effect of investing on one of these asset classes relative to the omitted asset classes.</w:t>
      </w:r>
      <w:r w:rsidR="00B551B8">
        <w:rPr>
          <w:sz w:val="24"/>
          <w:szCs w:val="24"/>
        </w:rPr>
        <w:t xml:space="preserve"> </w:t>
      </w:r>
    </w:p>
    <w:p w14:paraId="7B42A7CC" w14:textId="2954F69D" w:rsidR="00427649" w:rsidRPr="00B551B8" w:rsidRDefault="00B551B8" w:rsidP="00B32738">
      <w:pPr>
        <w:jc w:val="both"/>
        <w:rPr>
          <w:rFonts w:eastAsiaTheme="minorEastAsia"/>
          <w:sz w:val="24"/>
          <w:szCs w:val="24"/>
        </w:rPr>
      </w:pPr>
      <w:r>
        <w:rPr>
          <w:sz w:val="24"/>
          <w:szCs w:val="24"/>
        </w:rPr>
        <w:t xml:space="preserve">For the second model, besides the asset allocation variables, </w:t>
      </w:r>
      <m:oMath>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eastAsiaTheme="minorEastAsia"/>
          <w:b/>
          <w:bCs/>
          <w:sz w:val="24"/>
          <w:szCs w:val="24"/>
        </w:rPr>
        <w:t xml:space="preserve"> </w:t>
      </w:r>
      <w:r w:rsidRPr="00B551B8">
        <w:rPr>
          <w:rFonts w:eastAsiaTheme="minorEastAsia"/>
          <w:sz w:val="24"/>
          <w:szCs w:val="24"/>
        </w:rPr>
        <w:t>includes</w:t>
      </w:r>
    </w:p>
    <w:p w14:paraId="3521385A" w14:textId="3E648AE5" w:rsidR="00427649" w:rsidRDefault="00427649" w:rsidP="00B32738">
      <w:pPr>
        <w:pStyle w:val="ListParagraph"/>
        <w:numPr>
          <w:ilvl w:val="0"/>
          <w:numId w:val="1"/>
        </w:numPr>
        <w:jc w:val="both"/>
        <w:rPr>
          <w:sz w:val="24"/>
          <w:szCs w:val="24"/>
        </w:rPr>
      </w:pPr>
      <w:r>
        <w:rPr>
          <w:sz w:val="24"/>
          <w:szCs w:val="24"/>
        </w:rPr>
        <w:t>Natural logarithm of Total Net Assets</w:t>
      </w:r>
      <w:r w:rsidR="00B551B8">
        <w:rPr>
          <w:sz w:val="24"/>
          <w:szCs w:val="24"/>
        </w:rPr>
        <w:t xml:space="preserve"> to understand the effect of a fund’s size</w:t>
      </w:r>
    </w:p>
    <w:p w14:paraId="251AC379" w14:textId="77F6323A" w:rsidR="00B551B8" w:rsidRDefault="00B551B8" w:rsidP="00B32738">
      <w:pPr>
        <w:pStyle w:val="ListParagraph"/>
        <w:numPr>
          <w:ilvl w:val="0"/>
          <w:numId w:val="1"/>
        </w:numPr>
        <w:jc w:val="both"/>
        <w:rPr>
          <w:sz w:val="24"/>
          <w:szCs w:val="24"/>
        </w:rPr>
      </w:pPr>
      <w:r>
        <w:rPr>
          <w:sz w:val="24"/>
          <w:szCs w:val="24"/>
        </w:rPr>
        <w:lastRenderedPageBreak/>
        <w:t>Retail fund dummy that shows the effect of retail funds relative to institutional funds.</w:t>
      </w:r>
    </w:p>
    <w:p w14:paraId="271E1402" w14:textId="7C144A52" w:rsidR="00B551B8" w:rsidRDefault="00B551B8" w:rsidP="00B32738">
      <w:pPr>
        <w:pStyle w:val="ListParagraph"/>
        <w:numPr>
          <w:ilvl w:val="0"/>
          <w:numId w:val="1"/>
        </w:numPr>
        <w:jc w:val="both"/>
        <w:rPr>
          <w:sz w:val="24"/>
          <w:szCs w:val="24"/>
        </w:rPr>
      </w:pPr>
      <w:r>
        <w:rPr>
          <w:sz w:val="24"/>
          <w:szCs w:val="24"/>
        </w:rPr>
        <w:t>Index fund dummy that shows the effect of a fund that tracks an index relative</w:t>
      </w:r>
      <w:r w:rsidR="001E6495">
        <w:rPr>
          <w:sz w:val="24"/>
          <w:szCs w:val="24"/>
        </w:rPr>
        <w:t xml:space="preserve"> to</w:t>
      </w:r>
      <w:r>
        <w:rPr>
          <w:sz w:val="24"/>
          <w:szCs w:val="24"/>
        </w:rPr>
        <w:t xml:space="preserve"> the rest of funds.</w:t>
      </w:r>
    </w:p>
    <w:p w14:paraId="6C2DD5E6" w14:textId="736B1DC9" w:rsidR="00B551B8" w:rsidRDefault="00B551B8" w:rsidP="00B32738">
      <w:pPr>
        <w:pStyle w:val="ListParagraph"/>
        <w:numPr>
          <w:ilvl w:val="0"/>
          <w:numId w:val="1"/>
        </w:numPr>
        <w:jc w:val="both"/>
        <w:rPr>
          <w:sz w:val="24"/>
          <w:szCs w:val="24"/>
        </w:rPr>
      </w:pPr>
      <w:r>
        <w:rPr>
          <w:sz w:val="24"/>
          <w:szCs w:val="24"/>
        </w:rPr>
        <w:t>ETF dummy that shows the effect of exchange traded funds relative to the rest of funds.</w:t>
      </w:r>
    </w:p>
    <w:p w14:paraId="34F3BA71" w14:textId="3012AB41" w:rsidR="00B551B8" w:rsidRPr="00B551B8" w:rsidRDefault="00B551B8" w:rsidP="00B32738">
      <w:pPr>
        <w:pStyle w:val="ListParagraph"/>
        <w:numPr>
          <w:ilvl w:val="0"/>
          <w:numId w:val="1"/>
        </w:numPr>
        <w:jc w:val="both"/>
        <w:rPr>
          <w:sz w:val="24"/>
          <w:szCs w:val="24"/>
        </w:rPr>
      </w:pPr>
      <w:r>
        <w:rPr>
          <w:sz w:val="24"/>
          <w:szCs w:val="24"/>
        </w:rPr>
        <w:t xml:space="preserve">Concentration index that is a Herfindahl index that is calculated as the sum of squares of the percentage allocation to each asset class. If one fund invest 100% of its assets to common stock, the index will reach the maximum level of </w:t>
      </w:r>
      <m:oMath>
        <m:sSup>
          <m:sSupPr>
            <m:ctrlPr>
              <w:rPr>
                <w:rFonts w:ascii="Cambria Math" w:hAnsi="Cambria Math"/>
                <w:i/>
                <w:sz w:val="24"/>
                <w:szCs w:val="24"/>
              </w:rPr>
            </m:ctrlPr>
          </m:sSupPr>
          <m:e>
            <m:r>
              <w:rPr>
                <w:rFonts w:ascii="Cambria Math" w:hAnsi="Cambria Math"/>
                <w:sz w:val="24"/>
                <w:szCs w:val="24"/>
              </w:rPr>
              <m:t>100</m:t>
            </m:r>
          </m:e>
          <m:sup>
            <m:r>
              <w:rPr>
                <w:rFonts w:ascii="Cambria Math" w:hAnsi="Cambria Math"/>
                <w:sz w:val="24"/>
                <w:szCs w:val="24"/>
              </w:rPr>
              <m:t>2</m:t>
            </m:r>
          </m:sup>
        </m:sSup>
        <m:r>
          <w:rPr>
            <w:rFonts w:ascii="Cambria Math" w:hAnsi="Cambria Math"/>
            <w:sz w:val="24"/>
            <w:szCs w:val="24"/>
          </w:rPr>
          <m:t>=10,000</m:t>
        </m:r>
      </m:oMath>
      <w:r>
        <w:rPr>
          <w:rFonts w:eastAsiaTheme="minorEastAsia"/>
          <w:sz w:val="24"/>
          <w:szCs w:val="24"/>
        </w:rPr>
        <w:t xml:space="preserve">. If it has 50% in stocks and 50% in mortgage backed securities, the index will be </w:t>
      </w:r>
      <m:oMath>
        <m:sSup>
          <m:sSupPr>
            <m:ctrlPr>
              <w:rPr>
                <w:rFonts w:ascii="Cambria Math" w:hAnsi="Cambria Math"/>
                <w:i/>
                <w:sz w:val="24"/>
                <w:szCs w:val="24"/>
              </w:rPr>
            </m:ctrlPr>
          </m:sSupPr>
          <m:e>
            <m:r>
              <w:rPr>
                <w:rFonts w:ascii="Cambria Math" w:hAnsi="Cambria Math"/>
                <w:sz w:val="24"/>
                <w:szCs w:val="24"/>
              </w:rPr>
              <m:t>50</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50</m:t>
            </m:r>
          </m:e>
          <m:sup>
            <m:r>
              <w:rPr>
                <w:rFonts w:ascii="Cambria Math" w:hAnsi="Cambria Math"/>
                <w:sz w:val="24"/>
                <w:szCs w:val="24"/>
              </w:rPr>
              <m:t>2</m:t>
            </m:r>
          </m:sup>
        </m:sSup>
        <m:r>
          <w:rPr>
            <w:rFonts w:ascii="Cambria Math" w:hAnsi="Cambria Math"/>
            <w:sz w:val="24"/>
            <w:szCs w:val="24"/>
          </w:rPr>
          <m:t>=</m:t>
        </m:r>
        <m:r>
          <w:rPr>
            <w:rFonts w:ascii="Cambria Math" w:hAnsi="Cambria Math"/>
            <w:sz w:val="24"/>
            <w:szCs w:val="24"/>
          </w:rPr>
          <m:t>5</m:t>
        </m:r>
        <m:r>
          <w:rPr>
            <w:rFonts w:ascii="Cambria Math" w:hAnsi="Cambria Math"/>
            <w:sz w:val="24"/>
            <w:szCs w:val="24"/>
          </w:rPr>
          <m:t>,000</m:t>
        </m:r>
      </m:oMath>
      <w:r>
        <w:rPr>
          <w:rFonts w:eastAsiaTheme="minorEastAsia"/>
          <w:sz w:val="24"/>
          <w:szCs w:val="24"/>
        </w:rPr>
        <w:t>.</w:t>
      </w:r>
      <w:r>
        <w:rPr>
          <w:rFonts w:eastAsiaTheme="minorEastAsia"/>
          <w:sz w:val="24"/>
          <w:szCs w:val="24"/>
        </w:rPr>
        <w:t xml:space="preserve"> Therefore, the higher the index, the higher the concentration.</w:t>
      </w:r>
    </w:p>
    <w:p w14:paraId="686AD466" w14:textId="4292541B" w:rsidR="00B551B8" w:rsidRDefault="00B551B8" w:rsidP="00B32738">
      <w:pPr>
        <w:jc w:val="both"/>
        <w:rPr>
          <w:sz w:val="24"/>
          <w:szCs w:val="24"/>
        </w:rPr>
      </w:pPr>
      <w:r>
        <w:rPr>
          <w:sz w:val="24"/>
          <w:szCs w:val="24"/>
        </w:rPr>
        <w:t>For the third model, we include the mean return of the fund over our sample period. Since excess returns are a compensation for risk, we would expect a positive relationship</w:t>
      </w:r>
      <w:r w:rsidR="000E7267">
        <w:rPr>
          <w:sz w:val="24"/>
          <w:szCs w:val="24"/>
        </w:rPr>
        <w:t>. However, it is unclear if the rest of the independent variables will retain explanatory power after controlling for the average stock return.</w:t>
      </w:r>
    </w:p>
    <w:p w14:paraId="6BE10EF5" w14:textId="2C1EB77D" w:rsidR="000E7267" w:rsidRDefault="000E7267" w:rsidP="00B32738">
      <w:pPr>
        <w:jc w:val="both"/>
        <w:rPr>
          <w:sz w:val="24"/>
          <w:szCs w:val="24"/>
        </w:rPr>
      </w:pPr>
      <w:r>
        <w:rPr>
          <w:sz w:val="24"/>
          <w:szCs w:val="24"/>
        </w:rPr>
        <w:t>The results are shown in Table 1.</w:t>
      </w:r>
      <w:r w:rsidR="001E6495">
        <w:rPr>
          <w:sz w:val="24"/>
          <w:szCs w:val="24"/>
        </w:rPr>
        <w:t xml:space="preserve"> The R-square of the first column shows that the asset allocation variables explain nearly two thirds of the total variance of returns standard deviation across funds. Consistent with the histogram, investing in stocks increases a fund’s risk, while investing in government or corporate bonds reduces risk relative to the rest of the asset classes. </w:t>
      </w:r>
      <w:r w:rsidR="004917E5">
        <w:rPr>
          <w:sz w:val="24"/>
          <w:szCs w:val="24"/>
        </w:rPr>
        <w:t xml:space="preserve">All the effects are highly significant. </w:t>
      </w:r>
      <w:r w:rsidR="001E6495">
        <w:rPr>
          <w:sz w:val="24"/>
          <w:szCs w:val="24"/>
        </w:rPr>
        <w:t xml:space="preserve">A one percentage point increase in the stock </w:t>
      </w:r>
      <w:r w:rsidR="004917E5">
        <w:rPr>
          <w:sz w:val="24"/>
          <w:szCs w:val="24"/>
        </w:rPr>
        <w:t>weight in the portfolio increases the returns standard deviation in 0.029 percentage points.</w:t>
      </w:r>
      <w:r w:rsidR="001E6495">
        <w:rPr>
          <w:sz w:val="24"/>
          <w:szCs w:val="24"/>
        </w:rPr>
        <w:t xml:space="preserve"> Interestingly, the effect</w:t>
      </w:r>
      <w:r w:rsidR="004917E5">
        <w:rPr>
          <w:sz w:val="24"/>
          <w:szCs w:val="24"/>
        </w:rPr>
        <w:t>s</w:t>
      </w:r>
      <w:r w:rsidR="001E6495">
        <w:rPr>
          <w:sz w:val="24"/>
          <w:szCs w:val="24"/>
        </w:rPr>
        <w:t xml:space="preserve"> of corporate and government bonds </w:t>
      </w:r>
      <w:r w:rsidR="004917E5">
        <w:rPr>
          <w:sz w:val="24"/>
          <w:szCs w:val="24"/>
        </w:rPr>
        <w:t>are similar to each other</w:t>
      </w:r>
      <w:r w:rsidR="001E6495">
        <w:rPr>
          <w:sz w:val="24"/>
          <w:szCs w:val="24"/>
        </w:rPr>
        <w:t>. This might be explained by the fact that corporate bonds have lower duration, which offsets their</w:t>
      </w:r>
      <w:r w:rsidR="004917E5">
        <w:rPr>
          <w:sz w:val="24"/>
          <w:szCs w:val="24"/>
        </w:rPr>
        <w:t xml:space="preserve"> higher</w:t>
      </w:r>
      <w:r w:rsidR="001E6495">
        <w:rPr>
          <w:sz w:val="24"/>
          <w:szCs w:val="24"/>
        </w:rPr>
        <w:t xml:space="preserve"> credit risk.</w:t>
      </w:r>
    </w:p>
    <w:p w14:paraId="55318549" w14:textId="1705D251" w:rsidR="001E6495" w:rsidRDefault="001E6495" w:rsidP="00B32738">
      <w:pPr>
        <w:jc w:val="both"/>
        <w:rPr>
          <w:sz w:val="24"/>
          <w:szCs w:val="24"/>
        </w:rPr>
      </w:pPr>
      <w:r>
        <w:rPr>
          <w:sz w:val="24"/>
          <w:szCs w:val="24"/>
        </w:rPr>
        <w:t>The second column shows that adding additional variables has a small effect on the R-square of the model.</w:t>
      </w:r>
      <w:r w:rsidR="004917E5">
        <w:rPr>
          <w:sz w:val="24"/>
          <w:szCs w:val="24"/>
        </w:rPr>
        <w:t xml:space="preserve"> The results show that</w:t>
      </w:r>
      <w:r>
        <w:rPr>
          <w:sz w:val="24"/>
          <w:szCs w:val="24"/>
        </w:rPr>
        <w:t xml:space="preserve"> </w:t>
      </w:r>
      <w:r w:rsidR="004917E5">
        <w:rPr>
          <w:sz w:val="24"/>
          <w:szCs w:val="24"/>
        </w:rPr>
        <w:t xml:space="preserve">funds with a large size, measured by total net assets, have slightly lower risk. This might be due to increased diversification, but considering that all funds analyzed are large funds, this explanation is not completely compelling. Additionally, ETFs have a slightly higher return volatility compared to the rest of funds. </w:t>
      </w:r>
      <w:r w:rsidR="008E5E94">
        <w:rPr>
          <w:sz w:val="24"/>
          <w:szCs w:val="24"/>
        </w:rPr>
        <w:t>B</w:t>
      </w:r>
      <w:r w:rsidR="004917E5">
        <w:rPr>
          <w:sz w:val="24"/>
          <w:szCs w:val="24"/>
        </w:rPr>
        <w:t>eing a retail fund or an index fund do</w:t>
      </w:r>
      <w:r w:rsidR="008E5E94">
        <w:rPr>
          <w:sz w:val="24"/>
          <w:szCs w:val="24"/>
        </w:rPr>
        <w:t>es</w:t>
      </w:r>
      <w:r w:rsidR="004917E5">
        <w:rPr>
          <w:sz w:val="24"/>
          <w:szCs w:val="24"/>
        </w:rPr>
        <w:t xml:space="preserve"> not have a</w:t>
      </w:r>
      <w:r w:rsidR="008E5E94">
        <w:rPr>
          <w:sz w:val="24"/>
          <w:szCs w:val="24"/>
        </w:rPr>
        <w:t xml:space="preserve"> significant</w:t>
      </w:r>
      <w:r w:rsidR="004917E5">
        <w:rPr>
          <w:sz w:val="24"/>
          <w:szCs w:val="24"/>
        </w:rPr>
        <w:t xml:space="preserve"> effect on risk</w:t>
      </w:r>
      <w:r w:rsidR="008E5E94">
        <w:rPr>
          <w:sz w:val="24"/>
          <w:szCs w:val="24"/>
        </w:rPr>
        <w:t>. This is especially interesting for index funds given that one might expect actively managed funds to be more risky than passive index funds given the very different investment styles. Finally, our concentration index does not have a significant coefficient. It is important to mention that this only measures concentration at the asset class level, and not at the securities level.</w:t>
      </w:r>
    </w:p>
    <w:p w14:paraId="2FFF9651" w14:textId="6E60EC90" w:rsidR="008E5E94" w:rsidRDefault="008E5E94" w:rsidP="00B32738">
      <w:pPr>
        <w:jc w:val="both"/>
        <w:rPr>
          <w:sz w:val="24"/>
          <w:szCs w:val="24"/>
        </w:rPr>
      </w:pPr>
      <w:r>
        <w:rPr>
          <w:sz w:val="24"/>
          <w:szCs w:val="24"/>
        </w:rPr>
        <w:t xml:space="preserve">Finally, the third column incorporates the fund’s mean return. As expected, its coefficient is positive and highly significant. However, even if it dampens the effects of other variables such as the stock allocation, in terms of </w:t>
      </w:r>
      <w:r w:rsidR="00B32738">
        <w:rPr>
          <w:sz w:val="24"/>
          <w:szCs w:val="24"/>
        </w:rPr>
        <w:t xml:space="preserve">sign and statistical significance, the results for the rest of the variables are similar. This suggests that a fund’s return volatility is not solely explained by the average return that fund has delivered in the past. Therefore, as investors, </w:t>
      </w:r>
      <w:r w:rsidR="00B32738">
        <w:rPr>
          <w:sz w:val="24"/>
          <w:szCs w:val="24"/>
        </w:rPr>
        <w:lastRenderedPageBreak/>
        <w:t>we can choose funds with lower risk and the same expected returns based on the characteristics analyzed.</w:t>
      </w:r>
    </w:p>
    <w:p w14:paraId="586512F2" w14:textId="77777777" w:rsidR="002D353D" w:rsidRDefault="002D353D" w:rsidP="00B32738">
      <w:pPr>
        <w:rPr>
          <w:b/>
          <w:bCs/>
          <w:sz w:val="24"/>
          <w:szCs w:val="24"/>
        </w:rPr>
      </w:pPr>
    </w:p>
    <w:p w14:paraId="3A89E210" w14:textId="34D3E58A" w:rsidR="002D353D" w:rsidRDefault="00B32738" w:rsidP="00345263">
      <w:pPr>
        <w:jc w:val="center"/>
        <w:rPr>
          <w:b/>
          <w:bCs/>
          <w:sz w:val="24"/>
          <w:szCs w:val="24"/>
        </w:rPr>
      </w:pPr>
      <w:r>
        <w:rPr>
          <w:b/>
          <w:bCs/>
          <w:sz w:val="24"/>
          <w:szCs w:val="24"/>
        </w:rPr>
        <w:t>Table 1. Regression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1844"/>
        <w:gridCol w:w="2338"/>
        <w:gridCol w:w="2338"/>
      </w:tblGrid>
      <w:tr w:rsidR="00AA494B" w14:paraId="2215DCF4" w14:textId="77777777" w:rsidTr="002D353D">
        <w:tc>
          <w:tcPr>
            <w:tcW w:w="2830" w:type="dxa"/>
            <w:tcBorders>
              <w:bottom w:val="double" w:sz="4" w:space="0" w:color="auto"/>
            </w:tcBorders>
          </w:tcPr>
          <w:p w14:paraId="3E09221A" w14:textId="77777777" w:rsidR="00AA494B" w:rsidRDefault="00B32738" w:rsidP="00345263">
            <w:pPr>
              <w:jc w:val="center"/>
              <w:rPr>
                <w:sz w:val="24"/>
                <w:szCs w:val="24"/>
              </w:rPr>
            </w:pPr>
            <w:r>
              <w:rPr>
                <w:sz w:val="24"/>
                <w:szCs w:val="24"/>
              </w:rPr>
              <w:t>Dependent variable:</w:t>
            </w:r>
          </w:p>
          <w:p w14:paraId="22AC50B5" w14:textId="34F9665B" w:rsidR="00B32738" w:rsidRDefault="00B32738" w:rsidP="00345263">
            <w:pPr>
              <w:jc w:val="center"/>
              <w:rPr>
                <w:sz w:val="24"/>
                <w:szCs w:val="24"/>
              </w:rPr>
            </w:pPr>
            <w:r>
              <w:rPr>
                <w:sz w:val="24"/>
                <w:szCs w:val="24"/>
              </w:rPr>
              <w:t>Return Standard Deviation (%)</w:t>
            </w:r>
          </w:p>
        </w:tc>
        <w:tc>
          <w:tcPr>
            <w:tcW w:w="1844" w:type="dxa"/>
            <w:tcBorders>
              <w:bottom w:val="double" w:sz="4" w:space="0" w:color="auto"/>
            </w:tcBorders>
          </w:tcPr>
          <w:p w14:paraId="59FF5EA2" w14:textId="38AE3770" w:rsidR="00AA494B" w:rsidRDefault="002D353D" w:rsidP="00345263">
            <w:pPr>
              <w:jc w:val="center"/>
              <w:rPr>
                <w:sz w:val="24"/>
                <w:szCs w:val="24"/>
              </w:rPr>
            </w:pPr>
            <w:r>
              <w:rPr>
                <w:sz w:val="24"/>
                <w:szCs w:val="24"/>
              </w:rPr>
              <w:t>Model 1</w:t>
            </w:r>
          </w:p>
          <w:p w14:paraId="47A0FE47" w14:textId="66959F3D" w:rsidR="002D353D" w:rsidRDefault="002D353D" w:rsidP="00345263">
            <w:pPr>
              <w:jc w:val="center"/>
              <w:rPr>
                <w:sz w:val="24"/>
                <w:szCs w:val="24"/>
              </w:rPr>
            </w:pPr>
          </w:p>
        </w:tc>
        <w:tc>
          <w:tcPr>
            <w:tcW w:w="2338" w:type="dxa"/>
            <w:tcBorders>
              <w:bottom w:val="double" w:sz="4" w:space="0" w:color="auto"/>
            </w:tcBorders>
          </w:tcPr>
          <w:p w14:paraId="0647D16C" w14:textId="146F61A5" w:rsidR="00AA494B" w:rsidRDefault="002D353D" w:rsidP="00345263">
            <w:pPr>
              <w:jc w:val="center"/>
              <w:rPr>
                <w:sz w:val="24"/>
                <w:szCs w:val="24"/>
              </w:rPr>
            </w:pPr>
            <w:r>
              <w:rPr>
                <w:sz w:val="24"/>
                <w:szCs w:val="24"/>
              </w:rPr>
              <w:t>Model 2</w:t>
            </w:r>
          </w:p>
        </w:tc>
        <w:tc>
          <w:tcPr>
            <w:tcW w:w="2338" w:type="dxa"/>
            <w:tcBorders>
              <w:bottom w:val="double" w:sz="4" w:space="0" w:color="auto"/>
            </w:tcBorders>
          </w:tcPr>
          <w:p w14:paraId="0C39D7BB" w14:textId="50607D2F" w:rsidR="00AA494B" w:rsidRDefault="002D353D" w:rsidP="00345263">
            <w:pPr>
              <w:jc w:val="center"/>
              <w:rPr>
                <w:sz w:val="24"/>
                <w:szCs w:val="24"/>
              </w:rPr>
            </w:pPr>
            <w:r>
              <w:rPr>
                <w:sz w:val="24"/>
                <w:szCs w:val="24"/>
              </w:rPr>
              <w:t>Model 3</w:t>
            </w:r>
          </w:p>
        </w:tc>
      </w:tr>
      <w:tr w:rsidR="00AA494B" w14:paraId="3976818C" w14:textId="77777777" w:rsidTr="002D353D">
        <w:tc>
          <w:tcPr>
            <w:tcW w:w="2830" w:type="dxa"/>
            <w:tcBorders>
              <w:top w:val="double" w:sz="4" w:space="0" w:color="auto"/>
            </w:tcBorders>
          </w:tcPr>
          <w:p w14:paraId="3BCA4313" w14:textId="330F2AC0" w:rsidR="00AA494B" w:rsidRDefault="00AA494B" w:rsidP="00345263">
            <w:pPr>
              <w:jc w:val="center"/>
              <w:rPr>
                <w:sz w:val="24"/>
                <w:szCs w:val="24"/>
              </w:rPr>
            </w:pPr>
            <w:r>
              <w:rPr>
                <w:sz w:val="24"/>
                <w:szCs w:val="24"/>
              </w:rPr>
              <w:t>Stocks</w:t>
            </w:r>
            <w:r w:rsidR="00845344">
              <w:rPr>
                <w:sz w:val="24"/>
                <w:szCs w:val="24"/>
              </w:rPr>
              <w:t xml:space="preserve"> (</w:t>
            </w:r>
            <w:r w:rsidR="00845344">
              <w:rPr>
                <w:sz w:val="24"/>
                <w:szCs w:val="24"/>
              </w:rPr>
              <w:t>%</w:t>
            </w:r>
            <w:r w:rsidR="00845344">
              <w:rPr>
                <w:sz w:val="24"/>
                <w:szCs w:val="24"/>
              </w:rPr>
              <w:t>)</w:t>
            </w:r>
          </w:p>
        </w:tc>
        <w:tc>
          <w:tcPr>
            <w:tcW w:w="1844" w:type="dxa"/>
            <w:tcBorders>
              <w:top w:val="double" w:sz="4" w:space="0" w:color="auto"/>
            </w:tcBorders>
          </w:tcPr>
          <w:p w14:paraId="7D91E922" w14:textId="36ADAE21" w:rsidR="00AA494B" w:rsidRDefault="00AA494B" w:rsidP="00AA494B">
            <w:pPr>
              <w:jc w:val="center"/>
              <w:rPr>
                <w:sz w:val="24"/>
                <w:szCs w:val="24"/>
              </w:rPr>
            </w:pPr>
            <w:r>
              <w:rPr>
                <w:sz w:val="24"/>
                <w:szCs w:val="24"/>
              </w:rPr>
              <w:t>0.029***</w:t>
            </w:r>
          </w:p>
          <w:p w14:paraId="597BFFD9" w14:textId="7D5230EB" w:rsidR="00AA494B" w:rsidRDefault="00AA494B" w:rsidP="00AA494B">
            <w:pPr>
              <w:jc w:val="center"/>
              <w:rPr>
                <w:sz w:val="24"/>
                <w:szCs w:val="24"/>
              </w:rPr>
            </w:pPr>
            <w:r>
              <w:rPr>
                <w:sz w:val="24"/>
                <w:szCs w:val="24"/>
              </w:rPr>
              <w:t>(</w:t>
            </w:r>
            <w:r>
              <w:rPr>
                <w:sz w:val="24"/>
                <w:szCs w:val="24"/>
              </w:rPr>
              <w:t>15.94</w:t>
            </w:r>
            <w:r w:rsidR="00FA437A">
              <w:rPr>
                <w:sz w:val="24"/>
                <w:szCs w:val="24"/>
              </w:rPr>
              <w:t>4</w:t>
            </w:r>
            <w:r>
              <w:rPr>
                <w:sz w:val="24"/>
                <w:szCs w:val="24"/>
              </w:rPr>
              <w:t>)</w:t>
            </w:r>
          </w:p>
        </w:tc>
        <w:tc>
          <w:tcPr>
            <w:tcW w:w="2338" w:type="dxa"/>
            <w:tcBorders>
              <w:top w:val="double" w:sz="4" w:space="0" w:color="auto"/>
            </w:tcBorders>
          </w:tcPr>
          <w:p w14:paraId="2AE3CEC4" w14:textId="7783075B" w:rsidR="00AA494B" w:rsidRDefault="006F7F33" w:rsidP="00345263">
            <w:pPr>
              <w:jc w:val="center"/>
              <w:rPr>
                <w:sz w:val="24"/>
                <w:szCs w:val="24"/>
              </w:rPr>
            </w:pPr>
            <w:r>
              <w:rPr>
                <w:sz w:val="24"/>
                <w:szCs w:val="24"/>
              </w:rPr>
              <w:t>0.02</w:t>
            </w:r>
            <w:r w:rsidR="00941440">
              <w:rPr>
                <w:sz w:val="24"/>
                <w:szCs w:val="24"/>
              </w:rPr>
              <w:t>8</w:t>
            </w:r>
            <w:r>
              <w:rPr>
                <w:sz w:val="24"/>
                <w:szCs w:val="24"/>
              </w:rPr>
              <w:t>***</w:t>
            </w:r>
          </w:p>
          <w:p w14:paraId="051320C5" w14:textId="2657F0CF" w:rsidR="006F7F33" w:rsidRDefault="006F7F33" w:rsidP="00345263">
            <w:pPr>
              <w:jc w:val="center"/>
              <w:rPr>
                <w:sz w:val="24"/>
                <w:szCs w:val="24"/>
              </w:rPr>
            </w:pPr>
            <w:r>
              <w:rPr>
                <w:sz w:val="24"/>
                <w:szCs w:val="24"/>
              </w:rPr>
              <w:t>(</w:t>
            </w:r>
            <w:r w:rsidR="00941440">
              <w:rPr>
                <w:sz w:val="24"/>
                <w:szCs w:val="24"/>
              </w:rPr>
              <w:t>14.916</w:t>
            </w:r>
            <w:r>
              <w:rPr>
                <w:sz w:val="24"/>
                <w:szCs w:val="24"/>
              </w:rPr>
              <w:t>)</w:t>
            </w:r>
          </w:p>
        </w:tc>
        <w:tc>
          <w:tcPr>
            <w:tcW w:w="2338" w:type="dxa"/>
            <w:tcBorders>
              <w:top w:val="double" w:sz="4" w:space="0" w:color="auto"/>
            </w:tcBorders>
          </w:tcPr>
          <w:p w14:paraId="218BCD66" w14:textId="77777777" w:rsidR="00AA494B" w:rsidRDefault="00C523D8" w:rsidP="00345263">
            <w:pPr>
              <w:jc w:val="center"/>
              <w:rPr>
                <w:sz w:val="24"/>
                <w:szCs w:val="24"/>
              </w:rPr>
            </w:pPr>
            <w:r>
              <w:rPr>
                <w:sz w:val="24"/>
                <w:szCs w:val="24"/>
              </w:rPr>
              <w:t>0.016***</w:t>
            </w:r>
          </w:p>
          <w:p w14:paraId="7CDE2835" w14:textId="77777777" w:rsidR="00C523D8" w:rsidRDefault="00C523D8" w:rsidP="00345263">
            <w:pPr>
              <w:jc w:val="center"/>
              <w:rPr>
                <w:sz w:val="24"/>
                <w:szCs w:val="24"/>
              </w:rPr>
            </w:pPr>
            <w:r>
              <w:rPr>
                <w:sz w:val="24"/>
                <w:szCs w:val="24"/>
              </w:rPr>
              <w:t>(7.618)</w:t>
            </w:r>
          </w:p>
          <w:p w14:paraId="49DCDF7C" w14:textId="3BFDC50A" w:rsidR="004917E5" w:rsidRDefault="004917E5" w:rsidP="00345263">
            <w:pPr>
              <w:jc w:val="center"/>
              <w:rPr>
                <w:sz w:val="24"/>
                <w:szCs w:val="24"/>
              </w:rPr>
            </w:pPr>
          </w:p>
        </w:tc>
      </w:tr>
      <w:tr w:rsidR="00AA494B" w14:paraId="326CB79B" w14:textId="77777777" w:rsidTr="002D353D">
        <w:tc>
          <w:tcPr>
            <w:tcW w:w="2830" w:type="dxa"/>
          </w:tcPr>
          <w:p w14:paraId="1254A81C" w14:textId="000C79F9" w:rsidR="00AA494B" w:rsidRDefault="00AA494B" w:rsidP="00345263">
            <w:pPr>
              <w:jc w:val="center"/>
              <w:rPr>
                <w:sz w:val="24"/>
                <w:szCs w:val="24"/>
              </w:rPr>
            </w:pPr>
            <w:r>
              <w:rPr>
                <w:sz w:val="24"/>
                <w:szCs w:val="24"/>
              </w:rPr>
              <w:t>Government Bonds</w:t>
            </w:r>
            <w:r w:rsidR="00845344">
              <w:rPr>
                <w:sz w:val="24"/>
                <w:szCs w:val="24"/>
              </w:rPr>
              <w:t xml:space="preserve"> </w:t>
            </w:r>
            <w:r w:rsidR="00845344">
              <w:rPr>
                <w:sz w:val="24"/>
                <w:szCs w:val="24"/>
              </w:rPr>
              <w:t>(%)</w:t>
            </w:r>
          </w:p>
        </w:tc>
        <w:tc>
          <w:tcPr>
            <w:tcW w:w="1844" w:type="dxa"/>
          </w:tcPr>
          <w:p w14:paraId="48CE1744" w14:textId="029C95B5" w:rsidR="00AA494B" w:rsidRDefault="00AA494B" w:rsidP="00AA494B">
            <w:pPr>
              <w:jc w:val="center"/>
              <w:rPr>
                <w:sz w:val="24"/>
                <w:szCs w:val="24"/>
              </w:rPr>
            </w:pPr>
            <w:r>
              <w:rPr>
                <w:sz w:val="24"/>
                <w:szCs w:val="24"/>
              </w:rPr>
              <w:t>-0.0085***</w:t>
            </w:r>
          </w:p>
          <w:p w14:paraId="54C20240" w14:textId="2E75EEAD" w:rsidR="00AA494B" w:rsidRDefault="00AA494B" w:rsidP="00AA494B">
            <w:pPr>
              <w:jc w:val="center"/>
              <w:rPr>
                <w:sz w:val="24"/>
                <w:szCs w:val="24"/>
              </w:rPr>
            </w:pPr>
            <w:r>
              <w:rPr>
                <w:sz w:val="24"/>
                <w:szCs w:val="24"/>
              </w:rPr>
              <w:t>(</w:t>
            </w:r>
            <w:r>
              <w:rPr>
                <w:sz w:val="24"/>
                <w:szCs w:val="24"/>
              </w:rPr>
              <w:t>-3.06</w:t>
            </w:r>
            <w:r w:rsidR="00FA437A">
              <w:rPr>
                <w:sz w:val="24"/>
                <w:szCs w:val="24"/>
              </w:rPr>
              <w:t>3</w:t>
            </w:r>
            <w:r>
              <w:rPr>
                <w:sz w:val="24"/>
                <w:szCs w:val="24"/>
              </w:rPr>
              <w:t>)</w:t>
            </w:r>
          </w:p>
        </w:tc>
        <w:tc>
          <w:tcPr>
            <w:tcW w:w="2338" w:type="dxa"/>
          </w:tcPr>
          <w:p w14:paraId="67AEA842" w14:textId="0F1D4E98" w:rsidR="00AA494B" w:rsidRDefault="006F7F33" w:rsidP="00345263">
            <w:pPr>
              <w:jc w:val="center"/>
              <w:rPr>
                <w:sz w:val="24"/>
                <w:szCs w:val="24"/>
              </w:rPr>
            </w:pPr>
            <w:r>
              <w:rPr>
                <w:sz w:val="24"/>
                <w:szCs w:val="24"/>
              </w:rPr>
              <w:t>-0.0</w:t>
            </w:r>
            <w:r w:rsidR="00941440">
              <w:rPr>
                <w:sz w:val="24"/>
                <w:szCs w:val="24"/>
              </w:rPr>
              <w:t>10</w:t>
            </w:r>
            <w:r>
              <w:rPr>
                <w:sz w:val="24"/>
                <w:szCs w:val="24"/>
              </w:rPr>
              <w:t>***</w:t>
            </w:r>
          </w:p>
          <w:p w14:paraId="31DD476A" w14:textId="2C1CEF51" w:rsidR="006F7F33" w:rsidRDefault="006F7F33" w:rsidP="00345263">
            <w:pPr>
              <w:jc w:val="center"/>
              <w:rPr>
                <w:sz w:val="24"/>
                <w:szCs w:val="24"/>
              </w:rPr>
            </w:pPr>
            <w:r>
              <w:rPr>
                <w:sz w:val="24"/>
                <w:szCs w:val="24"/>
              </w:rPr>
              <w:t>(-</w:t>
            </w:r>
            <w:r w:rsidR="00941440">
              <w:rPr>
                <w:sz w:val="24"/>
                <w:szCs w:val="24"/>
              </w:rPr>
              <w:t>4.185</w:t>
            </w:r>
            <w:r>
              <w:rPr>
                <w:sz w:val="24"/>
                <w:szCs w:val="24"/>
              </w:rPr>
              <w:t>)</w:t>
            </w:r>
          </w:p>
        </w:tc>
        <w:tc>
          <w:tcPr>
            <w:tcW w:w="2338" w:type="dxa"/>
          </w:tcPr>
          <w:p w14:paraId="2F9CA317" w14:textId="77777777" w:rsidR="00AA494B" w:rsidRDefault="00C523D8" w:rsidP="00345263">
            <w:pPr>
              <w:jc w:val="center"/>
              <w:rPr>
                <w:sz w:val="24"/>
                <w:szCs w:val="24"/>
              </w:rPr>
            </w:pPr>
            <w:r>
              <w:rPr>
                <w:sz w:val="24"/>
                <w:szCs w:val="24"/>
              </w:rPr>
              <w:t>-0.0091***</w:t>
            </w:r>
          </w:p>
          <w:p w14:paraId="7458651B" w14:textId="77777777" w:rsidR="00C523D8" w:rsidRDefault="00C523D8" w:rsidP="00345263">
            <w:pPr>
              <w:jc w:val="center"/>
              <w:rPr>
                <w:sz w:val="24"/>
                <w:szCs w:val="24"/>
              </w:rPr>
            </w:pPr>
            <w:r>
              <w:rPr>
                <w:sz w:val="24"/>
                <w:szCs w:val="24"/>
              </w:rPr>
              <w:t>(-4.035)</w:t>
            </w:r>
          </w:p>
          <w:p w14:paraId="11097225" w14:textId="6E8D1EFA" w:rsidR="004917E5" w:rsidRDefault="004917E5" w:rsidP="00345263">
            <w:pPr>
              <w:jc w:val="center"/>
              <w:rPr>
                <w:sz w:val="24"/>
                <w:szCs w:val="24"/>
              </w:rPr>
            </w:pPr>
          </w:p>
        </w:tc>
      </w:tr>
      <w:tr w:rsidR="00AA494B" w14:paraId="4106244D" w14:textId="77777777" w:rsidTr="002D353D">
        <w:tc>
          <w:tcPr>
            <w:tcW w:w="2830" w:type="dxa"/>
          </w:tcPr>
          <w:p w14:paraId="0FCC77B3" w14:textId="0016DE70" w:rsidR="00AA494B" w:rsidRDefault="00AA494B" w:rsidP="00345263">
            <w:pPr>
              <w:jc w:val="center"/>
              <w:rPr>
                <w:sz w:val="24"/>
                <w:szCs w:val="24"/>
              </w:rPr>
            </w:pPr>
            <w:r>
              <w:rPr>
                <w:sz w:val="24"/>
                <w:szCs w:val="24"/>
              </w:rPr>
              <w:t>Corporate Bonds</w:t>
            </w:r>
            <w:r w:rsidR="00845344">
              <w:rPr>
                <w:sz w:val="24"/>
                <w:szCs w:val="24"/>
              </w:rPr>
              <w:t xml:space="preserve"> </w:t>
            </w:r>
            <w:r w:rsidR="00845344">
              <w:rPr>
                <w:sz w:val="24"/>
                <w:szCs w:val="24"/>
              </w:rPr>
              <w:t>(%)</w:t>
            </w:r>
          </w:p>
        </w:tc>
        <w:tc>
          <w:tcPr>
            <w:tcW w:w="1844" w:type="dxa"/>
          </w:tcPr>
          <w:p w14:paraId="56F5809C" w14:textId="63CF7658" w:rsidR="00AA494B" w:rsidRDefault="00AA494B" w:rsidP="00AA494B">
            <w:pPr>
              <w:jc w:val="center"/>
              <w:rPr>
                <w:sz w:val="24"/>
                <w:szCs w:val="24"/>
              </w:rPr>
            </w:pPr>
            <w:r>
              <w:rPr>
                <w:sz w:val="24"/>
                <w:szCs w:val="24"/>
              </w:rPr>
              <w:t>-0.0090***</w:t>
            </w:r>
          </w:p>
          <w:p w14:paraId="3218BEF5" w14:textId="64C681FF" w:rsidR="00AA494B" w:rsidRDefault="00AA494B" w:rsidP="00AA494B">
            <w:pPr>
              <w:jc w:val="center"/>
              <w:rPr>
                <w:sz w:val="24"/>
                <w:szCs w:val="24"/>
              </w:rPr>
            </w:pPr>
            <w:r>
              <w:rPr>
                <w:sz w:val="24"/>
                <w:szCs w:val="24"/>
              </w:rPr>
              <w:t>(</w:t>
            </w:r>
            <w:r>
              <w:rPr>
                <w:sz w:val="24"/>
                <w:szCs w:val="24"/>
              </w:rPr>
              <w:t>-3.58</w:t>
            </w:r>
            <w:r w:rsidR="00FA437A">
              <w:rPr>
                <w:sz w:val="24"/>
                <w:szCs w:val="24"/>
              </w:rPr>
              <w:t>2</w:t>
            </w:r>
            <w:r>
              <w:rPr>
                <w:sz w:val="24"/>
                <w:szCs w:val="24"/>
              </w:rPr>
              <w:t>)</w:t>
            </w:r>
          </w:p>
        </w:tc>
        <w:tc>
          <w:tcPr>
            <w:tcW w:w="2338" w:type="dxa"/>
          </w:tcPr>
          <w:p w14:paraId="35C44F09" w14:textId="7759C417" w:rsidR="00AA494B" w:rsidRDefault="006F7F33" w:rsidP="00345263">
            <w:pPr>
              <w:jc w:val="center"/>
              <w:rPr>
                <w:sz w:val="24"/>
                <w:szCs w:val="24"/>
              </w:rPr>
            </w:pPr>
            <w:r>
              <w:rPr>
                <w:sz w:val="24"/>
                <w:szCs w:val="24"/>
              </w:rPr>
              <w:t>-0.00</w:t>
            </w:r>
            <w:r w:rsidR="00941440">
              <w:rPr>
                <w:sz w:val="24"/>
                <w:szCs w:val="24"/>
              </w:rPr>
              <w:t>9</w:t>
            </w:r>
            <w:r>
              <w:rPr>
                <w:sz w:val="24"/>
                <w:szCs w:val="24"/>
              </w:rPr>
              <w:t>3***</w:t>
            </w:r>
          </w:p>
          <w:p w14:paraId="7A6287EE" w14:textId="7600A6FC" w:rsidR="006F7F33" w:rsidRDefault="006F7F33" w:rsidP="00345263">
            <w:pPr>
              <w:jc w:val="center"/>
              <w:rPr>
                <w:sz w:val="24"/>
                <w:szCs w:val="24"/>
              </w:rPr>
            </w:pPr>
            <w:r>
              <w:rPr>
                <w:sz w:val="24"/>
                <w:szCs w:val="24"/>
              </w:rPr>
              <w:t>(-</w:t>
            </w:r>
            <w:r w:rsidR="00941440">
              <w:rPr>
                <w:sz w:val="24"/>
                <w:szCs w:val="24"/>
              </w:rPr>
              <w:t>3.152</w:t>
            </w:r>
            <w:r>
              <w:rPr>
                <w:sz w:val="24"/>
                <w:szCs w:val="24"/>
              </w:rPr>
              <w:t>)</w:t>
            </w:r>
          </w:p>
        </w:tc>
        <w:tc>
          <w:tcPr>
            <w:tcW w:w="2338" w:type="dxa"/>
          </w:tcPr>
          <w:p w14:paraId="4DCC2B6B" w14:textId="77777777" w:rsidR="00AA494B" w:rsidRDefault="00C523D8" w:rsidP="00345263">
            <w:pPr>
              <w:jc w:val="center"/>
              <w:rPr>
                <w:sz w:val="24"/>
                <w:szCs w:val="24"/>
              </w:rPr>
            </w:pPr>
            <w:r>
              <w:rPr>
                <w:sz w:val="24"/>
                <w:szCs w:val="24"/>
              </w:rPr>
              <w:t>-0.0121***</w:t>
            </w:r>
          </w:p>
          <w:p w14:paraId="6E3B76A1" w14:textId="77777777" w:rsidR="00C523D8" w:rsidRDefault="00C523D8" w:rsidP="00345263">
            <w:pPr>
              <w:jc w:val="center"/>
              <w:rPr>
                <w:sz w:val="24"/>
                <w:szCs w:val="24"/>
              </w:rPr>
            </w:pPr>
            <w:r>
              <w:rPr>
                <w:sz w:val="24"/>
                <w:szCs w:val="24"/>
              </w:rPr>
              <w:t>(-4.422)</w:t>
            </w:r>
          </w:p>
          <w:p w14:paraId="3105A7E1" w14:textId="2E0DF17D" w:rsidR="004917E5" w:rsidRDefault="004917E5" w:rsidP="00345263">
            <w:pPr>
              <w:jc w:val="center"/>
              <w:rPr>
                <w:sz w:val="24"/>
                <w:szCs w:val="24"/>
              </w:rPr>
            </w:pPr>
          </w:p>
        </w:tc>
      </w:tr>
      <w:tr w:rsidR="00AA494B" w14:paraId="43CA0C55" w14:textId="77777777" w:rsidTr="002D353D">
        <w:tc>
          <w:tcPr>
            <w:tcW w:w="2830" w:type="dxa"/>
          </w:tcPr>
          <w:p w14:paraId="23AB7557" w14:textId="60B9F1F9" w:rsidR="00AA494B" w:rsidRDefault="00941440" w:rsidP="00345263">
            <w:pPr>
              <w:jc w:val="center"/>
              <w:rPr>
                <w:sz w:val="24"/>
                <w:szCs w:val="24"/>
              </w:rPr>
            </w:pPr>
            <w:r>
              <w:rPr>
                <w:sz w:val="24"/>
                <w:szCs w:val="24"/>
              </w:rPr>
              <w:t xml:space="preserve">Log </w:t>
            </w:r>
            <w:r w:rsidR="006F7F33">
              <w:rPr>
                <w:sz w:val="24"/>
                <w:szCs w:val="24"/>
              </w:rPr>
              <w:t xml:space="preserve">Total Net Assets </w:t>
            </w:r>
          </w:p>
        </w:tc>
        <w:tc>
          <w:tcPr>
            <w:tcW w:w="1844" w:type="dxa"/>
          </w:tcPr>
          <w:p w14:paraId="03C15C82" w14:textId="77777777" w:rsidR="00AA494B" w:rsidRDefault="00AA494B" w:rsidP="00345263">
            <w:pPr>
              <w:jc w:val="center"/>
              <w:rPr>
                <w:sz w:val="24"/>
                <w:szCs w:val="24"/>
              </w:rPr>
            </w:pPr>
          </w:p>
        </w:tc>
        <w:tc>
          <w:tcPr>
            <w:tcW w:w="2338" w:type="dxa"/>
          </w:tcPr>
          <w:p w14:paraId="14961781" w14:textId="02878409" w:rsidR="00AA494B" w:rsidRDefault="006F7F33" w:rsidP="00345263">
            <w:pPr>
              <w:jc w:val="center"/>
              <w:rPr>
                <w:sz w:val="24"/>
                <w:szCs w:val="24"/>
              </w:rPr>
            </w:pPr>
            <w:r>
              <w:rPr>
                <w:sz w:val="24"/>
                <w:szCs w:val="24"/>
              </w:rPr>
              <w:t>-0.</w:t>
            </w:r>
            <w:r w:rsidR="00941440">
              <w:rPr>
                <w:sz w:val="24"/>
                <w:szCs w:val="24"/>
              </w:rPr>
              <w:t>135***</w:t>
            </w:r>
          </w:p>
          <w:p w14:paraId="2C0688CC" w14:textId="4270E678" w:rsidR="006F7F33" w:rsidRDefault="006F7F33" w:rsidP="00345263">
            <w:pPr>
              <w:jc w:val="center"/>
              <w:rPr>
                <w:sz w:val="24"/>
                <w:szCs w:val="24"/>
              </w:rPr>
            </w:pPr>
            <w:r>
              <w:rPr>
                <w:sz w:val="24"/>
                <w:szCs w:val="24"/>
              </w:rPr>
              <w:t>(-</w:t>
            </w:r>
            <w:r w:rsidR="00941440">
              <w:rPr>
                <w:sz w:val="24"/>
                <w:szCs w:val="24"/>
              </w:rPr>
              <w:t>2.724</w:t>
            </w:r>
            <w:r>
              <w:rPr>
                <w:sz w:val="24"/>
                <w:szCs w:val="24"/>
              </w:rPr>
              <w:t>)</w:t>
            </w:r>
          </w:p>
        </w:tc>
        <w:tc>
          <w:tcPr>
            <w:tcW w:w="2338" w:type="dxa"/>
          </w:tcPr>
          <w:p w14:paraId="10FF4F29" w14:textId="77777777" w:rsidR="00AA494B" w:rsidRDefault="00C523D8" w:rsidP="00345263">
            <w:pPr>
              <w:jc w:val="center"/>
              <w:rPr>
                <w:sz w:val="24"/>
                <w:szCs w:val="24"/>
              </w:rPr>
            </w:pPr>
            <w:r>
              <w:rPr>
                <w:sz w:val="24"/>
                <w:szCs w:val="24"/>
              </w:rPr>
              <w:t>-0.111**</w:t>
            </w:r>
          </w:p>
          <w:p w14:paraId="742F40B4" w14:textId="77777777" w:rsidR="00C523D8" w:rsidRDefault="00C523D8" w:rsidP="00345263">
            <w:pPr>
              <w:jc w:val="center"/>
              <w:rPr>
                <w:sz w:val="24"/>
                <w:szCs w:val="24"/>
              </w:rPr>
            </w:pPr>
            <w:r>
              <w:rPr>
                <w:sz w:val="24"/>
                <w:szCs w:val="24"/>
              </w:rPr>
              <w:t>(-2.429)</w:t>
            </w:r>
          </w:p>
          <w:p w14:paraId="11BABBF9" w14:textId="5E6B142C" w:rsidR="004917E5" w:rsidRDefault="004917E5" w:rsidP="00345263">
            <w:pPr>
              <w:jc w:val="center"/>
              <w:rPr>
                <w:sz w:val="24"/>
                <w:szCs w:val="24"/>
              </w:rPr>
            </w:pPr>
          </w:p>
        </w:tc>
      </w:tr>
      <w:tr w:rsidR="00AA494B" w14:paraId="5BB67D25" w14:textId="77777777" w:rsidTr="002D353D">
        <w:tc>
          <w:tcPr>
            <w:tcW w:w="2830" w:type="dxa"/>
          </w:tcPr>
          <w:p w14:paraId="7F1EEE9A" w14:textId="3C2E18EE" w:rsidR="00AA494B" w:rsidRDefault="006F7F33" w:rsidP="00345263">
            <w:pPr>
              <w:jc w:val="center"/>
              <w:rPr>
                <w:sz w:val="24"/>
                <w:szCs w:val="24"/>
              </w:rPr>
            </w:pPr>
            <w:r>
              <w:rPr>
                <w:sz w:val="24"/>
                <w:szCs w:val="24"/>
              </w:rPr>
              <w:t>Retail Fund Dummy</w:t>
            </w:r>
          </w:p>
        </w:tc>
        <w:tc>
          <w:tcPr>
            <w:tcW w:w="1844" w:type="dxa"/>
          </w:tcPr>
          <w:p w14:paraId="60B48F9E" w14:textId="77777777" w:rsidR="00AA494B" w:rsidRDefault="00AA494B" w:rsidP="00345263">
            <w:pPr>
              <w:jc w:val="center"/>
              <w:rPr>
                <w:sz w:val="24"/>
                <w:szCs w:val="24"/>
              </w:rPr>
            </w:pPr>
          </w:p>
        </w:tc>
        <w:tc>
          <w:tcPr>
            <w:tcW w:w="2338" w:type="dxa"/>
          </w:tcPr>
          <w:p w14:paraId="476E2F92" w14:textId="789FADA9" w:rsidR="00AA494B" w:rsidRDefault="006F7F33" w:rsidP="00345263">
            <w:pPr>
              <w:jc w:val="center"/>
              <w:rPr>
                <w:sz w:val="24"/>
                <w:szCs w:val="24"/>
              </w:rPr>
            </w:pPr>
            <w:r>
              <w:rPr>
                <w:sz w:val="24"/>
                <w:szCs w:val="24"/>
              </w:rPr>
              <w:t>-0.</w:t>
            </w:r>
            <w:r w:rsidR="00941440">
              <w:rPr>
                <w:sz w:val="24"/>
                <w:szCs w:val="24"/>
              </w:rPr>
              <w:t>040</w:t>
            </w:r>
          </w:p>
          <w:p w14:paraId="09F67C0A" w14:textId="4CAF7AC9" w:rsidR="006F7F33" w:rsidRDefault="006F7F33" w:rsidP="00345263">
            <w:pPr>
              <w:jc w:val="center"/>
              <w:rPr>
                <w:sz w:val="24"/>
                <w:szCs w:val="24"/>
              </w:rPr>
            </w:pPr>
            <w:r>
              <w:rPr>
                <w:sz w:val="24"/>
                <w:szCs w:val="24"/>
              </w:rPr>
              <w:t>(-</w:t>
            </w:r>
            <w:r w:rsidR="00941440">
              <w:rPr>
                <w:sz w:val="24"/>
                <w:szCs w:val="24"/>
              </w:rPr>
              <w:t>0.444</w:t>
            </w:r>
            <w:r>
              <w:rPr>
                <w:sz w:val="24"/>
                <w:szCs w:val="24"/>
              </w:rPr>
              <w:t>)</w:t>
            </w:r>
          </w:p>
        </w:tc>
        <w:tc>
          <w:tcPr>
            <w:tcW w:w="2338" w:type="dxa"/>
          </w:tcPr>
          <w:p w14:paraId="3CC629D5" w14:textId="77777777" w:rsidR="00AA494B" w:rsidRDefault="00C523D8" w:rsidP="00345263">
            <w:pPr>
              <w:jc w:val="center"/>
              <w:rPr>
                <w:sz w:val="24"/>
                <w:szCs w:val="24"/>
              </w:rPr>
            </w:pPr>
            <w:r>
              <w:rPr>
                <w:sz w:val="24"/>
                <w:szCs w:val="24"/>
              </w:rPr>
              <w:t>-0.096</w:t>
            </w:r>
          </w:p>
          <w:p w14:paraId="42BED08D" w14:textId="77777777" w:rsidR="00C523D8" w:rsidRDefault="00C523D8" w:rsidP="00345263">
            <w:pPr>
              <w:jc w:val="center"/>
              <w:rPr>
                <w:sz w:val="24"/>
                <w:szCs w:val="24"/>
              </w:rPr>
            </w:pPr>
            <w:r>
              <w:rPr>
                <w:sz w:val="24"/>
                <w:szCs w:val="24"/>
              </w:rPr>
              <w:t>(-1.157)</w:t>
            </w:r>
          </w:p>
          <w:p w14:paraId="500144BA" w14:textId="5034D90C" w:rsidR="004917E5" w:rsidRDefault="004917E5" w:rsidP="00345263">
            <w:pPr>
              <w:jc w:val="center"/>
              <w:rPr>
                <w:sz w:val="24"/>
                <w:szCs w:val="24"/>
              </w:rPr>
            </w:pPr>
          </w:p>
        </w:tc>
      </w:tr>
      <w:tr w:rsidR="00AA494B" w14:paraId="275B1110" w14:textId="77777777" w:rsidTr="002D353D">
        <w:tc>
          <w:tcPr>
            <w:tcW w:w="2830" w:type="dxa"/>
          </w:tcPr>
          <w:p w14:paraId="2B4BB5DD" w14:textId="16385546" w:rsidR="00AA494B" w:rsidRDefault="006F7F33" w:rsidP="00345263">
            <w:pPr>
              <w:jc w:val="center"/>
              <w:rPr>
                <w:sz w:val="24"/>
                <w:szCs w:val="24"/>
              </w:rPr>
            </w:pPr>
            <w:r>
              <w:rPr>
                <w:sz w:val="24"/>
                <w:szCs w:val="24"/>
              </w:rPr>
              <w:t>Index Fund Dummy</w:t>
            </w:r>
          </w:p>
        </w:tc>
        <w:tc>
          <w:tcPr>
            <w:tcW w:w="1844" w:type="dxa"/>
          </w:tcPr>
          <w:p w14:paraId="128CA45F" w14:textId="77777777" w:rsidR="00AA494B" w:rsidRDefault="00AA494B" w:rsidP="00345263">
            <w:pPr>
              <w:jc w:val="center"/>
              <w:rPr>
                <w:sz w:val="24"/>
                <w:szCs w:val="24"/>
              </w:rPr>
            </w:pPr>
          </w:p>
        </w:tc>
        <w:tc>
          <w:tcPr>
            <w:tcW w:w="2338" w:type="dxa"/>
          </w:tcPr>
          <w:p w14:paraId="5E63FD85" w14:textId="77777777" w:rsidR="00AA494B" w:rsidRDefault="006F7F33" w:rsidP="00345263">
            <w:pPr>
              <w:jc w:val="center"/>
              <w:rPr>
                <w:sz w:val="24"/>
                <w:szCs w:val="24"/>
              </w:rPr>
            </w:pPr>
            <w:r>
              <w:rPr>
                <w:sz w:val="24"/>
                <w:szCs w:val="24"/>
              </w:rPr>
              <w:t>0.</w:t>
            </w:r>
            <w:r w:rsidR="00941440">
              <w:rPr>
                <w:sz w:val="24"/>
                <w:szCs w:val="24"/>
              </w:rPr>
              <w:t>045</w:t>
            </w:r>
          </w:p>
          <w:p w14:paraId="388A961F" w14:textId="54638B3E" w:rsidR="00941440" w:rsidRDefault="00941440" w:rsidP="00345263">
            <w:pPr>
              <w:jc w:val="center"/>
              <w:rPr>
                <w:sz w:val="24"/>
                <w:szCs w:val="24"/>
              </w:rPr>
            </w:pPr>
            <w:r>
              <w:rPr>
                <w:sz w:val="24"/>
                <w:szCs w:val="24"/>
              </w:rPr>
              <w:t>(0.398)</w:t>
            </w:r>
          </w:p>
        </w:tc>
        <w:tc>
          <w:tcPr>
            <w:tcW w:w="2338" w:type="dxa"/>
          </w:tcPr>
          <w:p w14:paraId="133E688B" w14:textId="77777777" w:rsidR="00AA494B" w:rsidRDefault="00C523D8" w:rsidP="00345263">
            <w:pPr>
              <w:jc w:val="center"/>
              <w:rPr>
                <w:sz w:val="24"/>
                <w:szCs w:val="24"/>
              </w:rPr>
            </w:pPr>
            <w:r>
              <w:rPr>
                <w:sz w:val="24"/>
                <w:szCs w:val="24"/>
              </w:rPr>
              <w:t>0.093</w:t>
            </w:r>
          </w:p>
          <w:p w14:paraId="7ADF4167" w14:textId="77777777" w:rsidR="00C523D8" w:rsidRDefault="00C523D8" w:rsidP="00345263">
            <w:pPr>
              <w:jc w:val="center"/>
              <w:rPr>
                <w:sz w:val="24"/>
                <w:szCs w:val="24"/>
              </w:rPr>
            </w:pPr>
            <w:r>
              <w:rPr>
                <w:sz w:val="24"/>
                <w:szCs w:val="24"/>
              </w:rPr>
              <w:t>(0.898)</w:t>
            </w:r>
          </w:p>
          <w:p w14:paraId="37ADF349" w14:textId="4FE8ACD0" w:rsidR="004917E5" w:rsidRDefault="004917E5" w:rsidP="00345263">
            <w:pPr>
              <w:jc w:val="center"/>
              <w:rPr>
                <w:sz w:val="24"/>
                <w:szCs w:val="24"/>
              </w:rPr>
            </w:pPr>
          </w:p>
        </w:tc>
      </w:tr>
      <w:tr w:rsidR="00941440" w14:paraId="770FD66E" w14:textId="77777777" w:rsidTr="002D353D">
        <w:tc>
          <w:tcPr>
            <w:tcW w:w="2830" w:type="dxa"/>
          </w:tcPr>
          <w:p w14:paraId="6DAD427C" w14:textId="2FCC122B" w:rsidR="00941440" w:rsidRDefault="00941440" w:rsidP="00345263">
            <w:pPr>
              <w:jc w:val="center"/>
              <w:rPr>
                <w:sz w:val="24"/>
                <w:szCs w:val="24"/>
              </w:rPr>
            </w:pPr>
            <w:r>
              <w:rPr>
                <w:sz w:val="24"/>
                <w:szCs w:val="24"/>
              </w:rPr>
              <w:t>ETF Dummy</w:t>
            </w:r>
          </w:p>
        </w:tc>
        <w:tc>
          <w:tcPr>
            <w:tcW w:w="1844" w:type="dxa"/>
          </w:tcPr>
          <w:p w14:paraId="2ADC8EBA" w14:textId="77777777" w:rsidR="00941440" w:rsidRDefault="00941440" w:rsidP="00345263">
            <w:pPr>
              <w:jc w:val="center"/>
              <w:rPr>
                <w:sz w:val="24"/>
                <w:szCs w:val="24"/>
              </w:rPr>
            </w:pPr>
          </w:p>
        </w:tc>
        <w:tc>
          <w:tcPr>
            <w:tcW w:w="2338" w:type="dxa"/>
          </w:tcPr>
          <w:p w14:paraId="367EBFBE" w14:textId="2584CCFC" w:rsidR="00941440" w:rsidRDefault="00941440" w:rsidP="00345263">
            <w:pPr>
              <w:jc w:val="center"/>
              <w:rPr>
                <w:sz w:val="24"/>
                <w:szCs w:val="24"/>
              </w:rPr>
            </w:pPr>
            <w:r>
              <w:rPr>
                <w:sz w:val="24"/>
                <w:szCs w:val="24"/>
              </w:rPr>
              <w:t>0.271**</w:t>
            </w:r>
          </w:p>
          <w:p w14:paraId="6A5C3CD3" w14:textId="29CE1C56" w:rsidR="00941440" w:rsidRDefault="00941440" w:rsidP="00345263">
            <w:pPr>
              <w:jc w:val="center"/>
              <w:rPr>
                <w:sz w:val="24"/>
                <w:szCs w:val="24"/>
              </w:rPr>
            </w:pPr>
            <w:r>
              <w:rPr>
                <w:sz w:val="24"/>
                <w:szCs w:val="24"/>
              </w:rPr>
              <w:t>(2.139)</w:t>
            </w:r>
          </w:p>
        </w:tc>
        <w:tc>
          <w:tcPr>
            <w:tcW w:w="2338" w:type="dxa"/>
          </w:tcPr>
          <w:p w14:paraId="4BE36FB1" w14:textId="06A51FB8" w:rsidR="00941440" w:rsidRDefault="00C523D8" w:rsidP="00345263">
            <w:pPr>
              <w:jc w:val="center"/>
              <w:rPr>
                <w:sz w:val="24"/>
                <w:szCs w:val="24"/>
              </w:rPr>
            </w:pPr>
            <w:r>
              <w:rPr>
                <w:sz w:val="24"/>
                <w:szCs w:val="24"/>
              </w:rPr>
              <w:t>0.240**</w:t>
            </w:r>
          </w:p>
          <w:p w14:paraId="753A83F6" w14:textId="77777777" w:rsidR="00C523D8" w:rsidRDefault="00C523D8" w:rsidP="00345263">
            <w:pPr>
              <w:jc w:val="center"/>
              <w:rPr>
                <w:sz w:val="24"/>
                <w:szCs w:val="24"/>
              </w:rPr>
            </w:pPr>
            <w:r>
              <w:rPr>
                <w:sz w:val="24"/>
                <w:szCs w:val="24"/>
              </w:rPr>
              <w:t>(2.053)</w:t>
            </w:r>
          </w:p>
          <w:p w14:paraId="6F9660E3" w14:textId="2D7473E9" w:rsidR="004917E5" w:rsidRDefault="004917E5" w:rsidP="00345263">
            <w:pPr>
              <w:jc w:val="center"/>
              <w:rPr>
                <w:sz w:val="24"/>
                <w:szCs w:val="24"/>
              </w:rPr>
            </w:pPr>
          </w:p>
        </w:tc>
      </w:tr>
      <w:tr w:rsidR="00941440" w14:paraId="6D8A5490" w14:textId="77777777" w:rsidTr="002D353D">
        <w:tc>
          <w:tcPr>
            <w:tcW w:w="2830" w:type="dxa"/>
          </w:tcPr>
          <w:p w14:paraId="6841BAA9" w14:textId="3407AD4F" w:rsidR="00941440" w:rsidRDefault="00941440" w:rsidP="00345263">
            <w:pPr>
              <w:jc w:val="center"/>
              <w:rPr>
                <w:sz w:val="24"/>
                <w:szCs w:val="24"/>
              </w:rPr>
            </w:pPr>
            <w:r>
              <w:rPr>
                <w:sz w:val="24"/>
                <w:szCs w:val="24"/>
              </w:rPr>
              <w:t>Concentration Index</w:t>
            </w:r>
          </w:p>
        </w:tc>
        <w:tc>
          <w:tcPr>
            <w:tcW w:w="1844" w:type="dxa"/>
          </w:tcPr>
          <w:p w14:paraId="3CA2C9E0" w14:textId="77777777" w:rsidR="00941440" w:rsidRDefault="00941440" w:rsidP="00345263">
            <w:pPr>
              <w:jc w:val="center"/>
              <w:rPr>
                <w:sz w:val="24"/>
                <w:szCs w:val="24"/>
              </w:rPr>
            </w:pPr>
          </w:p>
        </w:tc>
        <w:tc>
          <w:tcPr>
            <w:tcW w:w="2338" w:type="dxa"/>
          </w:tcPr>
          <w:p w14:paraId="5547C18F" w14:textId="77777777" w:rsidR="00941440" w:rsidRDefault="00941440" w:rsidP="00345263">
            <w:pPr>
              <w:jc w:val="center"/>
              <w:rPr>
                <w:sz w:val="24"/>
                <w:szCs w:val="24"/>
              </w:rPr>
            </w:pPr>
            <w:r>
              <w:rPr>
                <w:sz w:val="24"/>
                <w:szCs w:val="24"/>
              </w:rPr>
              <w:t>0.000</w:t>
            </w:r>
          </w:p>
          <w:p w14:paraId="4C27601B" w14:textId="3843F4C3" w:rsidR="00941440" w:rsidRDefault="00941440" w:rsidP="00345263">
            <w:pPr>
              <w:jc w:val="center"/>
              <w:rPr>
                <w:sz w:val="24"/>
                <w:szCs w:val="24"/>
              </w:rPr>
            </w:pPr>
            <w:r>
              <w:rPr>
                <w:sz w:val="24"/>
                <w:szCs w:val="24"/>
              </w:rPr>
              <w:t>(0.338)</w:t>
            </w:r>
          </w:p>
        </w:tc>
        <w:tc>
          <w:tcPr>
            <w:tcW w:w="2338" w:type="dxa"/>
          </w:tcPr>
          <w:p w14:paraId="0E2DB00C" w14:textId="77777777" w:rsidR="00941440" w:rsidRDefault="00C523D8" w:rsidP="00345263">
            <w:pPr>
              <w:jc w:val="center"/>
              <w:rPr>
                <w:sz w:val="24"/>
                <w:szCs w:val="24"/>
              </w:rPr>
            </w:pPr>
            <w:r>
              <w:rPr>
                <w:sz w:val="24"/>
                <w:szCs w:val="24"/>
              </w:rPr>
              <w:t>0.000</w:t>
            </w:r>
          </w:p>
          <w:p w14:paraId="5BD00CB7" w14:textId="77777777" w:rsidR="00C523D8" w:rsidRDefault="00C523D8" w:rsidP="00345263">
            <w:pPr>
              <w:jc w:val="center"/>
              <w:rPr>
                <w:sz w:val="24"/>
                <w:szCs w:val="24"/>
              </w:rPr>
            </w:pPr>
            <w:r>
              <w:rPr>
                <w:sz w:val="24"/>
                <w:szCs w:val="24"/>
              </w:rPr>
              <w:t>(0.361)</w:t>
            </w:r>
          </w:p>
          <w:p w14:paraId="1D9EBB76" w14:textId="75E17F15" w:rsidR="004917E5" w:rsidRDefault="004917E5" w:rsidP="00345263">
            <w:pPr>
              <w:jc w:val="center"/>
              <w:rPr>
                <w:sz w:val="24"/>
                <w:szCs w:val="24"/>
              </w:rPr>
            </w:pPr>
          </w:p>
        </w:tc>
      </w:tr>
      <w:tr w:rsidR="00845344" w14:paraId="6A3D3B91" w14:textId="77777777" w:rsidTr="002D353D">
        <w:tc>
          <w:tcPr>
            <w:tcW w:w="2830" w:type="dxa"/>
          </w:tcPr>
          <w:p w14:paraId="39588EDC" w14:textId="4ECCD37E" w:rsidR="00845344" w:rsidRDefault="00845344" w:rsidP="00345263">
            <w:pPr>
              <w:jc w:val="center"/>
              <w:rPr>
                <w:sz w:val="24"/>
                <w:szCs w:val="24"/>
              </w:rPr>
            </w:pPr>
            <w:r>
              <w:rPr>
                <w:sz w:val="24"/>
                <w:szCs w:val="24"/>
              </w:rPr>
              <w:t>Mean Return (%)</w:t>
            </w:r>
          </w:p>
        </w:tc>
        <w:tc>
          <w:tcPr>
            <w:tcW w:w="1844" w:type="dxa"/>
          </w:tcPr>
          <w:p w14:paraId="156D5675" w14:textId="77777777" w:rsidR="00845344" w:rsidRDefault="00845344" w:rsidP="00345263">
            <w:pPr>
              <w:jc w:val="center"/>
              <w:rPr>
                <w:sz w:val="24"/>
                <w:szCs w:val="24"/>
              </w:rPr>
            </w:pPr>
          </w:p>
        </w:tc>
        <w:tc>
          <w:tcPr>
            <w:tcW w:w="2338" w:type="dxa"/>
          </w:tcPr>
          <w:p w14:paraId="1E9A7363" w14:textId="77777777" w:rsidR="00845344" w:rsidRDefault="00845344" w:rsidP="00345263">
            <w:pPr>
              <w:jc w:val="center"/>
              <w:rPr>
                <w:sz w:val="24"/>
                <w:szCs w:val="24"/>
              </w:rPr>
            </w:pPr>
          </w:p>
        </w:tc>
        <w:tc>
          <w:tcPr>
            <w:tcW w:w="2338" w:type="dxa"/>
          </w:tcPr>
          <w:p w14:paraId="1FDD1D01" w14:textId="77777777" w:rsidR="00845344" w:rsidRDefault="00845344" w:rsidP="00345263">
            <w:pPr>
              <w:jc w:val="center"/>
              <w:rPr>
                <w:sz w:val="24"/>
                <w:szCs w:val="24"/>
              </w:rPr>
            </w:pPr>
            <w:r>
              <w:rPr>
                <w:sz w:val="24"/>
                <w:szCs w:val="24"/>
              </w:rPr>
              <w:t>1.473***</w:t>
            </w:r>
          </w:p>
          <w:p w14:paraId="193C73F8" w14:textId="77777777" w:rsidR="00845344" w:rsidRDefault="00845344" w:rsidP="00345263">
            <w:pPr>
              <w:jc w:val="center"/>
              <w:rPr>
                <w:sz w:val="24"/>
                <w:szCs w:val="24"/>
              </w:rPr>
            </w:pPr>
            <w:r>
              <w:rPr>
                <w:sz w:val="24"/>
                <w:szCs w:val="24"/>
              </w:rPr>
              <w:t>(10.954)</w:t>
            </w:r>
          </w:p>
          <w:p w14:paraId="26496F3D" w14:textId="009927BC" w:rsidR="004917E5" w:rsidRDefault="004917E5" w:rsidP="00345263">
            <w:pPr>
              <w:jc w:val="center"/>
              <w:rPr>
                <w:sz w:val="24"/>
                <w:szCs w:val="24"/>
              </w:rPr>
            </w:pPr>
          </w:p>
        </w:tc>
      </w:tr>
      <w:tr w:rsidR="00AA494B" w14:paraId="6BE43FD4" w14:textId="77777777" w:rsidTr="002D353D">
        <w:tc>
          <w:tcPr>
            <w:tcW w:w="2830" w:type="dxa"/>
            <w:tcBorders>
              <w:bottom w:val="double" w:sz="4" w:space="0" w:color="auto"/>
            </w:tcBorders>
          </w:tcPr>
          <w:p w14:paraId="22A2D550" w14:textId="7B275915" w:rsidR="00AA494B" w:rsidRDefault="00AA494B" w:rsidP="00345263">
            <w:pPr>
              <w:jc w:val="center"/>
              <w:rPr>
                <w:sz w:val="24"/>
                <w:szCs w:val="24"/>
              </w:rPr>
            </w:pPr>
            <w:r>
              <w:rPr>
                <w:sz w:val="24"/>
                <w:szCs w:val="24"/>
              </w:rPr>
              <w:t>Constant</w:t>
            </w:r>
          </w:p>
        </w:tc>
        <w:tc>
          <w:tcPr>
            <w:tcW w:w="1844" w:type="dxa"/>
            <w:tcBorders>
              <w:bottom w:val="double" w:sz="4" w:space="0" w:color="auto"/>
            </w:tcBorders>
          </w:tcPr>
          <w:p w14:paraId="654BFDC8" w14:textId="08C6F90B" w:rsidR="00AA494B" w:rsidRDefault="00AA494B" w:rsidP="00345263">
            <w:pPr>
              <w:jc w:val="center"/>
              <w:rPr>
                <w:sz w:val="24"/>
                <w:szCs w:val="24"/>
              </w:rPr>
            </w:pPr>
            <w:r>
              <w:rPr>
                <w:sz w:val="24"/>
                <w:szCs w:val="24"/>
              </w:rPr>
              <w:t>1.9</w:t>
            </w:r>
            <w:r w:rsidR="00C523D8">
              <w:rPr>
                <w:sz w:val="24"/>
                <w:szCs w:val="24"/>
              </w:rPr>
              <w:t>76</w:t>
            </w:r>
            <w:r>
              <w:rPr>
                <w:sz w:val="24"/>
                <w:szCs w:val="24"/>
              </w:rPr>
              <w:t>***</w:t>
            </w:r>
          </w:p>
          <w:p w14:paraId="5BDE33B4" w14:textId="7A34B209" w:rsidR="00AA494B" w:rsidRDefault="00AA494B" w:rsidP="00345263">
            <w:pPr>
              <w:jc w:val="center"/>
              <w:rPr>
                <w:sz w:val="24"/>
                <w:szCs w:val="24"/>
              </w:rPr>
            </w:pPr>
            <w:r>
              <w:rPr>
                <w:sz w:val="24"/>
                <w:szCs w:val="24"/>
              </w:rPr>
              <w:t>(12.2</w:t>
            </w:r>
            <w:r w:rsidR="00C523D8">
              <w:rPr>
                <w:sz w:val="24"/>
                <w:szCs w:val="24"/>
              </w:rPr>
              <w:t>27</w:t>
            </w:r>
            <w:r>
              <w:rPr>
                <w:sz w:val="24"/>
                <w:szCs w:val="24"/>
              </w:rPr>
              <w:t>)</w:t>
            </w:r>
          </w:p>
        </w:tc>
        <w:tc>
          <w:tcPr>
            <w:tcW w:w="2338" w:type="dxa"/>
            <w:tcBorders>
              <w:bottom w:val="double" w:sz="4" w:space="0" w:color="auto"/>
            </w:tcBorders>
          </w:tcPr>
          <w:p w14:paraId="7F914AAC" w14:textId="77777777" w:rsidR="00AA494B" w:rsidRDefault="00C523D8" w:rsidP="00345263">
            <w:pPr>
              <w:jc w:val="center"/>
              <w:rPr>
                <w:sz w:val="24"/>
                <w:szCs w:val="24"/>
              </w:rPr>
            </w:pPr>
            <w:r>
              <w:rPr>
                <w:sz w:val="24"/>
                <w:szCs w:val="24"/>
              </w:rPr>
              <w:t>3.207***</w:t>
            </w:r>
          </w:p>
          <w:p w14:paraId="767271D4" w14:textId="4FB66125" w:rsidR="00C523D8" w:rsidRDefault="00C523D8" w:rsidP="00345263">
            <w:pPr>
              <w:jc w:val="center"/>
              <w:rPr>
                <w:sz w:val="24"/>
                <w:szCs w:val="24"/>
              </w:rPr>
            </w:pPr>
            <w:r>
              <w:rPr>
                <w:sz w:val="24"/>
                <w:szCs w:val="24"/>
              </w:rPr>
              <w:t>(6.349)</w:t>
            </w:r>
          </w:p>
        </w:tc>
        <w:tc>
          <w:tcPr>
            <w:tcW w:w="2338" w:type="dxa"/>
            <w:tcBorders>
              <w:bottom w:val="double" w:sz="4" w:space="0" w:color="auto"/>
            </w:tcBorders>
          </w:tcPr>
          <w:p w14:paraId="031DD180" w14:textId="77777777" w:rsidR="00AA494B" w:rsidRDefault="00C523D8" w:rsidP="00345263">
            <w:pPr>
              <w:jc w:val="center"/>
              <w:rPr>
                <w:sz w:val="24"/>
                <w:szCs w:val="24"/>
              </w:rPr>
            </w:pPr>
            <w:r>
              <w:rPr>
                <w:sz w:val="24"/>
                <w:szCs w:val="24"/>
              </w:rPr>
              <w:t>2.795***</w:t>
            </w:r>
          </w:p>
          <w:p w14:paraId="57957EDC" w14:textId="77777777" w:rsidR="00C523D8" w:rsidRDefault="00C523D8" w:rsidP="00345263">
            <w:pPr>
              <w:jc w:val="center"/>
              <w:rPr>
                <w:sz w:val="24"/>
                <w:szCs w:val="24"/>
              </w:rPr>
            </w:pPr>
            <w:r>
              <w:rPr>
                <w:sz w:val="24"/>
                <w:szCs w:val="24"/>
              </w:rPr>
              <w:t>(</w:t>
            </w:r>
            <w:r>
              <w:rPr>
                <w:sz w:val="24"/>
                <w:szCs w:val="24"/>
              </w:rPr>
              <w:t>5.974</w:t>
            </w:r>
            <w:r>
              <w:rPr>
                <w:sz w:val="24"/>
                <w:szCs w:val="24"/>
              </w:rPr>
              <w:t>)</w:t>
            </w:r>
          </w:p>
          <w:p w14:paraId="1F85D25F" w14:textId="3669D700" w:rsidR="002D353D" w:rsidRDefault="002D353D" w:rsidP="00345263">
            <w:pPr>
              <w:jc w:val="center"/>
              <w:rPr>
                <w:sz w:val="24"/>
                <w:szCs w:val="24"/>
              </w:rPr>
            </w:pPr>
          </w:p>
        </w:tc>
      </w:tr>
      <w:tr w:rsidR="00AA494B" w14:paraId="3C1A52DF" w14:textId="77777777" w:rsidTr="002D353D">
        <w:tc>
          <w:tcPr>
            <w:tcW w:w="2830" w:type="dxa"/>
            <w:tcBorders>
              <w:top w:val="double" w:sz="4" w:space="0" w:color="auto"/>
            </w:tcBorders>
          </w:tcPr>
          <w:p w14:paraId="3CA87614" w14:textId="6F83396E" w:rsidR="002D353D" w:rsidRDefault="00AA494B" w:rsidP="002D353D">
            <w:pPr>
              <w:jc w:val="center"/>
              <w:rPr>
                <w:sz w:val="24"/>
                <w:szCs w:val="24"/>
              </w:rPr>
            </w:pPr>
            <w:r>
              <w:rPr>
                <w:sz w:val="24"/>
                <w:szCs w:val="24"/>
              </w:rPr>
              <w:t>R-square</w:t>
            </w:r>
          </w:p>
        </w:tc>
        <w:tc>
          <w:tcPr>
            <w:tcW w:w="1844" w:type="dxa"/>
            <w:tcBorders>
              <w:top w:val="double" w:sz="4" w:space="0" w:color="auto"/>
            </w:tcBorders>
          </w:tcPr>
          <w:p w14:paraId="25C6B588" w14:textId="255C883C" w:rsidR="00AA494B" w:rsidRDefault="00AA494B" w:rsidP="00345263">
            <w:pPr>
              <w:jc w:val="center"/>
              <w:rPr>
                <w:sz w:val="24"/>
                <w:szCs w:val="24"/>
              </w:rPr>
            </w:pPr>
            <w:r>
              <w:rPr>
                <w:sz w:val="24"/>
                <w:szCs w:val="24"/>
              </w:rPr>
              <w:t>0.667</w:t>
            </w:r>
          </w:p>
        </w:tc>
        <w:tc>
          <w:tcPr>
            <w:tcW w:w="2338" w:type="dxa"/>
            <w:tcBorders>
              <w:top w:val="double" w:sz="4" w:space="0" w:color="auto"/>
            </w:tcBorders>
          </w:tcPr>
          <w:p w14:paraId="532EFB32" w14:textId="692B4120" w:rsidR="00AA494B" w:rsidRDefault="00C523D8" w:rsidP="00345263">
            <w:pPr>
              <w:jc w:val="center"/>
              <w:rPr>
                <w:sz w:val="24"/>
                <w:szCs w:val="24"/>
              </w:rPr>
            </w:pPr>
            <w:r>
              <w:rPr>
                <w:sz w:val="24"/>
                <w:szCs w:val="24"/>
              </w:rPr>
              <w:t>0.678</w:t>
            </w:r>
          </w:p>
        </w:tc>
        <w:tc>
          <w:tcPr>
            <w:tcW w:w="2338" w:type="dxa"/>
            <w:tcBorders>
              <w:top w:val="double" w:sz="4" w:space="0" w:color="auto"/>
            </w:tcBorders>
          </w:tcPr>
          <w:p w14:paraId="44217EB4" w14:textId="77777777" w:rsidR="002D353D" w:rsidRDefault="00C523D8" w:rsidP="002D353D">
            <w:pPr>
              <w:jc w:val="center"/>
              <w:rPr>
                <w:sz w:val="24"/>
                <w:szCs w:val="24"/>
              </w:rPr>
            </w:pPr>
            <w:r>
              <w:rPr>
                <w:sz w:val="24"/>
                <w:szCs w:val="24"/>
              </w:rPr>
              <w:t>0.726</w:t>
            </w:r>
          </w:p>
          <w:p w14:paraId="4C67905E" w14:textId="61104607" w:rsidR="002D353D" w:rsidRDefault="002D353D" w:rsidP="002D353D">
            <w:pPr>
              <w:jc w:val="center"/>
              <w:rPr>
                <w:sz w:val="24"/>
                <w:szCs w:val="24"/>
              </w:rPr>
            </w:pPr>
          </w:p>
        </w:tc>
      </w:tr>
      <w:tr w:rsidR="00AA494B" w14:paraId="0BC91888" w14:textId="77777777" w:rsidTr="002D353D">
        <w:tc>
          <w:tcPr>
            <w:tcW w:w="2830" w:type="dxa"/>
          </w:tcPr>
          <w:p w14:paraId="6CBB4BB3" w14:textId="1F1140CB" w:rsidR="00AA494B" w:rsidRDefault="00AA494B" w:rsidP="00345263">
            <w:pPr>
              <w:jc w:val="center"/>
              <w:rPr>
                <w:sz w:val="24"/>
                <w:szCs w:val="24"/>
              </w:rPr>
            </w:pPr>
            <w:r>
              <w:rPr>
                <w:sz w:val="24"/>
                <w:szCs w:val="24"/>
              </w:rPr>
              <w:t>Adjusted R-square</w:t>
            </w:r>
          </w:p>
        </w:tc>
        <w:tc>
          <w:tcPr>
            <w:tcW w:w="1844" w:type="dxa"/>
          </w:tcPr>
          <w:p w14:paraId="68540890" w14:textId="19371411" w:rsidR="00AA494B" w:rsidRDefault="00AA494B" w:rsidP="00345263">
            <w:pPr>
              <w:jc w:val="center"/>
              <w:rPr>
                <w:sz w:val="24"/>
                <w:szCs w:val="24"/>
              </w:rPr>
            </w:pPr>
            <w:r>
              <w:rPr>
                <w:sz w:val="24"/>
                <w:szCs w:val="24"/>
              </w:rPr>
              <w:t>0.665</w:t>
            </w:r>
          </w:p>
        </w:tc>
        <w:tc>
          <w:tcPr>
            <w:tcW w:w="2338" w:type="dxa"/>
          </w:tcPr>
          <w:p w14:paraId="7AD963EF" w14:textId="0BA6EEA0" w:rsidR="00AA494B" w:rsidRDefault="00C523D8" w:rsidP="00345263">
            <w:pPr>
              <w:jc w:val="center"/>
              <w:rPr>
                <w:sz w:val="24"/>
                <w:szCs w:val="24"/>
              </w:rPr>
            </w:pPr>
            <w:r>
              <w:rPr>
                <w:sz w:val="24"/>
                <w:szCs w:val="24"/>
              </w:rPr>
              <w:t>0.674</w:t>
            </w:r>
          </w:p>
        </w:tc>
        <w:tc>
          <w:tcPr>
            <w:tcW w:w="2338" w:type="dxa"/>
          </w:tcPr>
          <w:p w14:paraId="742E14D9" w14:textId="77777777" w:rsidR="00AA494B" w:rsidRDefault="00C523D8" w:rsidP="00345263">
            <w:pPr>
              <w:jc w:val="center"/>
              <w:rPr>
                <w:sz w:val="24"/>
                <w:szCs w:val="24"/>
              </w:rPr>
            </w:pPr>
            <w:r>
              <w:rPr>
                <w:sz w:val="24"/>
                <w:szCs w:val="24"/>
              </w:rPr>
              <w:t>0.722</w:t>
            </w:r>
          </w:p>
          <w:p w14:paraId="00DBD00C" w14:textId="20520A37" w:rsidR="002D353D" w:rsidRDefault="002D353D" w:rsidP="00345263">
            <w:pPr>
              <w:jc w:val="center"/>
              <w:rPr>
                <w:sz w:val="24"/>
                <w:szCs w:val="24"/>
              </w:rPr>
            </w:pPr>
          </w:p>
        </w:tc>
      </w:tr>
      <w:tr w:rsidR="00AA494B" w14:paraId="58590B8D" w14:textId="77777777" w:rsidTr="002D353D">
        <w:tc>
          <w:tcPr>
            <w:tcW w:w="2830" w:type="dxa"/>
          </w:tcPr>
          <w:p w14:paraId="03440B72" w14:textId="5E6D6E87" w:rsidR="00AA494B" w:rsidRDefault="00AA494B" w:rsidP="00345263">
            <w:pPr>
              <w:jc w:val="center"/>
              <w:rPr>
                <w:sz w:val="24"/>
                <w:szCs w:val="24"/>
              </w:rPr>
            </w:pPr>
            <w:r>
              <w:rPr>
                <w:sz w:val="24"/>
                <w:szCs w:val="24"/>
              </w:rPr>
              <w:t>No. Observations</w:t>
            </w:r>
          </w:p>
        </w:tc>
        <w:tc>
          <w:tcPr>
            <w:tcW w:w="1844" w:type="dxa"/>
          </w:tcPr>
          <w:p w14:paraId="6477C7F6" w14:textId="7DF8232A" w:rsidR="00AA494B" w:rsidRDefault="00AA494B" w:rsidP="00345263">
            <w:pPr>
              <w:jc w:val="center"/>
              <w:rPr>
                <w:sz w:val="24"/>
                <w:szCs w:val="24"/>
              </w:rPr>
            </w:pPr>
            <w:r>
              <w:rPr>
                <w:sz w:val="24"/>
                <w:szCs w:val="24"/>
              </w:rPr>
              <w:t>698</w:t>
            </w:r>
          </w:p>
        </w:tc>
        <w:tc>
          <w:tcPr>
            <w:tcW w:w="2338" w:type="dxa"/>
          </w:tcPr>
          <w:p w14:paraId="623F275F" w14:textId="7E68D6E4" w:rsidR="00AA494B" w:rsidRDefault="00C523D8" w:rsidP="00345263">
            <w:pPr>
              <w:jc w:val="center"/>
              <w:rPr>
                <w:sz w:val="24"/>
                <w:szCs w:val="24"/>
              </w:rPr>
            </w:pPr>
            <w:r>
              <w:rPr>
                <w:sz w:val="24"/>
                <w:szCs w:val="24"/>
              </w:rPr>
              <w:t>698</w:t>
            </w:r>
          </w:p>
        </w:tc>
        <w:tc>
          <w:tcPr>
            <w:tcW w:w="2338" w:type="dxa"/>
          </w:tcPr>
          <w:p w14:paraId="2BD653C9" w14:textId="7967D1D7" w:rsidR="00AA494B" w:rsidRDefault="00C523D8" w:rsidP="00345263">
            <w:pPr>
              <w:jc w:val="center"/>
              <w:rPr>
                <w:sz w:val="24"/>
                <w:szCs w:val="24"/>
              </w:rPr>
            </w:pPr>
            <w:r>
              <w:rPr>
                <w:sz w:val="24"/>
                <w:szCs w:val="24"/>
              </w:rPr>
              <w:t>698</w:t>
            </w:r>
          </w:p>
        </w:tc>
      </w:tr>
    </w:tbl>
    <w:p w14:paraId="01A90DED" w14:textId="77777777" w:rsidR="00AA494B" w:rsidRPr="00AA494B" w:rsidRDefault="00AA494B" w:rsidP="00B32738">
      <w:pPr>
        <w:rPr>
          <w:sz w:val="24"/>
          <w:szCs w:val="24"/>
        </w:rPr>
      </w:pPr>
    </w:p>
    <w:sectPr w:rsidR="00AA494B" w:rsidRPr="00AA4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61D20"/>
    <w:multiLevelType w:val="hybridMultilevel"/>
    <w:tmpl w:val="1756B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4001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374"/>
    <w:rsid w:val="00024596"/>
    <w:rsid w:val="000D0AD6"/>
    <w:rsid w:val="000E7267"/>
    <w:rsid w:val="0018427F"/>
    <w:rsid w:val="001E6495"/>
    <w:rsid w:val="002D353D"/>
    <w:rsid w:val="00345263"/>
    <w:rsid w:val="00427649"/>
    <w:rsid w:val="00427B2C"/>
    <w:rsid w:val="00487047"/>
    <w:rsid w:val="004917E5"/>
    <w:rsid w:val="006F7F33"/>
    <w:rsid w:val="007F7301"/>
    <w:rsid w:val="00845344"/>
    <w:rsid w:val="00880B96"/>
    <w:rsid w:val="008E5E94"/>
    <w:rsid w:val="00932A12"/>
    <w:rsid w:val="00941440"/>
    <w:rsid w:val="00945432"/>
    <w:rsid w:val="00AA494B"/>
    <w:rsid w:val="00AB702E"/>
    <w:rsid w:val="00B32738"/>
    <w:rsid w:val="00B551B8"/>
    <w:rsid w:val="00BE3B70"/>
    <w:rsid w:val="00C10BBD"/>
    <w:rsid w:val="00C523D8"/>
    <w:rsid w:val="00D75102"/>
    <w:rsid w:val="00E42374"/>
    <w:rsid w:val="00FA4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3EB0B"/>
  <w15:chartTrackingRefBased/>
  <w15:docId w15:val="{0EACE970-33B5-4621-882C-4FF2DED3E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23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23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23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23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23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23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23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23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23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3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23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23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23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23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23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23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23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2374"/>
    <w:rPr>
      <w:rFonts w:eastAsiaTheme="majorEastAsia" w:cstheme="majorBidi"/>
      <w:color w:val="272727" w:themeColor="text1" w:themeTint="D8"/>
    </w:rPr>
  </w:style>
  <w:style w:type="paragraph" w:styleId="Title">
    <w:name w:val="Title"/>
    <w:basedOn w:val="Normal"/>
    <w:next w:val="Normal"/>
    <w:link w:val="TitleChar"/>
    <w:uiPriority w:val="10"/>
    <w:qFormat/>
    <w:rsid w:val="00E423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23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23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23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2374"/>
    <w:pPr>
      <w:spacing w:before="160"/>
      <w:jc w:val="center"/>
    </w:pPr>
    <w:rPr>
      <w:i/>
      <w:iCs/>
      <w:color w:val="404040" w:themeColor="text1" w:themeTint="BF"/>
    </w:rPr>
  </w:style>
  <w:style w:type="character" w:customStyle="1" w:styleId="QuoteChar">
    <w:name w:val="Quote Char"/>
    <w:basedOn w:val="DefaultParagraphFont"/>
    <w:link w:val="Quote"/>
    <w:uiPriority w:val="29"/>
    <w:rsid w:val="00E42374"/>
    <w:rPr>
      <w:i/>
      <w:iCs/>
      <w:color w:val="404040" w:themeColor="text1" w:themeTint="BF"/>
    </w:rPr>
  </w:style>
  <w:style w:type="paragraph" w:styleId="ListParagraph">
    <w:name w:val="List Paragraph"/>
    <w:basedOn w:val="Normal"/>
    <w:uiPriority w:val="34"/>
    <w:qFormat/>
    <w:rsid w:val="00E42374"/>
    <w:pPr>
      <w:ind w:left="720"/>
      <w:contextualSpacing/>
    </w:pPr>
  </w:style>
  <w:style w:type="character" w:styleId="IntenseEmphasis">
    <w:name w:val="Intense Emphasis"/>
    <w:basedOn w:val="DefaultParagraphFont"/>
    <w:uiPriority w:val="21"/>
    <w:qFormat/>
    <w:rsid w:val="00E42374"/>
    <w:rPr>
      <w:i/>
      <w:iCs/>
      <w:color w:val="0F4761" w:themeColor="accent1" w:themeShade="BF"/>
    </w:rPr>
  </w:style>
  <w:style w:type="paragraph" w:styleId="IntenseQuote">
    <w:name w:val="Intense Quote"/>
    <w:basedOn w:val="Normal"/>
    <w:next w:val="Normal"/>
    <w:link w:val="IntenseQuoteChar"/>
    <w:uiPriority w:val="30"/>
    <w:qFormat/>
    <w:rsid w:val="00E423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2374"/>
    <w:rPr>
      <w:i/>
      <w:iCs/>
      <w:color w:val="0F4761" w:themeColor="accent1" w:themeShade="BF"/>
    </w:rPr>
  </w:style>
  <w:style w:type="character" w:styleId="IntenseReference">
    <w:name w:val="Intense Reference"/>
    <w:basedOn w:val="DefaultParagraphFont"/>
    <w:uiPriority w:val="32"/>
    <w:qFormat/>
    <w:rsid w:val="00E42374"/>
    <w:rPr>
      <w:b/>
      <w:bCs/>
      <w:smallCaps/>
      <w:color w:val="0F4761" w:themeColor="accent1" w:themeShade="BF"/>
      <w:spacing w:val="5"/>
    </w:rPr>
  </w:style>
  <w:style w:type="character" w:styleId="Hyperlink">
    <w:name w:val="Hyperlink"/>
    <w:basedOn w:val="DefaultParagraphFont"/>
    <w:uiPriority w:val="99"/>
    <w:unhideWhenUsed/>
    <w:rsid w:val="00E42374"/>
    <w:rPr>
      <w:color w:val="467886" w:themeColor="hyperlink"/>
      <w:u w:val="single"/>
    </w:rPr>
  </w:style>
  <w:style w:type="character" w:styleId="UnresolvedMention">
    <w:name w:val="Unresolved Mention"/>
    <w:basedOn w:val="DefaultParagraphFont"/>
    <w:uiPriority w:val="99"/>
    <w:semiHidden/>
    <w:unhideWhenUsed/>
    <w:rsid w:val="00E42374"/>
    <w:rPr>
      <w:color w:val="605E5C"/>
      <w:shd w:val="clear" w:color="auto" w:fill="E1DFDD"/>
    </w:rPr>
  </w:style>
  <w:style w:type="table" w:styleId="TableGrid">
    <w:name w:val="Table Grid"/>
    <w:basedOn w:val="TableNormal"/>
    <w:uiPriority w:val="39"/>
    <w:rsid w:val="00AA4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2764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2583</TotalTime>
  <Pages>7</Pages>
  <Words>1220</Words>
  <Characters>6959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la Borbolla Monge, Inigo Jose</dc:creator>
  <cp:keywords/>
  <dc:description/>
  <cp:lastModifiedBy>de la Borbolla Monge, Inigo Jose</cp:lastModifiedBy>
  <cp:revision>6</cp:revision>
  <dcterms:created xsi:type="dcterms:W3CDTF">2024-11-25T22:51:00Z</dcterms:created>
  <dcterms:modified xsi:type="dcterms:W3CDTF">2024-11-27T21:00:00Z</dcterms:modified>
</cp:coreProperties>
</file>