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C4A8A1" w14:textId="6A0C87A2" w:rsidR="004C2ECB" w:rsidRDefault="004C2ECB" w:rsidP="004C2ECB">
      <w:pPr>
        <w:jc w:val="both"/>
        <w:rPr>
          <w:b/>
          <w:bCs/>
          <w:sz w:val="24"/>
          <w:szCs w:val="24"/>
        </w:rPr>
      </w:pPr>
      <w:r>
        <w:rPr>
          <w:b/>
          <w:bCs/>
          <w:sz w:val="24"/>
          <w:szCs w:val="24"/>
        </w:rPr>
        <w:t>Risk Metrics from Historical Returns</w:t>
      </w:r>
    </w:p>
    <w:p w14:paraId="777B461F" w14:textId="77777777" w:rsidR="004C2ECB" w:rsidRDefault="004C2ECB" w:rsidP="004C2ECB">
      <w:pPr>
        <w:jc w:val="both"/>
        <w:rPr>
          <w:b/>
          <w:bCs/>
          <w:sz w:val="24"/>
          <w:szCs w:val="24"/>
        </w:rPr>
      </w:pPr>
      <w:r w:rsidRPr="004C2ECB">
        <w:rPr>
          <w:sz w:val="24"/>
          <w:szCs w:val="24"/>
        </w:rPr>
        <w:t>Risk is an inherent aspect of investing, and understanding it is crucial for evaluating the performance and resilience of mutual funds and ETFs. In this section, we introduce and calculate core risk metrics that quantify a fund's potential downside and variability in returns. These metrics</w:t>
      </w:r>
      <w:r>
        <w:rPr>
          <w:sz w:val="24"/>
          <w:szCs w:val="24"/>
        </w:rPr>
        <w:t xml:space="preserve"> – </w:t>
      </w:r>
      <w:r w:rsidRPr="004C2ECB">
        <w:rPr>
          <w:sz w:val="24"/>
          <w:szCs w:val="24"/>
        </w:rPr>
        <w:t>volatility, drawdowns, and Value-at-Risk</w:t>
      </w:r>
      <w:r>
        <w:rPr>
          <w:sz w:val="24"/>
          <w:szCs w:val="24"/>
        </w:rPr>
        <w:t xml:space="preserve"> – </w:t>
      </w:r>
      <w:r w:rsidRPr="004C2ECB">
        <w:rPr>
          <w:sz w:val="24"/>
          <w:szCs w:val="24"/>
        </w:rPr>
        <w:t>are widely used in portfolio management to assess risk and make informed investment decisions.</w:t>
      </w:r>
    </w:p>
    <w:p w14:paraId="38E12C9E" w14:textId="59E669F2" w:rsidR="004C2ECB" w:rsidRPr="004C2ECB" w:rsidRDefault="004C2ECB" w:rsidP="004C2ECB">
      <w:pPr>
        <w:jc w:val="both"/>
        <w:rPr>
          <w:b/>
          <w:bCs/>
          <w:sz w:val="24"/>
          <w:szCs w:val="24"/>
        </w:rPr>
      </w:pPr>
      <w:r w:rsidRPr="004C2ECB">
        <w:rPr>
          <w:sz w:val="24"/>
          <w:szCs w:val="24"/>
        </w:rPr>
        <w:t>We demonstrate the computation of these risk metrics using the SPY ETF, which tracks the S&amp;P 500 index and serves as a benchmark for U.S. equity performance. The metrics are calculated based on historical data, and their implications for fund risk are discussed. To provide a broader perspective, the appendix extends the analysis to 10 additional funds, enabling a comparative evaluation of risk across different investment strategies and asset classes.</w:t>
      </w:r>
    </w:p>
    <w:p w14:paraId="29F92144" w14:textId="77777777" w:rsidR="004C2ECB" w:rsidRDefault="004C2ECB" w:rsidP="004C2ECB">
      <w:pPr>
        <w:jc w:val="both"/>
        <w:rPr>
          <w:sz w:val="24"/>
          <w:szCs w:val="24"/>
        </w:rPr>
      </w:pPr>
    </w:p>
    <w:p w14:paraId="65642021" w14:textId="6C45407F" w:rsidR="004C2ECB" w:rsidRPr="004C6A63" w:rsidRDefault="004C6A63" w:rsidP="004C2ECB">
      <w:pPr>
        <w:jc w:val="both"/>
        <w:rPr>
          <w:b/>
          <w:bCs/>
          <w:sz w:val="24"/>
          <w:szCs w:val="24"/>
        </w:rPr>
      </w:pPr>
      <w:r>
        <w:rPr>
          <w:b/>
          <w:bCs/>
          <w:sz w:val="24"/>
          <w:szCs w:val="24"/>
        </w:rPr>
        <w:t xml:space="preserve">1. </w:t>
      </w:r>
      <w:r w:rsidR="004C2ECB" w:rsidRPr="004C6A63">
        <w:rPr>
          <w:b/>
          <w:bCs/>
          <w:sz w:val="24"/>
          <w:szCs w:val="24"/>
        </w:rPr>
        <w:t xml:space="preserve">Volatility </w:t>
      </w:r>
    </w:p>
    <w:p w14:paraId="05683CDC" w14:textId="06DC113F" w:rsidR="00714606" w:rsidRDefault="004C6A63" w:rsidP="004C2ECB">
      <w:pPr>
        <w:jc w:val="both"/>
        <w:rPr>
          <w:sz w:val="24"/>
          <w:szCs w:val="24"/>
        </w:rPr>
      </w:pPr>
      <w:r w:rsidRPr="004C6A63">
        <w:rPr>
          <w:sz w:val="24"/>
          <w:szCs w:val="24"/>
        </w:rPr>
        <w:t>Volatility measures the variability or dispersion of a fund's returns over time. It reflects the level of uncertainty or risk associated with the fund's performance.</w:t>
      </w:r>
      <w:r w:rsidRPr="004C6A63">
        <w:rPr>
          <w:rFonts w:ascii="-webkit-standard" w:hAnsi="-webkit-standard"/>
          <w:color w:val="000000"/>
          <w:sz w:val="27"/>
          <w:szCs w:val="27"/>
        </w:rPr>
        <w:t xml:space="preserve"> </w:t>
      </w:r>
      <w:r w:rsidRPr="004C6A63">
        <w:rPr>
          <w:sz w:val="24"/>
          <w:szCs w:val="24"/>
        </w:rPr>
        <w:t>Volatility is calculated as the standard deviation of the fund’s historical</w:t>
      </w:r>
      <w:r w:rsidR="00FD67B5">
        <w:rPr>
          <w:sz w:val="24"/>
          <w:szCs w:val="24"/>
        </w:rPr>
        <w:t xml:space="preserve"> </w:t>
      </w:r>
      <w:r w:rsidR="00FD67B5" w:rsidRPr="00FD67B5">
        <w:rPr>
          <w:color w:val="FF0000"/>
          <w:sz w:val="24"/>
          <w:szCs w:val="24"/>
        </w:rPr>
        <w:t>daily</w:t>
      </w:r>
      <w:r w:rsidRPr="00FD67B5">
        <w:rPr>
          <w:color w:val="FF0000"/>
          <w:sz w:val="24"/>
          <w:szCs w:val="24"/>
        </w:rPr>
        <w:t xml:space="preserve"> </w:t>
      </w:r>
      <w:r w:rsidRPr="004C6A63">
        <w:rPr>
          <w:sz w:val="24"/>
          <w:szCs w:val="24"/>
        </w:rPr>
        <w:t>returns</w:t>
      </w:r>
      <w:r>
        <w:rPr>
          <w:sz w:val="24"/>
          <w:szCs w:val="24"/>
        </w:rPr>
        <w:t xml:space="preserve">. </w:t>
      </w:r>
      <w:r w:rsidR="00FD67B5">
        <w:rPr>
          <w:sz w:val="24"/>
          <w:szCs w:val="24"/>
        </w:rPr>
        <w:t xml:space="preserve">The graph below shows the rolling volatility of the SPY ETF using a 20-day window. </w:t>
      </w:r>
    </w:p>
    <w:p w14:paraId="3A354A59" w14:textId="3D0BAE37" w:rsidR="00714606" w:rsidRDefault="00714606" w:rsidP="004C2ECB">
      <w:pPr>
        <w:jc w:val="both"/>
        <w:rPr>
          <w:sz w:val="24"/>
          <w:szCs w:val="24"/>
        </w:rPr>
      </w:pPr>
      <w:r w:rsidRPr="00714606">
        <w:rPr>
          <w:noProof/>
          <w:sz w:val="24"/>
          <w:szCs w:val="24"/>
        </w:rPr>
        <w:drawing>
          <wp:inline distT="0" distB="0" distL="0" distR="0" wp14:anchorId="04273B04" wp14:editId="1BA5DAFD">
            <wp:extent cx="5943600" cy="3181985"/>
            <wp:effectExtent l="0" t="0" r="0" b="5715"/>
            <wp:docPr id="1384356850"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56850" name="Picture 1" descr="A graph of a graph&#10;&#10;Description automatically generated"/>
                    <pic:cNvPicPr/>
                  </pic:nvPicPr>
                  <pic:blipFill>
                    <a:blip r:embed="rId5"/>
                    <a:stretch>
                      <a:fillRect/>
                    </a:stretch>
                  </pic:blipFill>
                  <pic:spPr>
                    <a:xfrm>
                      <a:off x="0" y="0"/>
                      <a:ext cx="5943600" cy="3181985"/>
                    </a:xfrm>
                    <a:prstGeom prst="rect">
                      <a:avLst/>
                    </a:prstGeom>
                  </pic:spPr>
                </pic:pic>
              </a:graphicData>
            </a:graphic>
          </wp:inline>
        </w:drawing>
      </w:r>
    </w:p>
    <w:p w14:paraId="55E290FE" w14:textId="77777777" w:rsidR="004C2ECB" w:rsidRDefault="004C2ECB" w:rsidP="004C2ECB">
      <w:pPr>
        <w:jc w:val="both"/>
        <w:rPr>
          <w:sz w:val="24"/>
          <w:szCs w:val="24"/>
        </w:rPr>
      </w:pPr>
    </w:p>
    <w:p w14:paraId="48804FAD" w14:textId="77777777" w:rsidR="00FD67B5" w:rsidRDefault="00FD67B5" w:rsidP="004C2ECB">
      <w:pPr>
        <w:jc w:val="both"/>
        <w:rPr>
          <w:sz w:val="24"/>
          <w:szCs w:val="24"/>
        </w:rPr>
      </w:pPr>
    </w:p>
    <w:p w14:paraId="2F56D282" w14:textId="3D6711ED" w:rsidR="004C2ECB" w:rsidRDefault="004C6A63" w:rsidP="004C2ECB">
      <w:pPr>
        <w:jc w:val="both"/>
        <w:rPr>
          <w:sz w:val="24"/>
          <w:szCs w:val="24"/>
        </w:rPr>
      </w:pPr>
      <w:r>
        <w:rPr>
          <w:b/>
          <w:bCs/>
          <w:sz w:val="24"/>
          <w:szCs w:val="24"/>
        </w:rPr>
        <w:lastRenderedPageBreak/>
        <w:t xml:space="preserve">2. </w:t>
      </w:r>
      <w:r w:rsidR="004C2ECB">
        <w:rPr>
          <w:b/>
          <w:bCs/>
          <w:sz w:val="24"/>
          <w:szCs w:val="24"/>
        </w:rPr>
        <w:t xml:space="preserve">Drawdowns </w:t>
      </w:r>
    </w:p>
    <w:p w14:paraId="687CD07E" w14:textId="12E528E5" w:rsidR="004C6A63" w:rsidRDefault="004C6A63" w:rsidP="004C2ECB">
      <w:pPr>
        <w:jc w:val="both"/>
        <w:rPr>
          <w:sz w:val="24"/>
          <w:szCs w:val="24"/>
        </w:rPr>
      </w:pPr>
      <w:r w:rsidRPr="004C6A63">
        <w:rPr>
          <w:sz w:val="24"/>
          <w:szCs w:val="24"/>
        </w:rPr>
        <w:t>Absolute drawdown quantifies the decline in the Net Asset Value (NAV) of a fund from its historical peak. It measures the worst-case loss in absolute terms.</w:t>
      </w:r>
      <w:r>
        <w:rPr>
          <w:sz w:val="24"/>
          <w:szCs w:val="24"/>
        </w:rPr>
        <w:t xml:space="preserve"> </w:t>
      </w:r>
      <w:r w:rsidRPr="004C6A63">
        <w:rPr>
          <w:sz w:val="24"/>
          <w:szCs w:val="24"/>
        </w:rPr>
        <w:t>Relative drawdown represents the percentage decline from the historical peak NAV. It normalizes drawdowns for easier comparison across funds.</w:t>
      </w:r>
      <w:r w:rsidR="002D2B84">
        <w:rPr>
          <w:sz w:val="24"/>
          <w:szCs w:val="24"/>
        </w:rPr>
        <w:t xml:space="preserve"> The following graphs show the absolute and relative drawdowns of the SPY ETF. </w:t>
      </w:r>
      <w:r w:rsidR="00E908FD">
        <w:rPr>
          <w:sz w:val="24"/>
          <w:szCs w:val="24"/>
        </w:rPr>
        <w:t xml:space="preserve"> </w:t>
      </w:r>
    </w:p>
    <w:p w14:paraId="6D752B8B" w14:textId="66E25855" w:rsidR="004C6A63" w:rsidRDefault="00CA31E4" w:rsidP="004C2ECB">
      <w:pPr>
        <w:jc w:val="both"/>
        <w:rPr>
          <w:sz w:val="24"/>
          <w:szCs w:val="24"/>
        </w:rPr>
      </w:pPr>
      <w:r w:rsidRPr="00CA31E4">
        <w:rPr>
          <w:noProof/>
          <w:sz w:val="24"/>
          <w:szCs w:val="24"/>
        </w:rPr>
        <w:drawing>
          <wp:inline distT="0" distB="0" distL="0" distR="0" wp14:anchorId="1463B229" wp14:editId="3C708146">
            <wp:extent cx="5943600" cy="3189605"/>
            <wp:effectExtent l="0" t="0" r="0" b="0"/>
            <wp:docPr id="1231548004"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48004" name="Picture 1" descr="A graph with red lines&#10;&#10;Description automatically generated"/>
                    <pic:cNvPicPr/>
                  </pic:nvPicPr>
                  <pic:blipFill>
                    <a:blip r:embed="rId6"/>
                    <a:stretch>
                      <a:fillRect/>
                    </a:stretch>
                  </pic:blipFill>
                  <pic:spPr>
                    <a:xfrm>
                      <a:off x="0" y="0"/>
                      <a:ext cx="5943600" cy="3189605"/>
                    </a:xfrm>
                    <a:prstGeom prst="rect">
                      <a:avLst/>
                    </a:prstGeom>
                  </pic:spPr>
                </pic:pic>
              </a:graphicData>
            </a:graphic>
          </wp:inline>
        </w:drawing>
      </w:r>
    </w:p>
    <w:p w14:paraId="2AAF5C85" w14:textId="1EB8124C" w:rsidR="00CA31E4" w:rsidRDefault="00CA31E4" w:rsidP="004C2ECB">
      <w:pPr>
        <w:jc w:val="both"/>
        <w:rPr>
          <w:sz w:val="24"/>
          <w:szCs w:val="24"/>
        </w:rPr>
      </w:pPr>
      <w:r w:rsidRPr="00CA31E4">
        <w:rPr>
          <w:noProof/>
          <w:sz w:val="24"/>
          <w:szCs w:val="24"/>
        </w:rPr>
        <w:drawing>
          <wp:inline distT="0" distB="0" distL="0" distR="0" wp14:anchorId="16A2AFC6" wp14:editId="7C3411DE">
            <wp:extent cx="5943600" cy="3169920"/>
            <wp:effectExtent l="0" t="0" r="0" b="5080"/>
            <wp:docPr id="1372702487"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02487" name="Picture 1" descr="A graph with blue lines&#10;&#10;Description automatically generated"/>
                    <pic:cNvPicPr/>
                  </pic:nvPicPr>
                  <pic:blipFill>
                    <a:blip r:embed="rId7"/>
                    <a:stretch>
                      <a:fillRect/>
                    </a:stretch>
                  </pic:blipFill>
                  <pic:spPr>
                    <a:xfrm>
                      <a:off x="0" y="0"/>
                      <a:ext cx="5943600" cy="3169920"/>
                    </a:xfrm>
                    <a:prstGeom prst="rect">
                      <a:avLst/>
                    </a:prstGeom>
                  </pic:spPr>
                </pic:pic>
              </a:graphicData>
            </a:graphic>
          </wp:inline>
        </w:drawing>
      </w:r>
    </w:p>
    <w:p w14:paraId="7C68D69D" w14:textId="77777777" w:rsidR="00CA31E4" w:rsidRDefault="00CA31E4" w:rsidP="004C2ECB">
      <w:pPr>
        <w:jc w:val="both"/>
        <w:rPr>
          <w:b/>
          <w:bCs/>
          <w:sz w:val="24"/>
          <w:szCs w:val="24"/>
        </w:rPr>
      </w:pPr>
    </w:p>
    <w:p w14:paraId="4501D76F" w14:textId="749E6A81" w:rsidR="004C2ECB" w:rsidRDefault="004C6A63" w:rsidP="004C2ECB">
      <w:pPr>
        <w:jc w:val="both"/>
        <w:rPr>
          <w:sz w:val="24"/>
          <w:szCs w:val="24"/>
        </w:rPr>
      </w:pPr>
      <w:r>
        <w:rPr>
          <w:b/>
          <w:bCs/>
          <w:sz w:val="24"/>
          <w:szCs w:val="24"/>
        </w:rPr>
        <w:lastRenderedPageBreak/>
        <w:t xml:space="preserve">3. </w:t>
      </w:r>
      <w:r w:rsidR="004C2ECB">
        <w:rPr>
          <w:b/>
          <w:bCs/>
          <w:sz w:val="24"/>
          <w:szCs w:val="24"/>
        </w:rPr>
        <w:t xml:space="preserve">Frequency, Duration, and Magnitude of Drawdowns </w:t>
      </w:r>
    </w:p>
    <w:p w14:paraId="0598ACA1" w14:textId="1FD69DE4" w:rsidR="004C2ECB" w:rsidRDefault="004C6A63" w:rsidP="004C2ECB">
      <w:pPr>
        <w:jc w:val="both"/>
        <w:rPr>
          <w:sz w:val="24"/>
          <w:szCs w:val="24"/>
        </w:rPr>
      </w:pPr>
      <w:r w:rsidRPr="004C6A63">
        <w:rPr>
          <w:sz w:val="24"/>
          <w:szCs w:val="24"/>
        </w:rPr>
        <w:t>Drawdown frequency counts the number of distinct drawdown events where the fund’s NAV drops below a predefined threshold. It reflects how often a fund experiences significant declines.</w:t>
      </w:r>
      <w:r>
        <w:rPr>
          <w:sz w:val="24"/>
          <w:szCs w:val="24"/>
        </w:rPr>
        <w:t xml:space="preserve"> </w:t>
      </w:r>
      <w:r w:rsidRPr="004C6A63">
        <w:rPr>
          <w:sz w:val="24"/>
          <w:szCs w:val="24"/>
        </w:rPr>
        <w:t>Drawdown duration measures the length of time (in days) that the fund remains in a drawdown state, from peak to recovery.</w:t>
      </w:r>
      <w:r>
        <w:rPr>
          <w:sz w:val="24"/>
          <w:szCs w:val="24"/>
        </w:rPr>
        <w:t xml:space="preserve"> Finally, d</w:t>
      </w:r>
      <w:r w:rsidRPr="004C6A63">
        <w:rPr>
          <w:sz w:val="24"/>
          <w:szCs w:val="24"/>
        </w:rPr>
        <w:t>rawdown magnitude quantifies the severity of each drawdown, typically expressed as the average or maximum relative drawdown over all observed periods.</w:t>
      </w:r>
    </w:p>
    <w:p w14:paraId="2C6BB81E" w14:textId="775796FC" w:rsidR="004C6A63" w:rsidRDefault="00A541FB" w:rsidP="004C2ECB">
      <w:pPr>
        <w:jc w:val="both"/>
        <w:rPr>
          <w:sz w:val="24"/>
          <w:szCs w:val="24"/>
        </w:rPr>
      </w:pPr>
      <w:r w:rsidRPr="00A541FB">
        <w:rPr>
          <w:sz w:val="24"/>
          <w:szCs w:val="24"/>
        </w:rPr>
        <w:drawing>
          <wp:inline distT="0" distB="0" distL="0" distR="0" wp14:anchorId="76483EF9" wp14:editId="06252F2B">
            <wp:extent cx="5441244" cy="2961874"/>
            <wp:effectExtent l="0" t="0" r="0" b="0"/>
            <wp:docPr id="1969707779"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07779" name="Picture 1" descr="A graph with numbers and a bar&#10;&#10;Description automatically generated"/>
                    <pic:cNvPicPr/>
                  </pic:nvPicPr>
                  <pic:blipFill>
                    <a:blip r:embed="rId8"/>
                    <a:stretch>
                      <a:fillRect/>
                    </a:stretch>
                  </pic:blipFill>
                  <pic:spPr>
                    <a:xfrm>
                      <a:off x="0" y="0"/>
                      <a:ext cx="5465435" cy="2975042"/>
                    </a:xfrm>
                    <a:prstGeom prst="rect">
                      <a:avLst/>
                    </a:prstGeom>
                  </pic:spPr>
                </pic:pic>
              </a:graphicData>
            </a:graphic>
          </wp:inline>
        </w:drawing>
      </w:r>
    </w:p>
    <w:p w14:paraId="5A6087AE" w14:textId="1AB5B1B0" w:rsidR="00A541FB" w:rsidRDefault="00DD56F7" w:rsidP="004C2ECB">
      <w:pPr>
        <w:jc w:val="both"/>
        <w:rPr>
          <w:sz w:val="24"/>
          <w:szCs w:val="24"/>
        </w:rPr>
      </w:pPr>
      <w:r w:rsidRPr="00DD56F7">
        <w:rPr>
          <w:sz w:val="24"/>
          <w:szCs w:val="24"/>
        </w:rPr>
        <w:drawing>
          <wp:inline distT="0" distB="0" distL="0" distR="0" wp14:anchorId="476E7611" wp14:editId="0BBB4BC4">
            <wp:extent cx="5508978" cy="3501380"/>
            <wp:effectExtent l="0" t="0" r="3175" b="4445"/>
            <wp:docPr id="1997512051" name="Picture 1" descr="A graph with red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12051" name="Picture 1" descr="A graph with red and white lines&#10;&#10;Description automatically generated"/>
                    <pic:cNvPicPr/>
                  </pic:nvPicPr>
                  <pic:blipFill>
                    <a:blip r:embed="rId9"/>
                    <a:stretch>
                      <a:fillRect/>
                    </a:stretch>
                  </pic:blipFill>
                  <pic:spPr>
                    <a:xfrm>
                      <a:off x="0" y="0"/>
                      <a:ext cx="5557113" cy="3531973"/>
                    </a:xfrm>
                    <a:prstGeom prst="rect">
                      <a:avLst/>
                    </a:prstGeom>
                  </pic:spPr>
                </pic:pic>
              </a:graphicData>
            </a:graphic>
          </wp:inline>
        </w:drawing>
      </w:r>
    </w:p>
    <w:p w14:paraId="1DD314F1" w14:textId="77777777" w:rsidR="004C6A63" w:rsidRDefault="004C6A63" w:rsidP="004C2ECB">
      <w:pPr>
        <w:jc w:val="both"/>
        <w:rPr>
          <w:sz w:val="24"/>
          <w:szCs w:val="24"/>
        </w:rPr>
      </w:pPr>
    </w:p>
    <w:p w14:paraId="46A45132" w14:textId="0DB44610" w:rsidR="004C2ECB" w:rsidRDefault="004C6A63" w:rsidP="004C2ECB">
      <w:pPr>
        <w:jc w:val="both"/>
        <w:rPr>
          <w:b/>
          <w:bCs/>
          <w:sz w:val="24"/>
          <w:szCs w:val="24"/>
        </w:rPr>
      </w:pPr>
      <w:r>
        <w:rPr>
          <w:b/>
          <w:bCs/>
          <w:sz w:val="24"/>
          <w:szCs w:val="24"/>
        </w:rPr>
        <w:t xml:space="preserve">4. </w:t>
      </w:r>
      <w:r w:rsidR="004C2ECB">
        <w:rPr>
          <w:b/>
          <w:bCs/>
          <w:sz w:val="24"/>
          <w:szCs w:val="24"/>
        </w:rPr>
        <w:t>Value-at-Risk</w:t>
      </w:r>
    </w:p>
    <w:p w14:paraId="42C7C4F1" w14:textId="7AC7D75D" w:rsidR="004C6A63" w:rsidRDefault="004C6A63" w:rsidP="004C2ECB">
      <w:pPr>
        <w:jc w:val="both"/>
        <w:rPr>
          <w:sz w:val="24"/>
          <w:szCs w:val="24"/>
        </w:rPr>
      </w:pPr>
      <w:proofErr w:type="spellStart"/>
      <w:r w:rsidRPr="004C6A63">
        <w:rPr>
          <w:sz w:val="24"/>
          <w:szCs w:val="24"/>
        </w:rPr>
        <w:t>VaR</w:t>
      </w:r>
      <w:proofErr w:type="spellEnd"/>
      <w:r w:rsidRPr="004C6A63">
        <w:rPr>
          <w:sz w:val="24"/>
          <w:szCs w:val="24"/>
        </w:rPr>
        <w:t xml:space="preserve"> estimates the maximum expected loss at a given confidence level over a specific time horizon. It is widely used to assess the potential downside risk.</w:t>
      </w:r>
      <w:r>
        <w:rPr>
          <w:sz w:val="24"/>
          <w:szCs w:val="24"/>
        </w:rPr>
        <w:t xml:space="preserve"> </w:t>
      </w:r>
      <w:r w:rsidRPr="004C6A63">
        <w:rPr>
          <w:sz w:val="24"/>
          <w:szCs w:val="24"/>
        </w:rPr>
        <w:t xml:space="preserve">For example, at 95% confidence, the 5th percentile of the return’s distribution represents the </w:t>
      </w:r>
      <w:proofErr w:type="spellStart"/>
      <w:r w:rsidRPr="004C6A63">
        <w:rPr>
          <w:sz w:val="24"/>
          <w:szCs w:val="24"/>
        </w:rPr>
        <w:t>VaR.</w:t>
      </w:r>
      <w:proofErr w:type="spellEnd"/>
    </w:p>
    <w:p w14:paraId="2923B669" w14:textId="17DDC9FE" w:rsidR="00DD56F7" w:rsidRDefault="00DD56F7" w:rsidP="004C2ECB">
      <w:pPr>
        <w:jc w:val="both"/>
        <w:rPr>
          <w:sz w:val="24"/>
          <w:szCs w:val="24"/>
        </w:rPr>
      </w:pPr>
      <w:r w:rsidRPr="00DD56F7">
        <w:rPr>
          <w:sz w:val="24"/>
          <w:szCs w:val="24"/>
        </w:rPr>
        <w:drawing>
          <wp:inline distT="0" distB="0" distL="0" distR="0" wp14:anchorId="329ACD65" wp14:editId="7E1F93C6">
            <wp:extent cx="5943600" cy="3224530"/>
            <wp:effectExtent l="0" t="0" r="0" b="1270"/>
            <wp:docPr id="420304063" name="Picture 1" descr="A graph of a person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04063" name="Picture 1" descr="A graph of a person with a red line&#10;&#10;Description automatically generated"/>
                    <pic:cNvPicPr/>
                  </pic:nvPicPr>
                  <pic:blipFill>
                    <a:blip r:embed="rId10"/>
                    <a:stretch>
                      <a:fillRect/>
                    </a:stretch>
                  </pic:blipFill>
                  <pic:spPr>
                    <a:xfrm>
                      <a:off x="0" y="0"/>
                      <a:ext cx="5943600" cy="3224530"/>
                    </a:xfrm>
                    <a:prstGeom prst="rect">
                      <a:avLst/>
                    </a:prstGeom>
                  </pic:spPr>
                </pic:pic>
              </a:graphicData>
            </a:graphic>
          </wp:inline>
        </w:drawing>
      </w:r>
    </w:p>
    <w:p w14:paraId="52DBEBFB" w14:textId="77777777" w:rsidR="00DD56F7" w:rsidRPr="004C6A63" w:rsidRDefault="00DD56F7" w:rsidP="004C2ECB">
      <w:pPr>
        <w:jc w:val="both"/>
        <w:rPr>
          <w:sz w:val="24"/>
          <w:szCs w:val="24"/>
        </w:rPr>
      </w:pPr>
    </w:p>
    <w:p w14:paraId="193AFD93" w14:textId="3F8CE8E0" w:rsidR="004C2ECB" w:rsidRPr="004C2ECB" w:rsidRDefault="004C2ECB" w:rsidP="004C2ECB">
      <w:pPr>
        <w:jc w:val="both"/>
        <w:rPr>
          <w:sz w:val="24"/>
          <w:szCs w:val="24"/>
        </w:rPr>
      </w:pPr>
    </w:p>
    <w:sectPr w:rsidR="004C2ECB" w:rsidRPr="004C2E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webkit-standard">
    <w:altName w:val="Cambria"/>
    <w:panose1 w:val="020B0604020202020204"/>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761D20"/>
    <w:multiLevelType w:val="hybridMultilevel"/>
    <w:tmpl w:val="1756B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40013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374"/>
    <w:rsid w:val="00024596"/>
    <w:rsid w:val="000D0AD6"/>
    <w:rsid w:val="000E7267"/>
    <w:rsid w:val="0018427F"/>
    <w:rsid w:val="001E6495"/>
    <w:rsid w:val="002D2B84"/>
    <w:rsid w:val="002D353D"/>
    <w:rsid w:val="00345263"/>
    <w:rsid w:val="0042467B"/>
    <w:rsid w:val="00427649"/>
    <w:rsid w:val="00427B2C"/>
    <w:rsid w:val="00487047"/>
    <w:rsid w:val="004917E5"/>
    <w:rsid w:val="004C2ECB"/>
    <w:rsid w:val="004C6A63"/>
    <w:rsid w:val="006F7F33"/>
    <w:rsid w:val="00714606"/>
    <w:rsid w:val="007F7301"/>
    <w:rsid w:val="00845344"/>
    <w:rsid w:val="00880B96"/>
    <w:rsid w:val="008E5E94"/>
    <w:rsid w:val="00932A12"/>
    <w:rsid w:val="00941440"/>
    <w:rsid w:val="00945432"/>
    <w:rsid w:val="00A541FB"/>
    <w:rsid w:val="00AA494B"/>
    <w:rsid w:val="00AB702E"/>
    <w:rsid w:val="00B32738"/>
    <w:rsid w:val="00B551B8"/>
    <w:rsid w:val="00BC3824"/>
    <w:rsid w:val="00BE3B70"/>
    <w:rsid w:val="00C10BBD"/>
    <w:rsid w:val="00C523D8"/>
    <w:rsid w:val="00CA31E4"/>
    <w:rsid w:val="00D516C9"/>
    <w:rsid w:val="00D75102"/>
    <w:rsid w:val="00DD56F7"/>
    <w:rsid w:val="00E42374"/>
    <w:rsid w:val="00E87010"/>
    <w:rsid w:val="00E908FD"/>
    <w:rsid w:val="00FA437A"/>
    <w:rsid w:val="00FD67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3EB0B"/>
  <w15:chartTrackingRefBased/>
  <w15:docId w15:val="{0EACE970-33B5-4621-882C-4FF2DED3E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23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423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423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423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423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423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23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23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23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23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423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423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423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423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423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23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23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2374"/>
    <w:rPr>
      <w:rFonts w:eastAsiaTheme="majorEastAsia" w:cstheme="majorBidi"/>
      <w:color w:val="272727" w:themeColor="text1" w:themeTint="D8"/>
    </w:rPr>
  </w:style>
  <w:style w:type="paragraph" w:styleId="Title">
    <w:name w:val="Title"/>
    <w:basedOn w:val="Normal"/>
    <w:next w:val="Normal"/>
    <w:link w:val="TitleChar"/>
    <w:uiPriority w:val="10"/>
    <w:qFormat/>
    <w:rsid w:val="00E423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23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23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23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2374"/>
    <w:pPr>
      <w:spacing w:before="160"/>
      <w:jc w:val="center"/>
    </w:pPr>
    <w:rPr>
      <w:i/>
      <w:iCs/>
      <w:color w:val="404040" w:themeColor="text1" w:themeTint="BF"/>
    </w:rPr>
  </w:style>
  <w:style w:type="character" w:customStyle="1" w:styleId="QuoteChar">
    <w:name w:val="Quote Char"/>
    <w:basedOn w:val="DefaultParagraphFont"/>
    <w:link w:val="Quote"/>
    <w:uiPriority w:val="29"/>
    <w:rsid w:val="00E42374"/>
    <w:rPr>
      <w:i/>
      <w:iCs/>
      <w:color w:val="404040" w:themeColor="text1" w:themeTint="BF"/>
    </w:rPr>
  </w:style>
  <w:style w:type="paragraph" w:styleId="ListParagraph">
    <w:name w:val="List Paragraph"/>
    <w:basedOn w:val="Normal"/>
    <w:uiPriority w:val="34"/>
    <w:qFormat/>
    <w:rsid w:val="00E42374"/>
    <w:pPr>
      <w:ind w:left="720"/>
      <w:contextualSpacing/>
    </w:pPr>
  </w:style>
  <w:style w:type="character" w:styleId="IntenseEmphasis">
    <w:name w:val="Intense Emphasis"/>
    <w:basedOn w:val="DefaultParagraphFont"/>
    <w:uiPriority w:val="21"/>
    <w:qFormat/>
    <w:rsid w:val="00E42374"/>
    <w:rPr>
      <w:i/>
      <w:iCs/>
      <w:color w:val="0F4761" w:themeColor="accent1" w:themeShade="BF"/>
    </w:rPr>
  </w:style>
  <w:style w:type="paragraph" w:styleId="IntenseQuote">
    <w:name w:val="Intense Quote"/>
    <w:basedOn w:val="Normal"/>
    <w:next w:val="Normal"/>
    <w:link w:val="IntenseQuoteChar"/>
    <w:uiPriority w:val="30"/>
    <w:qFormat/>
    <w:rsid w:val="00E423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42374"/>
    <w:rPr>
      <w:i/>
      <w:iCs/>
      <w:color w:val="0F4761" w:themeColor="accent1" w:themeShade="BF"/>
    </w:rPr>
  </w:style>
  <w:style w:type="character" w:styleId="IntenseReference">
    <w:name w:val="Intense Reference"/>
    <w:basedOn w:val="DefaultParagraphFont"/>
    <w:uiPriority w:val="32"/>
    <w:qFormat/>
    <w:rsid w:val="00E42374"/>
    <w:rPr>
      <w:b/>
      <w:bCs/>
      <w:smallCaps/>
      <w:color w:val="0F4761" w:themeColor="accent1" w:themeShade="BF"/>
      <w:spacing w:val="5"/>
    </w:rPr>
  </w:style>
  <w:style w:type="character" w:styleId="Hyperlink">
    <w:name w:val="Hyperlink"/>
    <w:basedOn w:val="DefaultParagraphFont"/>
    <w:uiPriority w:val="99"/>
    <w:unhideWhenUsed/>
    <w:rsid w:val="00E42374"/>
    <w:rPr>
      <w:color w:val="467886" w:themeColor="hyperlink"/>
      <w:u w:val="single"/>
    </w:rPr>
  </w:style>
  <w:style w:type="character" w:styleId="UnresolvedMention">
    <w:name w:val="Unresolved Mention"/>
    <w:basedOn w:val="DefaultParagraphFont"/>
    <w:uiPriority w:val="99"/>
    <w:semiHidden/>
    <w:unhideWhenUsed/>
    <w:rsid w:val="00E42374"/>
    <w:rPr>
      <w:color w:val="605E5C"/>
      <w:shd w:val="clear" w:color="auto" w:fill="E1DFDD"/>
    </w:rPr>
  </w:style>
  <w:style w:type="table" w:styleId="TableGrid">
    <w:name w:val="Table Grid"/>
    <w:basedOn w:val="TableNormal"/>
    <w:uiPriority w:val="39"/>
    <w:rsid w:val="00AA49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2764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370</Words>
  <Characters>2113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la Borbolla Monge, Inigo Jose</dc:creator>
  <cp:keywords/>
  <dc:description/>
  <cp:lastModifiedBy>Oesch, Adrian</cp:lastModifiedBy>
  <cp:revision>2</cp:revision>
  <dcterms:created xsi:type="dcterms:W3CDTF">2024-11-30T20:41:00Z</dcterms:created>
  <dcterms:modified xsi:type="dcterms:W3CDTF">2024-11-30T20:41:00Z</dcterms:modified>
</cp:coreProperties>
</file>