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40"/>
          <w:szCs w:val="40"/>
        </w:rPr>
        <w:t xml:space="preserve">EMPLOYEE BURNOUT RATING PREDICTION</w:t>
      </w:r>
    </w:p>
    <w:p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 xml:space="preserve">End-to-End Machine Learning Project Report</w:t>
      </w:r>
    </w:p>
    <w:p>
      <w:pPr>
        <w:pBdr>
          <w:bottom w:val="single" w:color="1F3864" w:sz="6" w:space="8"/>
        </w:pBdr>
        <w:spacing w:after="900"/>
        <w:jc w:val="center"/>
      </w:pPr>
      <w:r>
        <w:rPr>
          <w:color w:val="666666"/>
          <w:sz w:val="20"/>
          <w:szCs w:val="20"/>
        </w:rPr>
        <w:t xml:space="preserve">Dataset: Employee Burnout Analysis (train.csv)</w:t>
      </w:r>
    </w:p>
    <w:p>
      <w:pPr>
        <w:spacing w:after="4000"/>
        <w:jc w:val="center"/>
      </w:pPr>
      <w:r>
        <w:rPr>
          <w:sz w:val="20"/>
          <w:szCs w:val="20"/>
        </w:rPr>
        <w:t xml:space="preserve">Covers Units 1-4: Data Understanding, EDA, Data Cleaning, Automated EDA,
Feature Selection, Model Building, Evaluation, and Improvement.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1. Understanding the Data (Unit 1)</w:t>
      </w:r>
    </w:p>
    <w:p>
      <w:pPr>
        <w:spacing w:after="100"/>
      </w:pPr>
      <w:r>
        <w:rPr>
          <w:sz w:val="21"/>
          <w:szCs w:val="21"/>
        </w:rPr>
        <w:t xml:space="preserve">The dataset contains 10000 rows and 9 columns.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Numerical Columns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Designation, Resource Allocation, Mental Fatigue Score, Burn Rate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Categorical Columns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Gender, Company Type, WFH Setup Available  (plus Employee ID as an identifier and Date of Joining as a date field)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Missing Values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</w:tblGrid>
      <w:tr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Missing Count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Resource Allocation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6.22%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Mental Fatigue Score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957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9.57%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Burn Rate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4.81%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Duplicate Values</w:t>
      </w:r>
    </w:p>
    <w:p>
      <w:pPr>
        <w:spacing w:after="100"/>
      </w:pPr>
      <w:r>
        <w:rPr>
          <w:sz w:val="21"/>
          <w:szCs w:val="21"/>
        </w:rPr>
        <w:t xml:space="preserve">Duplicate rows found: 0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Dataset Summary</w:t>
      </w:r>
    </w:p>
    <w:p>
      <w:pPr>
        <w:spacing w:after="100"/>
      </w:pPr>
      <w:r>
        <w:rPr>
          <w:sz w:val="21"/>
          <w:szCs w:val="21"/>
        </w:rPr>
        <w:t xml:space="preserve">Key descriptive statistics for the numeric columns (from dataset_summary.csv):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0"/>
        <w:gridCol w:w="1750"/>
        <w:gridCol w:w="1750"/>
        <w:gridCol w:w="1750"/>
      </w:tblGrid>
      <w:tr>
        <w:tc>
          <w:tcPr>
            <w:tcW w:type="dxa" w:w="2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Designation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2.183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1.143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Resource Allocation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4.498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2.053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Mental Fatigue Score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5.731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1.922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Burn Rate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0.452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0.199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2. Exploratory Data Analysis (Units 1 &amp; 2)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Histograms</w:t>
      </w:r>
    </w:p>
    <w:p>
      <w:pPr>
        <w:spacing w:after="100"/>
      </w:pPr>
      <w:r>
        <w:rPr>
          <w:sz w:val="21"/>
          <w:szCs w:val="21"/>
        </w:rPr>
        <w:t xml:space="preserve">Distribution of the four numeric columns:</w:t>
      </w:r>
    </w:p>
    <w:p>
      <w:pPr>
        <w:spacing w:after="200"/>
        <w:jc w:val="center"/>
      </w:pPr>
      <w:r>
        <w:drawing>
          <wp:inline distT="0" distB="0" distL="0" distR="0">
            <wp:extent cx="5334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Box Plots</w:t>
      </w:r>
    </w:p>
    <w:p>
      <w:pPr>
        <w:spacing w:after="100"/>
      </w:pPr>
      <w:r>
        <w:rPr>
          <w:sz w:val="21"/>
          <w:szCs w:val="21"/>
        </w:rPr>
        <w:t xml:space="preserve">Box plots reveal potential outliers, especially in Mental Fatigue Score and Burn Rate:</w:t>
      </w:r>
    </w:p>
    <w:p>
      <w:pPr>
        <w:spacing w:after="200"/>
        <w:jc w:val="center"/>
      </w:pPr>
      <w:r>
        <w:drawing>
          <wp:inline distT="0" distB="0" distL="0" distR="0">
            <wp:extent cx="5334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Pie Charts</w:t>
      </w:r>
    </w:p>
    <w:p>
      <w:pPr>
        <w:spacing w:after="100"/>
      </w:pPr>
      <w:r>
        <w:rPr>
          <w:sz w:val="21"/>
          <w:szCs w:val="21"/>
        </w:rPr>
        <w:t xml:space="preserve">Category-wise proportions for Gender, Company Type, and WFH Setup Available:</w:t>
      </w:r>
    </w:p>
    <w:p>
      <w:pPr>
        <w:spacing w:after="200"/>
        <w:jc w:val="center"/>
      </w:pPr>
      <w:r>
        <w:drawing>
          <wp:inline distT="0" distB="0" distL="0" distR="0">
            <wp:extent cx="4953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Bar Chart</w:t>
      </w:r>
    </w:p>
    <w:p>
      <w:pPr>
        <w:spacing w:after="100"/>
      </w:pPr>
      <w:r>
        <w:rPr>
          <w:sz w:val="21"/>
          <w:szCs w:val="21"/>
        </w:rPr>
        <w:t xml:space="preserve">Average Burn Rate compared across Company Type:</w:t>
      </w:r>
    </w:p>
    <w:p>
      <w:pPr>
        <w:spacing w:after="20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Correlation Matrix</w:t>
      </w:r>
    </w:p>
    <w:p>
      <w:pPr>
        <w:spacing w:after="100"/>
      </w:pPr>
      <w:r>
        <w:rPr>
          <w:sz w:val="21"/>
          <w:szCs w:val="21"/>
        </w:rPr>
        <w:t xml:space="preserve">Correlation between numeric features and the target variable:</w:t>
      </w:r>
    </w:p>
    <w:p>
      <w:pPr>
        <w:spacing w:after="200"/>
        <w:jc w:val="center"/>
      </w:pPr>
      <w:r>
        <w:drawing>
          <wp:inline distT="0" distB="0" distL="0" distR="0">
            <wp:extent cx="4000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EDA Report Summary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Mental Fatigue Score has the strongest correlation with Burn Rate (r = 0.944).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Resource Allocation is also strongly correlated with Burn Rate (r = 0.857).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Designation shows a moderate positive correlation with Burn Rate (r = 0.737).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Numeric features are approximately normally distributed with mild skew; categorical features are reasonably balanced.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3. Handling Missing Values &amp; Outliers (Unit 2)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Missing Value Treatment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Rows with a missing target (Burn Rate) were removed, since the label cannot be reliably imputed.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Missing values in Resource Allocation and Mental Fatigue Score were filled using the column median.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Rows before cleaning: 10000  |  Rows after cleaning: 9519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Outlier Treatment (IQR Method)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</w:tblGrid>
      <w:tr>
        <w:tc>
          <w:tcPr>
            <w:tcW w:type="dxa" w:w="2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Lower Bound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Upper Bound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Outliers Found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Resource Allocation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-1.5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Mental Fatigue Score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Burn Rate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-0.085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Outliers were capped (winsorized) to the IQR bounds rather than removed, to preserve sample size.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Before vs After Comparison</w:t>
      </w:r>
    </w:p>
    <w:p>
      <w:pPr>
        <w:spacing w:after="20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  <w:szCs w:val="21"/>
        </w:rPr>
        <w:t xml:space="preserve">After treatment, extreme values are pulled within the IQR bounds while the overall mean and distribution shape are preserved.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4. Automated EDA (Unit 2)</w:t>
      </w:r>
    </w:p>
    <w:p>
      <w:pPr>
        <w:spacing w:after="100"/>
      </w:pPr>
      <w:r>
        <w:rPr>
          <w:sz w:val="21"/>
          <w:szCs w:val="21"/>
        </w:rPr>
        <w:t xml:space="preserve">Standard automated-EDA libraries (Pandas Profiling / ydata-profiling, Sweetviz, AutoViz, D-Tale) require an internet connection to install, which was not available in this environment. An equivalent self-contained HTML profiling report was generated programmatically, covering column types, missing values, unique-value counts, and summary statistics for every column.</w:t>
      </w:r>
    </w:p>
    <w:p>
      <w:pPr>
        <w:spacing w:after="100"/>
      </w:pPr>
      <w:r>
        <w:rPr>
          <w:sz w:val="21"/>
          <w:szCs w:val="21"/>
        </w:rPr>
        <w:t xml:space="preserve">Output file: output/automated_eda_report.html (included in the project submission).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5. Feature Selection (Unit 3/4)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Dependent Variable (Target)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Burn Rate — continuous value (0 to 1) representing burnout severity.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Independent Variables (Features)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Gender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Company Type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WFH Setup Available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Designation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Resource Allocation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Mental Fatigue Score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Train-Test Split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Training set: 7615 rows (80%)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Test set: 1904 rows (20%)</w:t>
      </w:r>
    </w:p>
    <w:p>
      <w:pPr>
        <w:spacing w:after="100"/>
      </w:pPr>
      <w:r>
        <w:rPr>
          <w:sz w:val="21"/>
          <w:szCs w:val="21"/>
        </w:rPr>
        <w:t xml:space="preserve">Categorical features (Gender, Company Type, WFH Setup Available) were label-encoded, and all features were standardized using StandardScaler before modeling.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6. Build ML Model (Unit 4)</w:t>
      </w:r>
    </w:p>
    <w:p>
      <w:pPr>
        <w:spacing w:after="100"/>
      </w:pPr>
      <w:r>
        <w:rPr>
          <w:sz w:val="21"/>
          <w:szCs w:val="21"/>
        </w:rPr>
        <w:t xml:space="preserve">Since Burn Rate is a continuous numeric target, this is a regression problem. A Linear Regression model was built as the baseline model.</w:t>
      </w: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Feature Coefficients</w:t>
      </w:r>
    </w:p>
    <w:p>
      <w:pPr>
        <w:spacing w:after="20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  <w:szCs w:val="21"/>
        </w:rPr>
        <w:t xml:space="preserve">Mental Fatigue Score has the largest positive coefficient, confirming it is the strongest driver of burnout in the linear model.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7. Model Evaluation (Units 3 &amp; 4)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R² Score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0.8785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RMSE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0.0708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0.0535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An R² of 0.8785 means the model explains about 88% of the variance in Burn Rate. The low RMSE (0.0708) relative to the 0-1 target scale indicates good prediction accuracy.</w:t>
      </w:r>
    </w:p>
    <w:p>
      <w:pPr>
        <w:spacing w:after="100"/>
      </w:pPr>
      <w:r>
        <w:rPr>
          <w:sz w:val="21"/>
          <w:szCs w:val="21"/>
        </w:rPr>
        <w:t xml:space="preserve">Note: this is a regression problem, so classification metrics (Accuracy, Precision, Recall, F1) do not apply.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8. Improve Model (Unit 4)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Cross-Validation &amp; Regularization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900"/>
        <w:gridCol w:w="1900"/>
      </w:tblGrid>
      <w:t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R²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RMSE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R² (mean)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R² (std)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LinearRegression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0.8668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0.0064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Ridge (alpha=1.0)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0.8785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0.0708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0.8668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0.0064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Lasso (alpha=0.001)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0.8783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0.0708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0.8668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0.0065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1"/>
          <w:szCs w:val="21"/>
        </w:rPr>
        <w:t xml:space="preserve">5-fold cross-validation confirms the model generalizes consistently (low standard deviation across folds). Ridge and Lasso regularization were applied to test for overfitting; results are nearly identical to plain Linear Regression, indicating the baseline model was not overfitting and regularization was not strictly necessary for this dataset.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9-10. Python Code &amp; Program Results</w:t>
      </w:r>
    </w:p>
    <w:p>
      <w:pPr>
        <w:spacing w:after="100"/>
      </w:pPr>
      <w:r>
        <w:rPr>
          <w:sz w:val="21"/>
          <w:szCs w:val="21"/>
        </w:rPr>
        <w:t xml:space="preserve">The complete pipeline (data understanding through model improvement) is implemented in full_analysis.py, included in the project submission. Key excerpt — model building and evaluation: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lr = LinearRegression()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lr.fit(X_train_scaled, y_train)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y_pred = lr.predict(X_test_scaled)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r2  = r2_score(y_test, y_pred)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mse = mean_squared_error(y_test, y_pred)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rmse = np.sqrt(mse)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mae = mean_absolute_error(y_test, y_pred)</w:t>
      </w:r>
    </w:p>
    <w:p>
      <w:pPr>
        <w:spacing w:after="10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Program output (Results): R² = 0.8785, MSE = 0.005, RMSE = 0.0708, MAE = 0.0535.</w:t>
      </w:r>
    </w:p>
    <w:p>
      <w:pPr>
        <w:spacing w:after="100"/>
      </w:pPr>
      <w:r>
        <w:rPr>
          <w:sz w:val="21"/>
          <w:szCs w:val="21"/>
        </w:rPr>
        <w:t xml:space="preserve">Full console output, CSV summaries, and all charts are included in the /output and /plots folders of the submission.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11. Conclusion &amp; Future Scope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Findings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Mental Fatigue Score is the single strongest predictor of employee Burn Rate, followed by Resource Allocation and Designation.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The Linear Regression model achieved a strong R² of 0.8785 on unseen test data, meaning it explains roughly 88% of the variation in burnout.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Cross-validation confirmed the model is stable and not overfitting; regularized variants (Ridge, Lasso) performed nearly identically.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Missing values (5-10% across three columns) and a modest number of outliers were present but manageable through median imputation and IQR capping.</w:t>
      </w:r>
    </w:p>
    <w:p>
      <w:pPr>
        <w:pStyle w:val="Heading2"/>
        <w:spacing w:after="80" w:before="160"/>
      </w:pPr>
      <w:r>
        <w:rPr>
          <w:b/>
          <w:bCs/>
          <w:color w:val="2F5C8A"/>
          <w:sz w:val="22"/>
          <w:szCs w:val="22"/>
        </w:rPr>
        <w:t xml:space="preserve">Future Scope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Try non-linear models (Random Forest, Gradient Boosting) to potentially capture interaction effects between features.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Collect additional features such as working hours, leave patterns, or manager feedback to improve predictive power.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Deploy the model as a live dashboard/API for HR teams to flag high-risk employees in real time.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Re-validate the model periodically as workplace patterns evolve (e.g., hybrid work trends).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27"/>
          <w:szCs w:val="27"/>
        </w:rPr>
        <w:t xml:space="preserve">12. Soft Copy Submission Contents</w:t>
      </w:r>
    </w:p>
    <w:p>
      <w:pPr>
        <w:spacing w:after="100"/>
      </w:pPr>
      <w:r>
        <w:rPr>
          <w:sz w:val="21"/>
          <w:szCs w:val="21"/>
        </w:rPr>
        <w:t xml:space="preserve">The final submission package includes: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full_analysis.py — complete Python source code for the pipeline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train.csv — the original dataset used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This report (Employee_Burnout_Project_Report.docx)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output/ folder — dataset_summary.csv, before_after_comparison.csv, model_improvement_comparison.csv, results_summary.json, automated_eda_report.html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plots/ folder — all generated charts (histograms, box plots, pie charts, bar chart, correlation matrix, before/after comparison, actual vs predicted, feature coefficients, model comparison)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f527f53b9ffaa289caadb742f11bd42c507a71.png"/><Relationship Id="rId8" Type="http://schemas.openxmlformats.org/officeDocument/2006/relationships/image" Target="media/56042a648dd6c52e8d29c8e65135e415545672a1.png"/><Relationship Id="rId9" Type="http://schemas.openxmlformats.org/officeDocument/2006/relationships/image" Target="media/23bf9e874ed68ee5645b7ab7cce6e128c1febb6a.png"/><Relationship Id="rId10" Type="http://schemas.openxmlformats.org/officeDocument/2006/relationships/image" Target="media/ca91f3df17ab475f481c78d77e93ed6eed743e89.png"/><Relationship Id="rId11" Type="http://schemas.openxmlformats.org/officeDocument/2006/relationships/image" Target="media/5b10a67b84415d0a9c3f2b26a6df46847530b080.png"/><Relationship Id="rId12" Type="http://schemas.openxmlformats.org/officeDocument/2006/relationships/image" Target="media/6f7e1236e9d46d800886a1d124740d84828b7dd4.png"/><Relationship Id="rId13" Type="http://schemas.openxmlformats.org/officeDocument/2006/relationships/image" Target="media/03897238f2e5db6ed89a01a3c81b762e43a9e689.png"/><Relationship Id="rId14" Type="http://schemas.openxmlformats.org/officeDocument/2006/relationships/image" Target="media/64d59fd4a8b13bc91f6665dbe2f56c5a5755a4c1.png"/><Relationship Id="rId15" Type="http://schemas.openxmlformats.org/officeDocument/2006/relationships/image" Target="media/4cbdc300d1628c962353388eb97c2fb8704e964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2026-09-08T04:12:51.731Z</dcterms:created>
  <dcterms:modified xsi:type="dcterms:W3CDTF">2026-09-08T04:12:51.740Z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