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PROJECT PROPOSAL</w:t>
      </w:r>
    </w:p>
    <w:p>
      <w:pPr>
        <w:pBdr>
          <w:bottom w:val="single" w:color="1F3864" w:sz="6" w:space="4"/>
        </w:pBdr>
        <w:spacing w:after="200"/>
        <w:jc w:val="center"/>
      </w:pPr>
      <w:r>
        <w:rPr>
          <w:i/>
          <w:iCs/>
          <w:color w:val="444444"/>
          <w:sz w:val="20"/>
          <w:szCs w:val="20"/>
        </w:rPr>
        <w:t xml:space="preserve">Machine Learning Project | Academic Submission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3864" w:val="clear"/>
            <w:tcMar>
              <w:top w:type="dxa" w:w="100"/>
              <w:left w:type="dxa" w:w="120"/>
              <w:bottom w:type="dxa" w:w="100"/>
              <w:right w:type="dxa" w:w="120"/>
            </w:tcMar>
          </w:tcPr>
          <w:p>
            <w:r>
              <w:rPr>
                <w:b/>
                <w:bCs/>
                <w:color w:val="FFFFFF"/>
                <w:sz w:val="21"/>
                <w:szCs w:val="21"/>
              </w:rPr>
              <w:t xml:space="preserve">Project Title</w:t>
            </w:r>
          </w:p>
        </w:tc>
        <w:tc>
          <w:tcPr>
            <w:tcW w:type="dxa" w:w="7300"/>
            <w:tcMar>
              <w:top w:type="dxa" w:w="100"/>
              <w:left w:type="dxa" w:w="150"/>
              <w:bottom w:type="dxa" w:w="100"/>
              <w:right w:type="dxa" w:w="120"/>
            </w:tcMar>
          </w:tcPr>
          <w:p>
            <w:pPr>
              <w:spacing w:after="0"/>
            </w:pPr>
            <w:r>
              <w:rPr>
                <w:sz w:val="21"/>
                <w:szCs w:val="21"/>
              </w:rPr>
              <w:t xml:space="preserve">Employee Burnout Rating Prediction using Machine Learning</w:t>
            </w:r>
          </w:p>
        </w:tc>
      </w:tr>
      <w:tr>
        <w:tc>
          <w:tcPr>
            <w:tcW w:type="dxa" w:w="2200"/>
            <w:shd w:fill="1F3864" w:val="clear"/>
            <w:tcMar>
              <w:top w:type="dxa" w:w="100"/>
              <w:left w:type="dxa" w:w="120"/>
              <w:bottom w:type="dxa" w:w="100"/>
              <w:right w:type="dxa" w:w="120"/>
            </w:tcMar>
          </w:tcPr>
          <w:p>
            <w:r>
              <w:rPr>
                <w:b/>
                <w:bCs/>
                <w:color w:val="FFFFFF"/>
                <w:sz w:val="21"/>
                <w:szCs w:val="21"/>
              </w:rPr>
              <w:t xml:space="preserve">Problem Statement</w:t>
            </w:r>
          </w:p>
        </w:tc>
        <w:tc>
          <w:tcPr>
            <w:tcW w:type="dxa" w:w="7300"/>
            <w:tcMar>
              <w:top w:type="dxa" w:w="100"/>
              <w:left w:type="dxa" w:w="150"/>
              <w:bottom w:type="dxa" w:w="100"/>
              <w:right w:type="dxa" w:w="120"/>
            </w:tcMar>
          </w:tcPr>
          <w:p>
            <w:pPr>
              <w:spacing w:after="0"/>
            </w:pPr>
            <w:r>
              <w:rPr>
                <w:sz w:val="21"/>
                <w:szCs w:val="21"/>
              </w:rPr>
              <w:t xml:space="preserve">Organizations struggle to identify employees who are at high risk of burnout before it affects health, productivity, and retention. Manual observation is subjective and often too late. This project aims to build a predictive model that estimates an employee's Burn Rate from work-related and personal attributes, enabling HR teams to intervene early.</w:t>
            </w:r>
          </w:p>
        </w:tc>
      </w:tr>
      <w:tr>
        <w:tc>
          <w:tcPr>
            <w:tcW w:type="dxa" w:w="2200"/>
            <w:shd w:fill="1F3864" w:val="clear"/>
            <w:tcMar>
              <w:top w:type="dxa" w:w="100"/>
              <w:left w:type="dxa" w:w="120"/>
              <w:bottom w:type="dxa" w:w="100"/>
              <w:right w:type="dxa" w:w="120"/>
            </w:tcMar>
          </w:tcPr>
          <w:p>
            <w:r>
              <w:rPr>
                <w:b/>
                <w:bCs/>
                <w:color w:val="FFFFFF"/>
                <w:sz w:val="21"/>
                <w:szCs w:val="21"/>
              </w:rPr>
              <w:t xml:space="preserve">Dataset Source</w:t>
            </w:r>
          </w:p>
        </w:tc>
        <w:tc>
          <w:tcPr>
            <w:tcW w:type="dxa" w:w="7300"/>
            <w:tcMar>
              <w:top w:type="dxa" w:w="100"/>
              <w:left w:type="dxa" w:w="150"/>
              <w:bottom w:type="dxa" w:w="100"/>
              <w:right w:type="dxa" w:w="120"/>
            </w:tcMar>
          </w:tcPr>
          <w:p>
            <w:pPr>
              <w:spacing w:after="0"/>
            </w:pPr>
            <w:r>
              <w:rPr>
                <w:sz w:val="21"/>
                <w:szCs w:val="21"/>
              </w:rPr>
              <w:t xml:space="preserve">"Employee Burnout Analysis" dataset (train.csv) — includes Employee ID, Date of Joining, Gender, Company Type, WFH Setup Available, Designation, Resource Allocation, Mental Fatigue Score, and Burn Rate (target, range 0-1).</w:t>
            </w:r>
          </w:p>
        </w:tc>
      </w:tr>
      <w:tr>
        <w:tc>
          <w:tcPr>
            <w:tcW w:type="dxa" w:w="2200"/>
            <w:shd w:fill="1F3864" w:val="clear"/>
            <w:tcMar>
              <w:top w:type="dxa" w:w="100"/>
              <w:left w:type="dxa" w:w="120"/>
              <w:bottom w:type="dxa" w:w="100"/>
              <w:right w:type="dxa" w:w="120"/>
            </w:tcMar>
          </w:tcPr>
          <w:p>
            <w:r>
              <w:rPr>
                <w:b/>
                <w:bCs/>
                <w:color w:val="FFFFFF"/>
                <w:sz w:val="21"/>
                <w:szCs w:val="21"/>
              </w:rPr>
              <w:t xml:space="preserve">Objective</w:t>
            </w:r>
          </w:p>
        </w:tc>
        <w:tc>
          <w:tcPr>
            <w:tcW w:type="dxa" w:w="7300"/>
            <w:tcMar>
              <w:top w:type="dxa" w:w="100"/>
              <w:left w:type="dxa" w:w="150"/>
              <w:bottom w:type="dxa" w:w="100"/>
              <w:right w:type="dxa" w:w="120"/>
            </w:tcMar>
          </w:tcPr>
          <w:p>
            <w:pPr>
              <w:pStyle w:val="ListParagraph"/>
              <w:numPr>
                <w:ilvl w:val="0"/>
                <w:numId w:val="1"/>
              </w:numPr>
              <w:spacing w:after="40"/>
            </w:pPr>
            <w:r>
              <w:rPr>
                <w:sz w:val="21"/>
                <w:szCs w:val="21"/>
              </w:rPr>
              <w:t xml:space="preserve">Clean and preprocess employee data, handling missing values and encoding categorical fields.</w:t>
            </w:r>
          </w:p>
          <w:p>
            <w:pPr>
              <w:pStyle w:val="ListParagraph"/>
              <w:numPr>
                <w:ilvl w:val="0"/>
                <w:numId w:val="1"/>
              </w:numPr>
              <w:spacing w:after="40"/>
            </w:pPr>
            <w:r>
              <w:rPr>
                <w:sz w:val="21"/>
                <w:szCs w:val="21"/>
              </w:rPr>
              <w:t xml:space="preserve">Train a Random Forest Regression model to predict Burn Rate from employee attributes.</w:t>
            </w:r>
          </w:p>
          <w:p>
            <w:pPr>
              <w:pStyle w:val="ListParagraph"/>
              <w:numPr>
                <w:ilvl w:val="0"/>
                <w:numId w:val="1"/>
              </w:numPr>
              <w:spacing w:after="40"/>
            </w:pPr>
            <w:r>
              <w:rPr>
                <w:sz w:val="21"/>
                <w:szCs w:val="21"/>
              </w:rPr>
              <w:t xml:space="preserve">Identify the key factors (e.g., Mental Fatigue Score, Resource Allocation) that drive burnout.</w:t>
            </w:r>
          </w:p>
          <w:p>
            <w:pPr>
              <w:pStyle w:val="ListParagraph"/>
              <w:numPr>
                <w:ilvl w:val="0"/>
                <w:numId w:val="1"/>
              </w:numPr>
              <w:spacing w:after="40"/>
            </w:pPr>
            <w:r>
              <w:rPr>
                <w:sz w:val="21"/>
                <w:szCs w:val="21"/>
              </w:rPr>
              <w:t xml:space="preserve">Build a simple interface to predict burnout risk for a new employee's data.</w:t>
            </w:r>
          </w:p>
        </w:tc>
      </w:tr>
      <w:tr>
        <w:tc>
          <w:tcPr>
            <w:tcW w:type="dxa" w:w="2200"/>
            <w:shd w:fill="1F3864" w:val="clear"/>
            <w:tcMar>
              <w:top w:type="dxa" w:w="100"/>
              <w:left w:type="dxa" w:w="120"/>
              <w:bottom w:type="dxa" w:w="100"/>
              <w:right w:type="dxa" w:w="120"/>
            </w:tcMar>
          </w:tcPr>
          <w:p>
            <w:r>
              <w:rPr>
                <w:b/>
                <w:bCs/>
                <w:color w:val="FFFFFF"/>
                <w:sz w:val="21"/>
                <w:szCs w:val="21"/>
              </w:rPr>
              <w:t xml:space="preserve">Expected Output</w:t>
            </w:r>
          </w:p>
        </w:tc>
        <w:tc>
          <w:tcPr>
            <w:tcW w:type="dxa" w:w="7300"/>
            <w:tcMar>
              <w:top w:type="dxa" w:w="100"/>
              <w:left w:type="dxa" w:w="150"/>
              <w:bottom w:type="dxa" w:w="100"/>
              <w:right w:type="dxa" w:w="120"/>
            </w:tcMar>
          </w:tcPr>
          <w:p>
            <w:pPr>
              <w:pStyle w:val="ListParagraph"/>
              <w:numPr>
                <w:ilvl w:val="0"/>
                <w:numId w:val="1"/>
              </w:numPr>
              <w:spacing w:after="40"/>
            </w:pPr>
            <w:r>
              <w:rPr>
                <w:sz w:val="21"/>
                <w:szCs w:val="21"/>
              </w:rPr>
              <w:t xml:space="preserve">A trained regression model with performance metrics (MAE and R² score).</w:t>
            </w:r>
          </w:p>
          <w:p>
            <w:pPr>
              <w:pStyle w:val="ListParagraph"/>
              <w:numPr>
                <w:ilvl w:val="0"/>
                <w:numId w:val="1"/>
              </w:numPr>
              <w:spacing w:after="40"/>
            </w:pPr>
            <w:r>
              <w:rPr>
                <w:sz w:val="21"/>
                <w:szCs w:val="21"/>
              </w:rPr>
              <w:t xml:space="preserve">A ranked list of feature importances showing top burnout drivers.</w:t>
            </w:r>
          </w:p>
          <w:p>
            <w:pPr>
              <w:pStyle w:val="ListParagraph"/>
              <w:numPr>
                <w:ilvl w:val="0"/>
                <w:numId w:val="1"/>
              </w:numPr>
              <w:spacing w:after="40"/>
            </w:pPr>
            <w:r>
              <w:rPr>
                <w:sz w:val="21"/>
                <w:szCs w:val="21"/>
              </w:rPr>
              <w:t xml:space="preserve">A Burn Rate prediction (0-1) and risk category (Low / Moderate / High) for any new employee entered.</w:t>
            </w:r>
          </w:p>
          <w:p>
            <w:pPr>
              <w:pStyle w:val="ListParagraph"/>
              <w:numPr>
                <w:ilvl w:val="0"/>
                <w:numId w:val="1"/>
              </w:numPr>
              <w:spacing w:after="40"/>
            </w:pPr>
            <w:r>
              <w:rPr>
                <w:sz w:val="21"/>
                <w:szCs w:val="21"/>
              </w:rPr>
              <w:t xml:space="preserve">Visualizations: scatter plot (Mental Fatigue vs Burn Rate) and box plot (Burn Rate by Company Type).</w:t>
            </w:r>
          </w:p>
        </w:tc>
      </w:tr>
    </w:tbl>
    <w:p>
      <w:pPr>
        <w:pBdr>
          <w:top w:val="single" w:color="999999" w:sz="4" w:space="6"/>
        </w:pBdr>
        <w:spacing w:before="220"/>
      </w:pPr>
      <w:r>
        <w:rPr>
          <w:b/>
          <w:bCs/>
          <w:sz w:val="20"/>
          <w:szCs w:val="20"/>
        </w:rPr>
        <w:t xml:space="preserve">Tools &amp; Technology: </w:t>
      </w:r>
      <w:r>
        <w:rPr>
          <w:sz w:val="20"/>
          <w:szCs w:val="20"/>
        </w:rPr>
        <w:t xml:space="preserve">Python, Pandas, NumPy, Scikit-learn (Random Forest), Matplotlib, Seaborn.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2026-09-08T04:03:27.574Z</dcterms:created>
  <dcterms:modified xsi:type="dcterms:W3CDTF">2026-09-08T04:03:27.585Z</dcterms:modified>
</cp:coreProperties>
</file>

<file path=docProps/custom.xml><?xml version="1.0" encoding="utf-8"?>
<Properties xmlns="http://schemas.openxmlformats.org/officeDocument/2006/custom-properties" xmlns:vt="http://schemas.openxmlformats.org/officeDocument/2006/docPropsVTypes"/>
</file>