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PUMPKIN SEEDS – DATA CLEANING &amp; ANALYSIS REPORT</w:t>
      </w:r>
    </w:p>
    <w:p>
      <w:pPr>
        <w:jc w:val="center"/>
      </w:pPr>
      <w:r>
        <w:rPr>
          <w:i/>
          <w:sz w:val="22"/>
        </w:rPr>
        <w:t>Data preparation, Pivot Table methodology, findings and GTM implications</w:t>
      </w:r>
    </w:p>
    <w:p>
      <w:r>
        <w:t>Prepared from the final cleaned dataset and the Analysis/Pivot Table workbook supplied for the assignment.</w:t>
      </w:r>
    </w:p>
    <w:p>
      <w:pPr>
        <w:pStyle w:val="Heading1"/>
      </w:pPr>
      <w:r>
        <w:t>1. Objective of the Analysis</w:t>
      </w:r>
    </w:p>
    <w:p>
      <w:r>
        <w:t>The objective is to understand the recorded Pumpkin Seeds trade in the supplied shipment dataset and convert the cleaned transaction-level data into actionable business insights for Farmley. The analysis focuses on trade value, volume, price, destination markets, ports, buyers/consignees, seasonality, exporters/shippers, competitive relationships and country growth.</w:t>
      </w:r>
    </w:p>
    <w:p>
      <w:pPr>
        <w:pStyle w:val="Heading1"/>
      </w:pPr>
      <w:r>
        <w:t>2. Starting Dataset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Starting position</w:t>
            </w:r>
          </w:p>
        </w:tc>
      </w:tr>
      <w:tr>
        <w:tc>
          <w:tcPr>
            <w:tcW w:type="dxa" w:w="4968"/>
            <w:vAlign w:val="center"/>
          </w:tcPr>
          <w:p>
            <w:r>
              <w:t>Data rows</w:t>
            </w:r>
          </w:p>
        </w:tc>
        <w:tc>
          <w:tcPr>
            <w:tcW w:type="dxa" w:w="4968"/>
            <w:vAlign w:val="center"/>
          </w:tcPr>
          <w:p>
            <w:r>
              <w:t>724</w:t>
            </w:r>
          </w:p>
        </w:tc>
      </w:tr>
      <w:tr>
        <w:tc>
          <w:tcPr>
            <w:tcW w:type="dxa" w:w="4968"/>
            <w:vAlign w:val="center"/>
          </w:tcPr>
          <w:p>
            <w:r>
              <w:t>Columns</w:t>
            </w:r>
          </w:p>
        </w:tc>
        <w:tc>
          <w:tcPr>
            <w:tcW w:type="dxa" w:w="4968"/>
            <w:vAlign w:val="center"/>
          </w:tcPr>
          <w:p>
            <w:r>
              <w:t>54</w:t>
            </w:r>
          </w:p>
        </w:tc>
      </w:tr>
      <w:tr>
        <w:tc>
          <w:tcPr>
            <w:tcW w:type="dxa" w:w="4968"/>
            <w:vAlign w:val="center"/>
          </w:tcPr>
          <w:p>
            <w:r>
              <w:t>Final cleaned rows</w:t>
            </w:r>
          </w:p>
        </w:tc>
        <w:tc>
          <w:tcPr>
            <w:tcW w:type="dxa" w:w="4968"/>
            <w:vAlign w:val="center"/>
          </w:tcPr>
          <w:p>
            <w:r>
              <w:t>440</w:t>
            </w:r>
          </w:p>
        </w:tc>
      </w:tr>
      <w:tr>
        <w:tc>
          <w:tcPr>
            <w:tcW w:type="dxa" w:w="4968"/>
            <w:vAlign w:val="center"/>
          </w:tcPr>
          <w:p>
            <w:r>
              <w:t>Final analysis columns</w:t>
            </w:r>
          </w:p>
        </w:tc>
        <w:tc>
          <w:tcPr>
            <w:tcW w:type="dxa" w:w="4968"/>
            <w:vAlign w:val="center"/>
          </w:tcPr>
          <w:p>
            <w:r>
              <w:t>25</w:t>
            </w:r>
          </w:p>
        </w:tc>
      </w:tr>
      <w:tr>
        <w:tc>
          <w:tcPr>
            <w:tcW w:type="dxa" w:w="4968"/>
            <w:vAlign w:val="center"/>
          </w:tcPr>
          <w:p>
            <w:r>
              <w:t>Excluded rows</w:t>
            </w:r>
          </w:p>
        </w:tc>
        <w:tc>
          <w:tcPr>
            <w:tcW w:type="dxa" w:w="4968"/>
            <w:vAlign w:val="center"/>
          </w:tcPr>
          <w:p>
            <w:r>
              <w:t>284</w:t>
            </w:r>
          </w:p>
        </w:tc>
      </w:tr>
      <w:tr>
        <w:tc>
          <w:tcPr>
            <w:tcW w:type="dxa" w:w="4968"/>
            <w:vAlign w:val="center"/>
          </w:tcPr>
          <w:p>
            <w:r>
              <w:t>Manual-review records</w:t>
            </w:r>
          </w:p>
        </w:tc>
        <w:tc>
          <w:tcPr>
            <w:tcW w:type="dxa" w:w="4968"/>
            <w:vAlign w:val="center"/>
          </w:tcPr>
          <w:p>
            <w:r>
              <w:t>9</w:t>
            </w:r>
          </w:p>
        </w:tc>
      </w:tr>
      <w:tr>
        <w:tc>
          <w:tcPr>
            <w:tcW w:type="dxa" w:w="4968"/>
            <w:vAlign w:val="center"/>
          </w:tcPr>
          <w:p>
            <w:r>
              <w:t>Exact duplicate rows</w:t>
            </w:r>
          </w:p>
        </w:tc>
        <w:tc>
          <w:tcPr>
            <w:tcW w:type="dxa" w:w="4968"/>
            <w:vAlign w:val="center"/>
          </w:tcPr>
          <w:p>
            <w:r>
              <w:t>0</w:t>
            </w:r>
          </w:p>
        </w:tc>
      </w:tr>
      <w:tr>
        <w:tc>
          <w:tcPr>
            <w:tcW w:type="dxa" w:w="4968"/>
            <w:vAlign w:val="center"/>
          </w:tcPr>
          <w:p>
            <w:r>
              <w:t>Potential duplicate rows</w:t>
            </w:r>
          </w:p>
        </w:tc>
        <w:tc>
          <w:tcPr>
            <w:tcW w:type="dxa" w:w="4968"/>
            <w:vAlign w:val="center"/>
          </w:tcPr>
          <w:p>
            <w:r>
              <w:t>10</w:t>
            </w:r>
          </w:p>
        </w:tc>
      </w:tr>
      <w:tr>
        <w:tc>
          <w:tcPr>
            <w:tcW w:type="dxa" w:w="4968"/>
            <w:vAlign w:val="center"/>
          </w:tcPr>
          <w:p>
            <w:r>
              <w:t>Missing Rate Currency values in final data</w:t>
            </w:r>
          </w:p>
        </w:tc>
        <w:tc>
          <w:tcPr>
            <w:tcW w:type="dxa" w:w="4968"/>
            <w:vAlign w:val="center"/>
          </w:tcPr>
          <w:p>
            <w:r>
              <w:t>5</w:t>
            </w:r>
          </w:p>
        </w:tc>
      </w:tr>
    </w:tbl>
    <w:p>
      <w:pPr>
        <w:pStyle w:val="Heading1"/>
      </w:pPr>
      <w:r>
        <w:t>3. Data Cleaning – Step by Step</w:t>
      </w:r>
    </w:p>
    <w:p>
      <w:pPr>
        <w:pStyle w:val="Heading2"/>
      </w:pPr>
      <w:r>
        <w:t>3.1 Understand the business scope</w:t>
      </w:r>
    </w:p>
    <w:p>
      <w:r>
        <w:t>The first step was to define what should count as a relevant Pumpkin Seeds record. The target is edible/food-use Pumpkin Seeds relevant to Farmley's market analysis, rather than every shipment containing the words 'pumpkin' or 'seed'.</w:t>
      </w:r>
    </w:p>
    <w:p>
      <w:pPr>
        <w:pStyle w:val="Heading2"/>
      </w:pPr>
      <w:r>
        <w:t>3.2 Inspect the available columns</w:t>
      </w:r>
    </w:p>
    <w:p>
      <w:r>
        <w:t>The raw file contained 54 columns. Columns were reviewed according to whether they contribute to product identification, transaction value, quantity, pricing, geography, buyer/supplier identification, shipment timing or traceability.</w:t>
      </w:r>
    </w:p>
    <w:p>
      <w:pPr>
        <w:pStyle w:val="Heading2"/>
      </w:pPr>
      <w:r>
        <w:t>3.3 Product-scope validation</w:t>
      </w:r>
    </w:p>
    <w:p>
      <w:r>
        <w:t>Product Description was compared with HS Code and HS Description. Records were excluded when the shipment clearly represented a different product or use, including:</w:t>
      </w:r>
    </w:p>
    <w:p>
      <w:pPr>
        <w:pStyle w:val="ListBullet"/>
      </w:pPr>
      <w:r>
        <w:t>Processed/non-seed derivatives such as seed oil or extracts.</w:t>
      </w:r>
    </w:p>
    <w:p>
      <w:pPr>
        <w:pStyle w:val="ListBullet"/>
      </w:pPr>
      <w:r>
        <w:t>Sowing/planting/vegetable seed records where the intended use was not edible.</w:t>
      </w:r>
    </w:p>
    <w:p>
      <w:pPr>
        <w:pStyle w:val="ListBullet"/>
      </w:pPr>
      <w:r>
        <w:t>Other food products or mixed products where Pumpkin Seeds were not the relevant traded product.</w:t>
      </w:r>
    </w:p>
    <w:p>
      <w:pPr>
        <w:pStyle w:val="ListBullet"/>
      </w:pPr>
      <w:r>
        <w:t>Records explicitly describing non-seed products.</w:t>
      </w:r>
    </w:p>
    <w:p>
      <w:pPr>
        <w:pStyle w:val="ListBullet"/>
      </w:pPr>
      <w:r>
        <w:t>Medicinal/botanical products that were outside the target edible-seed scope.</w:t>
      </w:r>
    </w:p>
    <w:p>
      <w:pPr>
        <w:pStyle w:val="Heading2"/>
      </w:pPr>
      <w:r>
        <w:t>3.4 HS-code validation</w:t>
      </w:r>
    </w:p>
    <w:p>
      <w:r>
        <w:t>HS Code was used as a validation field rather than as the only decision rule. HS 1209 corresponds to seeds of a kind used for sowing, so Pumpkin Seed records under HS 1209 were not automatically treated as edible-market records. Where the Product Description explicitly indicated edible/human-consumption use but the HS code suggested sowing classification, the record was flagged for manual review rather than blindly deleted.</w:t>
      </w:r>
    </w:p>
    <w:p>
      <w:pPr>
        <w:pStyle w:val="Heading2"/>
      </w:pPr>
      <w:r>
        <w:t>3.5 Remove irrelevant columns</w:t>
      </w:r>
    </w:p>
    <w:p>
      <w:r>
        <w:t>The final analysis retained 25 useful columns. These cover Date, HS Code, Product Description, shipper, consignee, standardized quantity/unit, FOB value, unit rates, destination/origin geography, shipment mode, original transaction fields, HS descriptions/classifications, Month, Record ID and IEC.</w:t>
      </w:r>
    </w:p>
    <w:p>
      <w:pPr>
        <w:pStyle w:val="Heading2"/>
      </w:pPr>
      <w:r>
        <w:t>3.6 Duplicate checks</w:t>
      </w:r>
    </w:p>
    <w:p>
      <w:r>
        <w:t>The raw/final data contained 0 exact duplicate rows. A second business-key check identified 10 potential duplicate records based on combinations of date, HS code, product, shipper, consignee, destination, quantity and FOB value. These were not automatically deleted because separate legitimate shipments can share similar attributes.</w:t>
      </w:r>
    </w:p>
    <w:p>
      <w:pPr>
        <w:pStyle w:val="Heading2"/>
      </w:pPr>
      <w:r>
        <w:t>3.7 Missing-value checks</w:t>
      </w:r>
    </w:p>
    <w:p>
      <w:r>
        <w:t>Five final records have missing Rate Currency. These were not artificially filled because standardized USD fields are available for the main value and price analysis. Missing values should be disclosed rather than fabricated.</w:t>
      </w:r>
    </w:p>
    <w:p>
      <w:pPr>
        <w:pStyle w:val="Heading2"/>
      </w:pPr>
      <w:r>
        <w:t>3.8 Final dataset</w:t>
      </w:r>
    </w:p>
    <w:p>
      <w:r>
        <w:t>After the cleaning and scope-validation process, the working dataset contains 440 records and 25 analysis-ready columns.</w:t>
      </w:r>
    </w:p>
    <w:p>
      <w:pPr>
        <w:pStyle w:val="Heading1"/>
      </w:pPr>
      <w:r>
        <w:t>4. Analysis Methodology</w:t>
      </w:r>
    </w:p>
    <w:p>
      <w:r>
        <w:t>The analysis was performed using Pivot Tables. The key measures were: Sum of Estimated FOB Value for trade value, Sum of Standard Qty for volume, Average of Standard Unit Rate for indicative transaction-level price, Count of Record ID for shipment count, and year/month/country/shipper/consignee dimensions for segmentation.</w:t>
      </w:r>
    </w:p>
    <w:p>
      <w:pPr>
        <w:pStyle w:val="Heading1"/>
      </w:pPr>
      <w:r>
        <w:t>5. Market Size</w:t>
      </w:r>
    </w:p>
    <w:p>
      <w:r>
        <w:t>Pivot setup: Rows = Year; Values = Sum of Estimated FOB Value $.</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Year</w:t>
            </w:r>
          </w:p>
        </w:tc>
        <w:tc>
          <w:tcPr>
            <w:tcW w:type="dxa" w:w="3312"/>
          </w:tcPr>
          <w:p>
            <w:r>
              <w:rPr>
                <w:b/>
              </w:rPr>
              <w:t>FOB Value</w:t>
            </w:r>
          </w:p>
        </w:tc>
        <w:tc>
          <w:tcPr>
            <w:tcW w:type="dxa" w:w="3312"/>
          </w:tcPr>
          <w:p>
            <w:r>
              <w:rPr>
                <w:b/>
              </w:rPr>
              <w:t>YoY growth</w:t>
            </w:r>
          </w:p>
        </w:tc>
      </w:tr>
      <w:tr>
        <w:tc>
          <w:tcPr>
            <w:tcW w:type="dxa" w:w="3312"/>
            <w:vAlign w:val="center"/>
          </w:tcPr>
          <w:p>
            <w:r>
              <w:t>2022</w:t>
            </w:r>
          </w:p>
        </w:tc>
        <w:tc>
          <w:tcPr>
            <w:tcW w:type="dxa" w:w="3312"/>
            <w:vAlign w:val="center"/>
          </w:tcPr>
          <w:p>
            <w:r>
              <w:t>$40,630</w:t>
            </w:r>
          </w:p>
        </w:tc>
        <w:tc>
          <w:tcPr>
            <w:tcW w:type="dxa" w:w="3312"/>
            <w:vAlign w:val="center"/>
          </w:tcPr>
          <w:p>
            <w:r>
              <w:t>—</w:t>
            </w:r>
          </w:p>
        </w:tc>
      </w:tr>
      <w:tr>
        <w:tc>
          <w:tcPr>
            <w:tcW w:type="dxa" w:w="3312"/>
            <w:vAlign w:val="center"/>
          </w:tcPr>
          <w:p>
            <w:r>
              <w:t>2023</w:t>
            </w:r>
          </w:p>
        </w:tc>
        <w:tc>
          <w:tcPr>
            <w:tcW w:type="dxa" w:w="3312"/>
            <w:vAlign w:val="center"/>
          </w:tcPr>
          <w:p>
            <w:r>
              <w:t>$105,465</w:t>
            </w:r>
          </w:p>
        </w:tc>
        <w:tc>
          <w:tcPr>
            <w:tcW w:type="dxa" w:w="3312"/>
            <w:vAlign w:val="center"/>
          </w:tcPr>
          <w:p>
            <w:r>
              <w:t>+159.6%</w:t>
            </w:r>
          </w:p>
        </w:tc>
      </w:tr>
      <w:tr>
        <w:tc>
          <w:tcPr>
            <w:tcW w:type="dxa" w:w="3312"/>
            <w:vAlign w:val="center"/>
          </w:tcPr>
          <w:p>
            <w:r>
              <w:t>2024</w:t>
            </w:r>
          </w:p>
        </w:tc>
        <w:tc>
          <w:tcPr>
            <w:tcW w:type="dxa" w:w="3312"/>
            <w:vAlign w:val="center"/>
          </w:tcPr>
          <w:p>
            <w:r>
              <w:t>$247,325</w:t>
            </w:r>
          </w:p>
        </w:tc>
        <w:tc>
          <w:tcPr>
            <w:tcW w:type="dxa" w:w="3312"/>
            <w:vAlign w:val="center"/>
          </w:tcPr>
          <w:p>
            <w:r>
              <w:t>+134.5%</w:t>
            </w:r>
          </w:p>
        </w:tc>
      </w:tr>
      <w:tr>
        <w:tc>
          <w:tcPr>
            <w:tcW w:type="dxa" w:w="3312"/>
            <w:vAlign w:val="center"/>
          </w:tcPr>
          <w:p>
            <w:r>
              <w:t>2025</w:t>
            </w:r>
          </w:p>
        </w:tc>
        <w:tc>
          <w:tcPr>
            <w:tcW w:type="dxa" w:w="3312"/>
            <w:vAlign w:val="center"/>
          </w:tcPr>
          <w:p>
            <w:r>
              <w:t>$385,941</w:t>
            </w:r>
          </w:p>
        </w:tc>
        <w:tc>
          <w:tcPr>
            <w:tcW w:type="dxa" w:w="3312"/>
            <w:vAlign w:val="center"/>
          </w:tcPr>
          <w:p>
            <w:r>
              <w:t>+56.0%</w:t>
            </w:r>
          </w:p>
        </w:tc>
      </w:tr>
      <w:tr>
        <w:tc>
          <w:tcPr>
            <w:tcW w:type="dxa" w:w="3312"/>
            <w:vAlign w:val="center"/>
          </w:tcPr>
          <w:p>
            <w:r>
              <w:t>Total</w:t>
            </w:r>
          </w:p>
        </w:tc>
        <w:tc>
          <w:tcPr>
            <w:tcW w:type="dxa" w:w="3312"/>
            <w:vAlign w:val="center"/>
          </w:tcPr>
          <w:p>
            <w:r>
              <w:t>$779,361</w:t>
            </w:r>
          </w:p>
        </w:tc>
        <w:tc>
          <w:tcPr>
            <w:tcW w:type="dxa" w:w="3312"/>
            <w:vAlign w:val="center"/>
          </w:tcPr>
          <w:p>
            <w:r>
              <w:t>—</w:t>
            </w:r>
          </w:p>
        </w:tc>
      </w:tr>
    </w:tbl>
    <w:p>
      <w:r>
        <w:t>Conclusion: Recorded trade value expanded very rapidly from 2022 to 2025, increasing from about $40.6K to $385.9K. Growth remained strong but moderated over time: +159.6% in 2023, +134.5% in 2024 and +56.0% in 2025. This indicates strong expansion with some normalization in the latest year.</w:t>
      </w:r>
    </w:p>
    <w:p>
      <w:pPr>
        <w:pStyle w:val="Heading1"/>
      </w:pPr>
      <w:r>
        <w:t>6. Market Volume</w:t>
      </w:r>
    </w:p>
    <w:p>
      <w:r>
        <w:t>Pivot setup: Rows = Year; Values = Sum of Standard Qty.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Year</w:t>
            </w:r>
          </w:p>
        </w:tc>
        <w:tc>
          <w:tcPr>
            <w:tcW w:type="dxa" w:w="3312"/>
          </w:tcPr>
          <w:p>
            <w:r>
              <w:rPr>
                <w:b/>
              </w:rPr>
              <w:t>Standard Quantity</w:t>
            </w:r>
          </w:p>
        </w:tc>
        <w:tc>
          <w:tcPr>
            <w:tcW w:type="dxa" w:w="3312"/>
          </w:tcPr>
          <w:p>
            <w:r>
              <w:rPr>
                <w:b/>
              </w:rPr>
              <w:t>YoY growth</w:t>
            </w:r>
          </w:p>
        </w:tc>
      </w:tr>
      <w:tr>
        <w:tc>
          <w:tcPr>
            <w:tcW w:type="dxa" w:w="3312"/>
            <w:vAlign w:val="center"/>
          </w:tcPr>
          <w:p>
            <w:r>
              <w:t>2022</w:t>
            </w:r>
          </w:p>
        </w:tc>
        <w:tc>
          <w:tcPr>
            <w:tcW w:type="dxa" w:w="3312"/>
            <w:vAlign w:val="center"/>
          </w:tcPr>
          <w:p>
            <w:r>
              <w:t>10,282</w:t>
            </w:r>
          </w:p>
        </w:tc>
        <w:tc>
          <w:tcPr>
            <w:tcW w:type="dxa" w:w="3312"/>
            <w:vAlign w:val="center"/>
          </w:tcPr>
          <w:p>
            <w:r>
              <w:t>—</w:t>
            </w:r>
          </w:p>
        </w:tc>
      </w:tr>
      <w:tr>
        <w:tc>
          <w:tcPr>
            <w:tcW w:type="dxa" w:w="3312"/>
            <w:vAlign w:val="center"/>
          </w:tcPr>
          <w:p>
            <w:r>
              <w:t>2023</w:t>
            </w:r>
          </w:p>
        </w:tc>
        <w:tc>
          <w:tcPr>
            <w:tcW w:type="dxa" w:w="3312"/>
            <w:vAlign w:val="center"/>
          </w:tcPr>
          <w:p>
            <w:r>
              <w:t>20,158</w:t>
            </w:r>
          </w:p>
        </w:tc>
        <w:tc>
          <w:tcPr>
            <w:tcW w:type="dxa" w:w="3312"/>
            <w:vAlign w:val="center"/>
          </w:tcPr>
          <w:p>
            <w:r>
              <w:t>+96.0%</w:t>
            </w:r>
          </w:p>
        </w:tc>
      </w:tr>
      <w:tr>
        <w:tc>
          <w:tcPr>
            <w:tcW w:type="dxa" w:w="3312"/>
            <w:vAlign w:val="center"/>
          </w:tcPr>
          <w:p>
            <w:r>
              <w:t>2024</w:t>
            </w:r>
          </w:p>
        </w:tc>
        <w:tc>
          <w:tcPr>
            <w:tcW w:type="dxa" w:w="3312"/>
            <w:vAlign w:val="center"/>
          </w:tcPr>
          <w:p>
            <w:r>
              <w:t>90,835</w:t>
            </w:r>
          </w:p>
        </w:tc>
        <w:tc>
          <w:tcPr>
            <w:tcW w:type="dxa" w:w="3312"/>
            <w:vAlign w:val="center"/>
          </w:tcPr>
          <w:p>
            <w:r>
              <w:t>+350.6%</w:t>
            </w:r>
          </w:p>
        </w:tc>
      </w:tr>
      <w:tr>
        <w:tc>
          <w:tcPr>
            <w:tcW w:type="dxa" w:w="3312"/>
            <w:vAlign w:val="center"/>
          </w:tcPr>
          <w:p>
            <w:r>
              <w:t>2025</w:t>
            </w:r>
          </w:p>
        </w:tc>
        <w:tc>
          <w:tcPr>
            <w:tcW w:type="dxa" w:w="3312"/>
            <w:vAlign w:val="center"/>
          </w:tcPr>
          <w:p>
            <w:r>
              <w:t>205,573</w:t>
            </w:r>
          </w:p>
        </w:tc>
        <w:tc>
          <w:tcPr>
            <w:tcW w:type="dxa" w:w="3312"/>
            <w:vAlign w:val="center"/>
          </w:tcPr>
          <w:p>
            <w:r>
              <w:t>+126.3%</w:t>
            </w:r>
          </w:p>
        </w:tc>
      </w:tr>
      <w:tr>
        <w:tc>
          <w:tcPr>
            <w:tcW w:type="dxa" w:w="3312"/>
            <w:vAlign w:val="center"/>
          </w:tcPr>
          <w:p>
            <w:r>
              <w:t>Total</w:t>
            </w:r>
          </w:p>
        </w:tc>
        <w:tc>
          <w:tcPr>
            <w:tcW w:type="dxa" w:w="3312"/>
            <w:vAlign w:val="center"/>
          </w:tcPr>
          <w:p>
            <w:r>
              <w:t>326,848</w:t>
            </w:r>
          </w:p>
        </w:tc>
        <w:tc>
          <w:tcPr>
            <w:tcW w:type="dxa" w:w="3312"/>
            <w:vAlign w:val="center"/>
          </w:tcPr>
          <w:p>
            <w:r>
              <w:t>—</w:t>
            </w:r>
          </w:p>
        </w:tc>
      </w:tr>
    </w:tbl>
    <w:p>
      <w:r>
        <w:t>Conclusion: Trade volume grew even more sharply than value in some years, particularly in 2024. The increase from 10.3K units in 2022 to 205.6K in 2025 indicates that the expansion is strongly volume-driven.</w:t>
      </w:r>
    </w:p>
    <w:p>
      <w:pPr>
        <w:pStyle w:val="Heading1"/>
      </w:pPr>
      <w:r>
        <w:t>7. Price Analysis</w:t>
      </w:r>
    </w:p>
    <w:p>
      <w:r>
        <w:t>Pivot setup: Rows = Year; Values = Average of Standard Unit Rate $.</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Year</w:t>
            </w:r>
          </w:p>
        </w:tc>
        <w:tc>
          <w:tcPr>
            <w:tcW w:type="dxa" w:w="4968"/>
          </w:tcPr>
          <w:p>
            <w:r>
              <w:rPr>
                <w:b/>
              </w:rPr>
              <w:t>Average Standard Unit Rate</w:t>
            </w:r>
          </w:p>
        </w:tc>
      </w:tr>
      <w:tr>
        <w:tc>
          <w:tcPr>
            <w:tcW w:type="dxa" w:w="4968"/>
            <w:vAlign w:val="center"/>
          </w:tcPr>
          <w:p>
            <w:r>
              <w:t>2022</w:t>
            </w:r>
          </w:p>
        </w:tc>
        <w:tc>
          <w:tcPr>
            <w:tcW w:type="dxa" w:w="4968"/>
            <w:vAlign w:val="center"/>
          </w:tcPr>
          <w:p>
            <w:r>
              <w:t>$6.27</w:t>
            </w:r>
          </w:p>
        </w:tc>
      </w:tr>
      <w:tr>
        <w:tc>
          <w:tcPr>
            <w:tcW w:type="dxa" w:w="4968"/>
            <w:vAlign w:val="center"/>
          </w:tcPr>
          <w:p>
            <w:r>
              <w:t>2023</w:t>
            </w:r>
          </w:p>
        </w:tc>
        <w:tc>
          <w:tcPr>
            <w:tcW w:type="dxa" w:w="4968"/>
            <w:vAlign w:val="center"/>
          </w:tcPr>
          <w:p>
            <w:r>
              <w:t>$6.13</w:t>
            </w:r>
          </w:p>
        </w:tc>
      </w:tr>
      <w:tr>
        <w:tc>
          <w:tcPr>
            <w:tcW w:type="dxa" w:w="4968"/>
            <w:vAlign w:val="center"/>
          </w:tcPr>
          <w:p>
            <w:r>
              <w:t>2024</w:t>
            </w:r>
          </w:p>
        </w:tc>
        <w:tc>
          <w:tcPr>
            <w:tcW w:type="dxa" w:w="4968"/>
            <w:vAlign w:val="center"/>
          </w:tcPr>
          <w:p>
            <w:r>
              <w:t>$4.33</w:t>
            </w:r>
          </w:p>
        </w:tc>
      </w:tr>
      <w:tr>
        <w:tc>
          <w:tcPr>
            <w:tcW w:type="dxa" w:w="4968"/>
            <w:vAlign w:val="center"/>
          </w:tcPr>
          <w:p>
            <w:r>
              <w:t>2025</w:t>
            </w:r>
          </w:p>
        </w:tc>
        <w:tc>
          <w:tcPr>
            <w:tcW w:type="dxa" w:w="4968"/>
            <w:vAlign w:val="center"/>
          </w:tcPr>
          <w:p>
            <w:r>
              <w:t>$5.34</w:t>
            </w:r>
          </w:p>
        </w:tc>
      </w:tr>
    </w:tbl>
    <w:p>
      <w:r>
        <w:t>Conclusion: The simple average transaction-level rate declined from 2022 to 2024 and recovered in 2025. Pricing therefore appears variable across years. Because a simple average gives equal weight to every shipment, it should be interpreted carefully. A weighted price (total FOB value divided by total standard quantity) would be a useful supplementary metric before making a strong pricing recommendation.</w:t>
      </w:r>
    </w:p>
    <w:p>
      <w:pPr>
        <w:pStyle w:val="Heading1"/>
      </w:pPr>
      <w:r>
        <w:t>8. Destination Country Analysis</w:t>
      </w:r>
    </w:p>
    <w:p>
      <w:r>
        <w:t>Pivot setup: Rows = Country of Destination; Values = FOB Value, Volume and Shipment Count.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Destination</w:t>
            </w:r>
          </w:p>
        </w:tc>
        <w:tc>
          <w:tcPr>
            <w:tcW w:type="dxa" w:w="3312"/>
          </w:tcPr>
          <w:p>
            <w:r>
              <w:rPr>
                <w:b/>
              </w:rPr>
              <w:t>FOB Value</w:t>
            </w:r>
          </w:p>
        </w:tc>
        <w:tc>
          <w:tcPr>
            <w:tcW w:type="dxa" w:w="3312"/>
          </w:tcPr>
          <w:p>
            <w:r>
              <w:rPr>
                <w:b/>
              </w:rPr>
              <w:t>Approx. share of total</w:t>
            </w:r>
          </w:p>
        </w:tc>
      </w:tr>
      <w:tr>
        <w:tc>
          <w:tcPr>
            <w:tcW w:type="dxa" w:w="3312"/>
            <w:vAlign w:val="center"/>
          </w:tcPr>
          <w:p>
            <w:r>
              <w:t>Nepal</w:t>
            </w:r>
          </w:p>
        </w:tc>
        <w:tc>
          <w:tcPr>
            <w:tcW w:type="dxa" w:w="3312"/>
            <w:vAlign w:val="center"/>
          </w:tcPr>
          <w:p>
            <w:r>
              <w:t>$413.4K</w:t>
            </w:r>
          </w:p>
        </w:tc>
        <w:tc>
          <w:tcPr>
            <w:tcW w:type="dxa" w:w="3312"/>
            <w:vAlign w:val="center"/>
          </w:tcPr>
          <w:p>
            <w:r>
              <w:t>~53.0%</w:t>
            </w:r>
          </w:p>
        </w:tc>
      </w:tr>
      <w:tr>
        <w:tc>
          <w:tcPr>
            <w:tcW w:type="dxa" w:w="3312"/>
            <w:vAlign w:val="center"/>
          </w:tcPr>
          <w:p>
            <w:r>
              <w:t>Dominican Republic</w:t>
            </w:r>
          </w:p>
        </w:tc>
        <w:tc>
          <w:tcPr>
            <w:tcW w:type="dxa" w:w="3312"/>
            <w:vAlign w:val="center"/>
          </w:tcPr>
          <w:p>
            <w:r>
              <w:t>$68.4K</w:t>
            </w:r>
          </w:p>
        </w:tc>
        <w:tc>
          <w:tcPr>
            <w:tcW w:type="dxa" w:w="3312"/>
            <w:vAlign w:val="center"/>
          </w:tcPr>
          <w:p>
            <w:r>
              <w:t>~8.8%</w:t>
            </w:r>
          </w:p>
        </w:tc>
      </w:tr>
      <w:tr>
        <w:tc>
          <w:tcPr>
            <w:tcW w:type="dxa" w:w="3312"/>
            <w:vAlign w:val="center"/>
          </w:tcPr>
          <w:p>
            <w:r>
              <w:t>United Kingdom</w:t>
            </w:r>
          </w:p>
        </w:tc>
        <w:tc>
          <w:tcPr>
            <w:tcW w:type="dxa" w:w="3312"/>
            <w:vAlign w:val="center"/>
          </w:tcPr>
          <w:p>
            <w:r>
              <w:t>$63.7K</w:t>
            </w:r>
          </w:p>
        </w:tc>
        <w:tc>
          <w:tcPr>
            <w:tcW w:type="dxa" w:w="3312"/>
            <w:vAlign w:val="center"/>
          </w:tcPr>
          <w:p>
            <w:r>
              <w:t>~8.2%</w:t>
            </w:r>
          </w:p>
        </w:tc>
      </w:tr>
      <w:tr>
        <w:tc>
          <w:tcPr>
            <w:tcW w:type="dxa" w:w="3312"/>
            <w:vAlign w:val="center"/>
          </w:tcPr>
          <w:p>
            <w:r>
              <w:t>Sri Lanka</w:t>
            </w:r>
          </w:p>
        </w:tc>
        <w:tc>
          <w:tcPr>
            <w:tcW w:type="dxa" w:w="3312"/>
            <w:vAlign w:val="center"/>
          </w:tcPr>
          <w:p>
            <w:r>
              <w:t>$58.7K</w:t>
            </w:r>
          </w:p>
        </w:tc>
        <w:tc>
          <w:tcPr>
            <w:tcW w:type="dxa" w:w="3312"/>
            <w:vAlign w:val="center"/>
          </w:tcPr>
          <w:p>
            <w:r>
              <w:t>~7.5%</w:t>
            </w:r>
          </w:p>
        </w:tc>
      </w:tr>
      <w:tr>
        <w:tc>
          <w:tcPr>
            <w:tcW w:type="dxa" w:w="3312"/>
            <w:vAlign w:val="center"/>
          </w:tcPr>
          <w:p>
            <w:r>
              <w:t>Mauritius</w:t>
            </w:r>
          </w:p>
        </w:tc>
        <w:tc>
          <w:tcPr>
            <w:tcW w:type="dxa" w:w="3312"/>
            <w:vAlign w:val="center"/>
          </w:tcPr>
          <w:p>
            <w:r>
              <w:t>$38.1K</w:t>
            </w:r>
          </w:p>
        </w:tc>
        <w:tc>
          <w:tcPr>
            <w:tcW w:type="dxa" w:w="3312"/>
            <w:vAlign w:val="center"/>
          </w:tcPr>
          <w:p>
            <w:r>
              <w:t>~4.9%</w:t>
            </w:r>
          </w:p>
        </w:tc>
      </w:tr>
      <w:tr>
        <w:tc>
          <w:tcPr>
            <w:tcW w:type="dxa" w:w="3312"/>
            <w:vAlign w:val="center"/>
          </w:tcPr>
          <w:p>
            <w:r>
              <w:t>Bangladesh</w:t>
            </w:r>
          </w:p>
        </w:tc>
        <w:tc>
          <w:tcPr>
            <w:tcW w:type="dxa" w:w="3312"/>
            <w:vAlign w:val="center"/>
          </w:tcPr>
          <w:p>
            <w:r>
              <w:t>$22.2K</w:t>
            </w:r>
          </w:p>
        </w:tc>
        <w:tc>
          <w:tcPr>
            <w:tcW w:type="dxa" w:w="3312"/>
            <w:vAlign w:val="center"/>
          </w:tcPr>
          <w:p>
            <w:r>
              <w:t>~2.9%</w:t>
            </w:r>
          </w:p>
        </w:tc>
      </w:tr>
    </w:tbl>
    <w:p>
      <w:r>
        <w:t>Conclusion: Nepal is the dominant destination in the dataset, contributing more than half of recorded FOB value. The UK, Sri Lanka, Dominican Republic and Mauritius form the next meaningful group of destinations. Nepal is therefore the clearest established priority market, while other markets should be evaluated using growth, price and buyer accessibility.</w:t>
      </w:r>
    </w:p>
    <w:p>
      <w:pPr>
        <w:pStyle w:val="Heading1"/>
      </w:pPr>
      <w:r>
        <w:t>9. Port of Destination</w:t>
      </w:r>
    </w:p>
    <w:p>
      <w:r>
        <w:t>Pivot setup: Rows = Port of Destination; Values = Sum of Estimated FOB Value. The analysis identifies major destination points such as Kathmandu, Birgunj, Caucedo, Colombo, Felixstowe, Krishnanagar and Bhairawa.</w:t>
      </w:r>
    </w:p>
    <w:p>
      <w:r>
        <w:t>Conclusion: Port concentration provides a logistics perspective rather than a direct measure of market demand. The port analysis can support route planning and distribution decisions after priority countries have been identified.</w:t>
      </w:r>
    </w:p>
    <w:p>
      <w:pPr>
        <w:pStyle w:val="Heading1"/>
      </w:pPr>
      <w:r>
        <w:t>10. Top Consignees / Buyers</w:t>
      </w:r>
    </w:p>
    <w:p>
      <w:r>
        <w:t>Pivot setup: Rows = Consignee Name; Values = FOB Value, Volume and Shipment Count. The existing Pivot provides a directional view of major buyers.</w:t>
      </w:r>
    </w:p>
    <w:p>
      <w:r>
        <w:t>Important limitation: the dataset contains formatting/name variations (for example, differences in capitalization, punctuation and legal suffixes) and a large 'Z To Order and NA' category. Therefore the consignee ranking should not be presented as a perfectly normalized customer ranking unless names are standardized.</w:t>
      </w:r>
    </w:p>
    <w:p>
      <w:r>
        <w:t>Conclusion: The buyer analysis should be used to identify potentially important target accounts, but identifiable buyers should be separated from 'To Order/NA' records. Name normalization is a data-quality enhancement, not a reason to discard the underlying transactions.</w:t>
      </w:r>
    </w:p>
    <w:p>
      <w:pPr>
        <w:pStyle w:val="Heading1"/>
      </w:pPr>
      <w:r>
        <w:t>11. Seasonality</w:t>
      </w:r>
    </w:p>
    <w:p>
      <w:r>
        <w:t>The seasonality analysis should aggregate shipments by calendar month across all years. The original Pivot treated individual date values as separate rows, which does not provide a true monthly seasonality view.</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Month</w:t>
            </w:r>
          </w:p>
        </w:tc>
        <w:tc>
          <w:tcPr>
            <w:tcW w:type="dxa" w:w="4968"/>
          </w:tcPr>
          <w:p>
            <w:r>
              <w:rPr>
                <w:b/>
              </w:rPr>
              <w:t>Recorded FOB Value</w:t>
            </w:r>
          </w:p>
        </w:tc>
      </w:tr>
      <w:tr>
        <w:tc>
          <w:tcPr>
            <w:tcW w:type="dxa" w:w="4968"/>
            <w:vAlign w:val="center"/>
          </w:tcPr>
          <w:p>
            <w:r>
              <w:t>December</w:t>
            </w:r>
          </w:p>
        </w:tc>
        <w:tc>
          <w:tcPr>
            <w:tcW w:type="dxa" w:w="4968"/>
            <w:vAlign w:val="center"/>
          </w:tcPr>
          <w:p>
            <w:r>
              <w:t>~$94.8K</w:t>
            </w:r>
          </w:p>
        </w:tc>
      </w:tr>
      <w:tr>
        <w:tc>
          <w:tcPr>
            <w:tcW w:type="dxa" w:w="4968"/>
            <w:vAlign w:val="center"/>
          </w:tcPr>
          <w:p>
            <w:r>
              <w:t>March</w:t>
            </w:r>
          </w:p>
        </w:tc>
        <w:tc>
          <w:tcPr>
            <w:tcW w:type="dxa" w:w="4968"/>
            <w:vAlign w:val="center"/>
          </w:tcPr>
          <w:p>
            <w:r>
              <w:t>~$92.6K</w:t>
            </w:r>
          </w:p>
        </w:tc>
      </w:tr>
      <w:tr>
        <w:tc>
          <w:tcPr>
            <w:tcW w:type="dxa" w:w="4968"/>
            <w:vAlign w:val="center"/>
          </w:tcPr>
          <w:p>
            <w:r>
              <w:t>September</w:t>
            </w:r>
          </w:p>
        </w:tc>
        <w:tc>
          <w:tcPr>
            <w:tcW w:type="dxa" w:w="4968"/>
            <w:vAlign w:val="center"/>
          </w:tcPr>
          <w:p>
            <w:r>
              <w:t>~$87.7K</w:t>
            </w:r>
          </w:p>
        </w:tc>
      </w:tr>
      <w:tr>
        <w:tc>
          <w:tcPr>
            <w:tcW w:type="dxa" w:w="4968"/>
            <w:vAlign w:val="center"/>
          </w:tcPr>
          <w:p>
            <w:r>
              <w:t>June</w:t>
            </w:r>
          </w:p>
        </w:tc>
        <w:tc>
          <w:tcPr>
            <w:tcW w:type="dxa" w:w="4968"/>
            <w:vAlign w:val="center"/>
          </w:tcPr>
          <w:p>
            <w:r>
              <w:t>~$83.2K</w:t>
            </w:r>
          </w:p>
        </w:tc>
      </w:tr>
      <w:tr>
        <w:tc>
          <w:tcPr>
            <w:tcW w:type="dxa" w:w="4968"/>
            <w:vAlign w:val="center"/>
          </w:tcPr>
          <w:p>
            <w:r>
              <w:t>July</w:t>
            </w:r>
          </w:p>
        </w:tc>
        <w:tc>
          <w:tcPr>
            <w:tcW w:type="dxa" w:w="4968"/>
            <w:vAlign w:val="center"/>
          </w:tcPr>
          <w:p>
            <w:r>
              <w:t>~$82.9K</w:t>
            </w:r>
          </w:p>
        </w:tc>
      </w:tr>
      <w:tr>
        <w:tc>
          <w:tcPr>
            <w:tcW w:type="dxa" w:w="4968"/>
            <w:vAlign w:val="center"/>
          </w:tcPr>
          <w:p>
            <w:r>
              <w:t>August</w:t>
            </w:r>
          </w:p>
        </w:tc>
        <w:tc>
          <w:tcPr>
            <w:tcW w:type="dxa" w:w="4968"/>
            <w:vAlign w:val="center"/>
          </w:tcPr>
          <w:p>
            <w:r>
              <w:t>~$63.9K</w:t>
            </w:r>
          </w:p>
        </w:tc>
      </w:tr>
    </w:tbl>
    <w:p>
      <w:r>
        <w:t>Conclusion: Shipment activity is concentrated around March, June–July, September and December. This should be described as shipment/trade seasonality, not consumer-demand seasonality, because the dataset measures trade records rather than retail consumption.</w:t>
      </w:r>
    </w:p>
    <w:p>
      <w:pPr>
        <w:pStyle w:val="Heading1"/>
      </w:pPr>
      <w:r>
        <w:t>12. Top Shippers / Exporters</w:t>
      </w:r>
    </w:p>
    <w:p>
      <w:r>
        <w:t>Pivot setup: Rows = Shipper Name; Values = FOB Value, Volume and Shipment Count.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Shipper</w:t>
            </w:r>
          </w:p>
        </w:tc>
        <w:tc>
          <w:tcPr>
            <w:tcW w:type="dxa" w:w="4968"/>
          </w:tcPr>
          <w:p>
            <w:r>
              <w:rPr>
                <w:b/>
              </w:rPr>
              <w:t>FOB Value</w:t>
            </w:r>
          </w:p>
        </w:tc>
      </w:tr>
      <w:tr>
        <w:tc>
          <w:tcPr>
            <w:tcW w:type="dxa" w:w="4968"/>
            <w:vAlign w:val="center"/>
          </w:tcPr>
          <w:p>
            <w:r>
              <w:t>STARAGRO CROP</w:t>
            </w:r>
          </w:p>
        </w:tc>
        <w:tc>
          <w:tcPr>
            <w:tcW w:type="dxa" w:w="4968"/>
            <w:vAlign w:val="center"/>
          </w:tcPr>
          <w:p>
            <w:r>
              <w:t>$275.7K</w:t>
            </w:r>
          </w:p>
        </w:tc>
      </w:tr>
      <w:tr>
        <w:tc>
          <w:tcPr>
            <w:tcW w:type="dxa" w:w="4968"/>
            <w:vAlign w:val="center"/>
          </w:tcPr>
          <w:p>
            <w:r>
              <w:t>Jalaram Agriexports Pvt Ltd</w:t>
            </w:r>
          </w:p>
        </w:tc>
        <w:tc>
          <w:tcPr>
            <w:tcW w:type="dxa" w:w="4968"/>
            <w:vAlign w:val="center"/>
          </w:tcPr>
          <w:p>
            <w:r>
              <w:t>$91.6K</w:t>
            </w:r>
          </w:p>
        </w:tc>
      </w:tr>
      <w:tr>
        <w:tc>
          <w:tcPr>
            <w:tcW w:type="dxa" w:w="4968"/>
            <w:vAlign w:val="center"/>
          </w:tcPr>
          <w:p>
            <w:r>
              <w:t>Mohini Fine Foods Pvt Ltd</w:t>
            </w:r>
          </w:p>
        </w:tc>
        <w:tc>
          <w:tcPr>
            <w:tcW w:type="dxa" w:w="4968"/>
            <w:vAlign w:val="center"/>
          </w:tcPr>
          <w:p>
            <w:r>
              <w:t>$55.6K</w:t>
            </w:r>
          </w:p>
        </w:tc>
      </w:tr>
      <w:tr>
        <w:tc>
          <w:tcPr>
            <w:tcW w:type="dxa" w:w="4968"/>
            <w:vAlign w:val="center"/>
          </w:tcPr>
          <w:p>
            <w:r>
              <w:t>Laxmi Narayan Bishnu Kumar</w:t>
            </w:r>
          </w:p>
        </w:tc>
        <w:tc>
          <w:tcPr>
            <w:tcW w:type="dxa" w:w="4968"/>
            <w:vAlign w:val="center"/>
          </w:tcPr>
          <w:p>
            <w:r>
              <w:t>$36.9K</w:t>
            </w:r>
          </w:p>
        </w:tc>
      </w:tr>
      <w:tr>
        <w:tc>
          <w:tcPr>
            <w:tcW w:type="dxa" w:w="4968"/>
            <w:vAlign w:val="center"/>
          </w:tcPr>
          <w:p>
            <w:r>
              <w:t>Greens Pulses Spices</w:t>
            </w:r>
          </w:p>
        </w:tc>
        <w:tc>
          <w:tcPr>
            <w:tcW w:type="dxa" w:w="4968"/>
            <w:vAlign w:val="center"/>
          </w:tcPr>
          <w:p>
            <w:r>
              <w:t>$34.6K</w:t>
            </w:r>
          </w:p>
        </w:tc>
      </w:tr>
    </w:tbl>
    <w:p>
      <w:r>
        <w:t>Conclusion: STARAGRO CROP is the largest recorded exporter in the dataset at approximately $275.7K, or about 35% of total FOB value. The top five exporters together represent roughly 63% of total recorded FOB value, indicating a relatively concentrated supplier/competitive landscape.</w:t>
      </w:r>
    </w:p>
    <w:p>
      <w:pPr>
        <w:pStyle w:val="Heading1"/>
      </w:pPr>
      <w:r>
        <w:t>13. Shipper × Destination</w:t>
      </w:r>
    </w:p>
    <w:p>
      <w:r>
        <w:t>Pivot setup: Rows = Shipper Name; Columns = Country of Destination; Values = FOB Value. This shows where the major exporters are strongest geographically.</w:t>
      </w:r>
    </w:p>
    <w:p>
      <w:r>
        <w:t>Conclusion: The analysis is useful for competitor benchmarking by market. For Farmley, the key question is not only 'who is the largest exporter?' but 'which exporter is strong in each priority destination?' This can guide country-specific competitor benchmarking.</w:t>
      </w:r>
    </w:p>
    <w:p>
      <w:pPr>
        <w:pStyle w:val="Heading1"/>
      </w:pPr>
      <w:r>
        <w:t>14. Consignee × Shipper</w:t>
      </w:r>
    </w:p>
    <w:p>
      <w:r>
        <w:t>Pivot setup: Rows = Consignee; Columns = Shipper; Values = FOB Value. This identifies supplier-buyer relationships and can help reveal which exporters serve important accounts.</w:t>
      </w:r>
    </w:p>
    <w:p>
      <w:r>
        <w:t>Conclusion: This is a useful competitive intelligence view, but it is affected by the consignee-name variations discussed earlier. It should be used directionally unless buyer names are standardized.</w:t>
      </w:r>
    </w:p>
    <w:p>
      <w:pPr>
        <w:pStyle w:val="Heading1"/>
      </w:pPr>
      <w:r>
        <w:t>15. Price vs Country</w:t>
      </w:r>
    </w:p>
    <w:p>
      <w:r>
        <w:t>Pivot setup: Rows = Country; Values = Average Standard Unit Rate $. The highest recorded averages include Sierra Leone (~$28.10), Indonesia (~$16.15), Hong Kong (~$9.95), Saudi Arabia (~$8.88), Netherlands (~$8.37) and Australia (~$8.06).</w:t>
      </w:r>
    </w:p>
    <w:p>
      <w:r>
        <w:t>Conclusion: Some smaller markets show higher recorded transaction-level prices, which may indicate premium opportunities. However, countries with very few shipments can produce unstable averages. High price alone should therefore not be used to prioritize a market.</w:t>
      </w:r>
    </w:p>
    <w:p>
      <w:pPr>
        <w:pStyle w:val="Heading1"/>
      </w:pPr>
      <w:r>
        <w:t>16. Growth by Country</w:t>
      </w:r>
    </w:p>
    <w:p>
      <w:r>
        <w:t>Pivot setup: Rows = Country; Columns = Year; Values = Sum of FOB Value.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Country</w:t>
            </w:r>
          </w:p>
        </w:tc>
        <w:tc>
          <w:tcPr>
            <w:tcW w:type="dxa" w:w="4968"/>
          </w:tcPr>
          <w:p>
            <w:r>
              <w:rPr>
                <w:b/>
              </w:rPr>
              <w:t>Key observation</w:t>
            </w:r>
          </w:p>
        </w:tc>
      </w:tr>
      <w:tr>
        <w:tc>
          <w:tcPr>
            <w:tcW w:type="dxa" w:w="4968"/>
            <w:vAlign w:val="center"/>
          </w:tcPr>
          <w:p>
            <w:r>
              <w:t>Nepal</w:t>
            </w:r>
          </w:p>
        </w:tc>
        <w:tc>
          <w:tcPr>
            <w:tcW w:type="dxa" w:w="4968"/>
            <w:vAlign w:val="center"/>
          </w:tcPr>
          <w:p>
            <w:r>
              <w:t>$42.4K in 2022 → $128.8K in 2023 → $242.3K in 2024 → $413.4K in 2025</w:t>
            </w:r>
          </w:p>
        </w:tc>
      </w:tr>
      <w:tr>
        <w:tc>
          <w:tcPr>
            <w:tcW w:type="dxa" w:w="4968"/>
            <w:vAlign w:val="center"/>
          </w:tcPr>
          <w:p>
            <w:r>
              <w:t>Sri Lanka</w:t>
            </w:r>
          </w:p>
        </w:tc>
        <w:tc>
          <w:tcPr>
            <w:tcW w:type="dxa" w:w="4968"/>
            <w:vAlign w:val="center"/>
          </w:tcPr>
          <w:p>
            <w:r>
              <w:t>Growth from ~$6.1K in 2022 to ~$20.5K in 2025</w:t>
            </w:r>
          </w:p>
        </w:tc>
      </w:tr>
      <w:tr>
        <w:tc>
          <w:tcPr>
            <w:tcW w:type="dxa" w:w="4968"/>
            <w:vAlign w:val="center"/>
          </w:tcPr>
          <w:p>
            <w:r>
              <w:t>Mauritius</w:t>
            </w:r>
          </w:p>
        </w:tc>
        <w:tc>
          <w:tcPr>
            <w:tcW w:type="dxa" w:w="4968"/>
            <w:vAlign w:val="center"/>
          </w:tcPr>
          <w:p>
            <w:r>
              <w:t>Strong expansion, reaching ~$38.1K cumulatively</w:t>
            </w:r>
          </w:p>
        </w:tc>
      </w:tr>
      <w:tr>
        <w:tc>
          <w:tcPr>
            <w:tcW w:type="dxa" w:w="4968"/>
            <w:vAlign w:val="center"/>
          </w:tcPr>
          <w:p>
            <w:r>
              <w:t>Dominican Republic</w:t>
            </w:r>
          </w:p>
        </w:tc>
        <w:tc>
          <w:tcPr>
            <w:tcW w:type="dxa" w:w="4968"/>
            <w:vAlign w:val="center"/>
          </w:tcPr>
          <w:p>
            <w:r>
              <w:t>Large value but concentrated in relatively few shipments</w:t>
            </w:r>
          </w:p>
        </w:tc>
      </w:tr>
      <w:tr>
        <w:tc>
          <w:tcPr>
            <w:tcW w:type="dxa" w:w="4968"/>
            <w:vAlign w:val="center"/>
          </w:tcPr>
          <w:p>
            <w:r>
              <w:t>United Kingdom</w:t>
            </w:r>
          </w:p>
        </w:tc>
        <w:tc>
          <w:tcPr>
            <w:tcW w:type="dxa" w:w="4968"/>
            <w:vAlign w:val="center"/>
          </w:tcPr>
          <w:p>
            <w:r>
              <w:t>Meaningful market with variation across years</w:t>
            </w:r>
          </w:p>
        </w:tc>
      </w:tr>
    </w:tbl>
    <w:p>
      <w:r>
        <w:t>Conclusion: Nepal is both the largest and a strongly growing market. Sri Lanka and Mauritius also show attractive growth patterns. The Dominican Republic is worth investigating but should be validated because its value is concentrated in a small number of shipments.</w:t>
      </w:r>
    </w:p>
    <w:p>
      <w:pPr>
        <w:pStyle w:val="Heading1"/>
      </w:pPr>
      <w:r>
        <w:t>17. Overall Business Conclusions</w:t>
      </w:r>
    </w:p>
    <w:p>
      <w:pPr>
        <w:pStyle w:val="ListBullet"/>
      </w:pPr>
      <w:r>
        <w:t>The recorded Pumpkin Seeds trade expanded rapidly between 2022 and 2025, with FOB value rising from approximately $40.6K to $385.9K.</w:t>
      </w:r>
    </w:p>
    <w:p>
      <w:pPr>
        <w:pStyle w:val="ListBullet"/>
      </w:pPr>
      <w:r>
        <w:t>Volume growth is very strong, indicating that the expansion is substantially volume-driven.</w:t>
      </w:r>
    </w:p>
    <w:p>
      <w:pPr>
        <w:pStyle w:val="ListBullet"/>
      </w:pPr>
      <w:r>
        <w:t>Nepal is the dominant destination, accounting for approximately 53% of recorded FOB value and showing strong year-on-year expansion.</w:t>
      </w:r>
    </w:p>
    <w:p>
      <w:pPr>
        <w:pStyle w:val="ListBullet"/>
      </w:pPr>
      <w:r>
        <w:t>The exporter landscape is concentrated: STARAGRO CROP alone contributes roughly 35% of FOB value, while the top five exporters contribute roughly 63%.</w:t>
      </w:r>
    </w:p>
    <w:p>
      <w:pPr>
        <w:pStyle w:val="ListBullet"/>
      </w:pPr>
      <w:r>
        <w:t>Shipment activity shows seasonality, with March, June–July, September and December among the stronger months.</w:t>
      </w:r>
    </w:p>
    <w:p>
      <w:pPr>
        <w:pStyle w:val="ListBullet"/>
      </w:pPr>
      <w:r>
        <w:t>Recorded prices vary significantly by year and destination. High-price markets should be validated for sample size before being treated as premium opportunities.</w:t>
      </w:r>
    </w:p>
    <w:p>
      <w:pPr>
        <w:pStyle w:val="ListBullet"/>
      </w:pPr>
      <w:r>
        <w:t>Buyer/consignee analysis is directionally useful, but name normalization and the 'Z To Order and NA' category limit the precision of customer concentration conclusions.</w:t>
      </w:r>
    </w:p>
    <w:p>
      <w:pPr>
        <w:pStyle w:val="Heading1"/>
      </w:pPr>
      <w:r>
        <w:t>18. Farmley GTM Implications</w:t>
      </w:r>
    </w:p>
    <w:p>
      <w:pPr>
        <w:pStyle w:val="Heading2"/>
      </w:pPr>
      <w:r>
        <w:t>Priority Market – Nepal</w:t>
      </w:r>
    </w:p>
    <w:p>
      <w:r>
        <w:t>Nepal should be treated as the primary established opportunity because it combines the largest recorded trade value with strong historical growth. Farmley should identify the most relevant identifiable buyers, understand their current suppliers and benchmark price/product specifications.</w:t>
      </w:r>
    </w:p>
    <w:p>
      <w:pPr>
        <w:pStyle w:val="Heading2"/>
      </w:pPr>
      <w:r>
        <w:t>Secondary Markets – UK, Sri Lanka and Mauritius</w:t>
      </w:r>
    </w:p>
    <w:p>
      <w:r>
        <w:t>These markets have meaningful recorded value and/or growth and should be evaluated for selective expansion. The decision should consider buyer accessibility, competition, pricing, regulatory requirements and logistics.</w:t>
      </w:r>
    </w:p>
    <w:p>
      <w:pPr>
        <w:pStyle w:val="Heading2"/>
      </w:pPr>
      <w:r>
        <w:t>Emerging / Premium Markets</w:t>
      </w:r>
    </w:p>
    <w:p>
      <w:r>
        <w:t>Smaller markets with high recorded unit prices can be considered for pilot entry rather than immediate large-scale investment. A pilot-and-scale approach is more appropriate where shipment counts are low.</w:t>
      </w:r>
    </w:p>
    <w:p>
      <w:pPr>
        <w:pStyle w:val="Heading2"/>
      </w:pPr>
      <w:r>
        <w:t>Competitive Strategy</w:t>
      </w:r>
    </w:p>
    <w:p>
      <w:r>
        <w:t>Benchmark the top exporters, particularly their destination-market strengths and buyer relationships. Farmley should focus on the leading 5–10 competitors rather than attempting to benchmark every small exporter.</w:t>
      </w:r>
    </w:p>
    <w:p>
      <w:pPr>
        <w:pStyle w:val="Heading2"/>
      </w:pPr>
      <w:r>
        <w:t>Operational Planning</w:t>
      </w:r>
    </w:p>
    <w:p>
      <w:r>
        <w:t>Use the observed shipment seasonality to support procurement, inventory and export scheduling. The seasonality finding should be treated as historical trade timing rather than direct evidence of consumer demand.</w:t>
      </w:r>
    </w:p>
    <w:p>
      <w:pPr>
        <w:pStyle w:val="Heading1"/>
      </w:pPr>
      <w:r>
        <w:t>19. Suggested Final Presentation Flow</w:t>
      </w:r>
    </w:p>
    <w:p>
      <w:pPr>
        <w:pStyle w:val="ListNumber"/>
      </w:pPr>
      <w:r>
        <w:t>Market Overview – FOB value, volume and growth.</w:t>
      </w:r>
    </w:p>
    <w:p>
      <w:pPr>
        <w:pStyle w:val="ListNumber"/>
      </w:pPr>
      <w:r>
        <w:t>Destination Markets – Top countries and Nepal's dominance.</w:t>
      </w:r>
    </w:p>
    <w:p>
      <w:pPr>
        <w:pStyle w:val="ListNumber"/>
      </w:pPr>
      <w:r>
        <w:t>Competitive Landscape – Top exporters and concentration.</w:t>
      </w:r>
    </w:p>
    <w:p>
      <w:pPr>
        <w:pStyle w:val="ListNumber"/>
      </w:pPr>
      <w:r>
        <w:t>Price &amp; Seasonality – Unit-rate trend and monthly shipment activity.</w:t>
      </w:r>
    </w:p>
    <w:p>
      <w:pPr>
        <w:pStyle w:val="ListNumber"/>
      </w:pPr>
      <w:r>
        <w:t>Buyer Landscape – Directional top-consignee analysis with a data-quality caveat.</w:t>
      </w:r>
    </w:p>
    <w:p>
      <w:pPr>
        <w:pStyle w:val="ListNumber"/>
      </w:pPr>
      <w:r>
        <w:t>Country Growth – Identify large/growing versus small/emerging markets.</w:t>
      </w:r>
    </w:p>
    <w:p>
      <w:pPr>
        <w:pStyle w:val="ListNumber"/>
      </w:pPr>
      <w:r>
        <w:t>GTM Recommendation – Priority markets, target buyers, competitor benchmarking and operational actions.</w:t>
      </w:r>
    </w:p>
    <w:p>
      <w:pPr>
        <w:pStyle w:val="Heading1"/>
      </w:pPr>
      <w:r>
        <w:t>20. Data Quality Notes to Mention in the Submission</w:t>
      </w:r>
    </w:p>
    <w:p>
      <w:pPr>
        <w:pStyle w:val="ListBullet"/>
      </w:pPr>
      <w:r>
        <w:t>The final dataset contains 440 records and 25 analysis fields after product-scope cleaning.</w:t>
      </w:r>
    </w:p>
    <w:p>
      <w:pPr>
        <w:pStyle w:val="ListBullet"/>
      </w:pPr>
      <w:r>
        <w:t>No exact duplicate rows were found.</w:t>
      </w:r>
    </w:p>
    <w:p>
      <w:pPr>
        <w:pStyle w:val="ListBullet"/>
      </w:pPr>
      <w:r>
        <w:t>Ten records were flagged as potential duplicates using business-field combinations and were retained pending verification.</w:t>
      </w:r>
    </w:p>
    <w:p>
      <w:pPr>
        <w:pStyle w:val="ListBullet"/>
      </w:pPr>
      <w:r>
        <w:t>Nine records were flagged for manual classification review where edible-use wording conflicted with the HS 1209 sowing-seed classification.</w:t>
      </w:r>
    </w:p>
    <w:p>
      <w:pPr>
        <w:pStyle w:val="ListBullet"/>
      </w:pPr>
      <w:r>
        <w:t>Five final records have missing Rate Currency; these were not artificially imputed.</w:t>
      </w:r>
    </w:p>
    <w:p>
      <w:pPr>
        <w:pStyle w:val="ListBullet"/>
      </w:pPr>
      <w:r>
        <w:t>Consignee names contain some formatting variations; therefore buyer concentration should be described as directional unless names are normalized.</w:t>
      </w:r>
    </w:p>
    <w:p>
      <w:pPr>
        <w:pStyle w:val="ListBullet"/>
      </w:pPr>
      <w:r>
        <w:t>The seasonality Pivot should aggregate by month rather than individual calendar dates.</w:t>
      </w:r>
    </w:p>
    <w:p/>
    <w:p>
      <w:pPr>
        <w:jc w:val="center"/>
      </w:pPr>
      <w:r>
        <w:rPr>
          <w:b/>
        </w:rP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