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54F0B" w:sz="8"/>
              <w:left w:val="single" w:color="3C3489" w:sz="8"/>
              <w:bottom w:val="single" w:color="854F0B" w:sz="8"/>
              <w:right w:val="single" w:color="3C3489" w:sz="8"/>
            </w:tcBorders>
            <w:shd w:fill="26215C" w:val="clear"/>
            <w:tcMar>
              <w:top w:type="dxa" w:w="500"/>
              <w:left w:type="dxa" w:w="500"/>
              <w:bottom w:type="dxa" w:w="500"/>
              <w:right w:type="dxa" w:w="500"/>
            </w:tcMar>
          </w:tcPr>
          <w:p>
            <w:pPr>
              <w:spacing w:before="0" w:after="80"/>
              <w:jc w:val="center"/>
            </w:pPr>
            <w:r>
              <w:rPr>
                <w:rFonts w:ascii="Arial" w:cs="Arial" w:eastAsia="Arial" w:hAnsi="Arial"/>
                <w:b/>
                <w:bCs/>
                <w:color w:val="AFA9EC"/>
                <w:sz w:val="22"/>
                <w:szCs w:val="22"/>
              </w:rPr>
              <w:t xml:space="preserve">BODH PSYCHOMETRIC SOLUTIONS</w:t>
            </w:r>
          </w:p>
          <w:p>
            <w:pPr>
              <w:spacing w:before="0" w:after="40"/>
              <w:jc w:val="center"/>
            </w:pPr>
            <w:r>
              <w:rPr>
                <w:rFonts w:ascii="Arial" w:cs="Arial" w:eastAsia="Arial" w:hAnsi="Arial"/>
                <w:b/>
                <w:bCs/>
                <w:color w:val="FFFFFF"/>
                <w:sz w:val="80"/>
                <w:szCs w:val="80"/>
              </w:rPr>
              <w:t xml:space="preserve">BodhAssess</w:t>
            </w:r>
          </w:p>
          <w:p>
            <w:pPr>
              <w:spacing w:before="0" w:after="60"/>
              <w:jc w:val="center"/>
            </w:pPr>
            <w:r>
              <w:rPr>
                <w:rFonts w:ascii="Arial" w:cs="Arial" w:eastAsia="Arial" w:hAnsi="Arial"/>
                <w:color w:val="CECBF6"/>
                <w:sz w:val="30"/>
                <w:szCs w:val="30"/>
              </w:rPr>
              <w:t xml:space="preserve">Software Requirements Specification</w:t>
            </w:r>
          </w:p>
          <w:p>
            <w:pPr>
              <w:spacing w:before="0" w:after="100"/>
              <w:jc w:val="center"/>
            </w:pPr>
            <w:r>
              <w:rPr>
                <w:rFonts w:ascii="Arial" w:cs="Arial" w:eastAsia="Arial" w:hAnsi="Arial"/>
                <w:color w:val="AFA9EC"/>
                <w:sz w:val="20"/>
                <w:szCs w:val="20"/>
              </w:rPr>
              <w:t xml:space="preserve">Phase 1 — Version 1.0</w:t>
            </w:r>
          </w:p>
          <w:p>
            <w:pPr>
              <w:spacing w:before="0" w:after="0"/>
              <w:jc w:val="center"/>
            </w:pPr>
            <w:r>
              <w:rPr>
                <w:rFonts w:ascii="Arial" w:cs="Arial" w:eastAsia="Arial" w:hAnsi="Arial"/>
                <w:color w:val="7F77DD"/>
                <w:sz w:val="17"/>
                <w:szCs w:val="17"/>
              </w:rPr>
              <w:t xml:space="preserve">IEEE 830 / ISO 29148 Compliant  ·  2026  ·  Confidential</w:t>
            </w:r>
          </w:p>
        </w:tc>
      </w:tr>
    </w:tbl>
    <w:p>
      <w:pPr>
        <w:spacing w:before="3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Document Control</w:t>
            </w:r>
          </w:p>
        </w:tc>
        <w:tc>
          <w:tcPr>
            <w:tcW w:type="dxa" w:w="62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Document ID</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BODH-SRS-001</w:t>
            </w:r>
          </w:p>
        </w:tc>
      </w:tr>
      <w:tr>
        <w:tc>
          <w:tcPr>
            <w:tcW w:type="dxa" w:w="2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Product</w:t>
            </w:r>
          </w:p>
        </w:tc>
        <w:tc>
          <w:tcPr>
            <w:tcW w:type="dxa" w:w="62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 Phase 1</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Version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w:t>
            </w:r>
          </w:p>
        </w:tc>
      </w:tr>
      <w:tr>
        <w:tc>
          <w:tcPr>
            <w:tcW w:type="dxa" w:w="2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Status</w:t>
            </w:r>
          </w:p>
        </w:tc>
        <w:tc>
          <w:tcPr>
            <w:tcW w:type="dxa" w:w="62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APPROVED FOR DEVELOPMENT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Prepared By</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Engineering Leadership</w:t>
            </w:r>
          </w:p>
        </w:tc>
      </w:tr>
      <w:tr>
        <w:tc>
          <w:tcPr>
            <w:tcW w:type="dxa" w:w="2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Review Date</w:t>
            </w:r>
          </w:p>
        </w:tc>
        <w:tc>
          <w:tcPr>
            <w:tcW w:type="dxa" w:w="62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January 2026</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Next Review</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March 2026 (end of Sprint 6)</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1 — Introduction</w:t>
            </w:r>
          </w:p>
        </w:tc>
      </w:tr>
    </w:tbl>
    <w:p>
      <w:pPr>
        <w:spacing w:before="160" w:after="0"/>
      </w:pPr>
      <w:r>
        <w:t xml:space="preserve"/>
      </w:r>
    </w:p>
    <w:p>
      <w:pPr>
        <w:pStyle w:val="Heading1"/>
      </w:pPr>
      <w:r>
        <w:rPr>
          <w:rFonts w:ascii="Arial" w:cs="Arial" w:eastAsia="Arial" w:hAnsi="Arial"/>
          <w:b/>
          <w:bCs/>
          <w:color w:val="3C3489"/>
          <w:sz w:val="36"/>
          <w:szCs w:val="36"/>
        </w:rPr>
        <w:t xml:space="preserve">1.1  Purpose</w:t>
      </w:r>
    </w:p>
    <w:p>
      <w:pPr>
        <w:spacing w:before="80" w:after="0"/>
      </w:pPr>
      <w:r>
        <w:t xml:space="preserve"/>
      </w:r>
    </w:p>
    <w:p>
      <w:pPr>
        <w:spacing w:before="0" w:after="100"/>
      </w:pPr>
      <w:r>
        <w:rPr>
          <w:rFonts w:ascii="Arial" w:cs="Arial" w:eastAsia="Arial" w:hAnsi="Arial"/>
          <w:color w:val="1C1C1A"/>
          <w:sz w:val="20"/>
          <w:szCs w:val="20"/>
        </w:rPr>
        <w:t xml:space="preserve">This Software Requirements Specification (SRS) defines the complete functional and non-functional requirements for BodhAssess Phase 1. It is the authoritative reference for what the system must do — the contract between product, engineering, and quality assurance. Every feature built in Phase 1 must trace to a requirement in this document. Every test case must trace to a requirement in this document. Any work not covered by a requirement in this document requires a formal change request before implementation begins.</w:t>
      </w:r>
    </w:p>
    <w:p>
      <w:pPr>
        <w:spacing w:before="80" w:after="0"/>
      </w:pPr>
      <w:r>
        <w:t xml:space="preserve"/>
      </w:r>
    </w:p>
    <w:p>
      <w:pPr>
        <w:spacing w:before="0" w:after="100"/>
      </w:pPr>
      <w:r>
        <w:rPr>
          <w:rFonts w:ascii="Arial" w:cs="Arial" w:eastAsia="Arial" w:hAnsi="Arial"/>
          <w:color w:val="1C1C1A"/>
          <w:sz w:val="20"/>
          <w:szCs w:val="20"/>
        </w:rPr>
        <w:t xml:space="preserve">This document is written to be understood by: engineers implementing the system, QA engineers writing test cases, product managers validating scope, and stakeholders approving the release. It does not prescribe how to implement requirements — that is the Technical Architecture document's scope. It specifies what the system must do and how well it must do it.</w:t>
      </w:r>
    </w:p>
    <w:p>
      <w:pPr>
        <w:spacing w:before="120" w:after="0"/>
      </w:pPr>
      <w:r>
        <w:t xml:space="preserve"/>
      </w:r>
    </w:p>
    <w:p>
      <w:pPr>
        <w:pStyle w:val="Heading1"/>
      </w:pPr>
      <w:r>
        <w:rPr>
          <w:rFonts w:ascii="Arial" w:cs="Arial" w:eastAsia="Arial" w:hAnsi="Arial"/>
          <w:b/>
          <w:bCs/>
          <w:color w:val="3C3489"/>
          <w:sz w:val="36"/>
          <w:szCs w:val="36"/>
        </w:rPr>
        <w:t xml:space="preserve">1.2  Scope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80"/>
              <w:left w:type="dxa" w:w="180"/>
              <w:bottom w:type="dxa" w:w="60"/>
              <w:right w:type="dxa" w:w="180"/>
            </w:tcMar>
          </w:tcPr>
          <w:p>
            <w:r>
              <w:rPr>
                <w:rFonts w:ascii="Arial" w:cs="Arial" w:eastAsia="Arial" w:hAnsi="Arial"/>
                <w:b/>
                <w:bCs/>
                <w:color w:val="FFFFFF"/>
                <w:sz w:val="18"/>
                <w:szCs w:val="18"/>
              </w:rPr>
              <w:t xml:space="preserve">SYSTEM SCOPE</w:t>
            </w:r>
          </w:p>
        </w:tc>
      </w:tr>
      <w:tr>
        <w:tc>
          <w:tcPr>
            <w:tcBorders>
              <w:top w:val="single" w:color="3C3489" w:sz="4"/>
              <w:left w:val="single" w:color="3C3489" w:sz="8"/>
              <w:bottom w:val="single" w:color="3C3489" w:sz="4"/>
              <w:right w:val="single" w:color="3C3489" w:sz="4"/>
            </w:tcBorders>
            <w:shd w:fill="EEEDF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BodhAssess Phase 1 is a psychometric assessment delivery and management platform serving three psychology verticals (Clinical, Industrial, Counselling and Child) and two meta-verticals (Designing Experiments, White-Label). It enables practitioners to create, deliver, score, and report psychological assessments. It includes AI proctoring for industrial assessments, BodhLens natural language analytics, BodhSurvey integration for data collection, and full DPDP compliance infrastructure. Phase 1 does not include BodhLearn, BodhPeople, BodhGrow, BodhExam, BodhCode, or BodhHire — these are Phase 2 and Phase 3 products.</w:t>
            </w:r>
          </w:p>
        </w:tc>
      </w:tr>
    </w:tbl>
    <w:p>
      <w:pPr>
        <w:spacing w:before="100" w:after="0"/>
      </w:pPr>
      <w:r>
        <w:t xml:space="preserve"/>
      </w:r>
    </w:p>
    <w:p>
      <w:pPr>
        <w:pStyle w:val="Heading3"/>
      </w:pPr>
      <w:r>
        <w:rPr>
          <w:rFonts w:ascii="Arial" w:cs="Arial" w:eastAsia="Arial" w:hAnsi="Arial"/>
          <w:b/>
          <w:bCs/>
          <w:color w:val="3C3489"/>
          <w:sz w:val="24"/>
          <w:szCs w:val="24"/>
        </w:rPr>
        <w:t xml:space="preserve">In Scope — Phase 1</w:t>
      </w:r>
    </w:p>
    <w:p>
      <w:pPr>
        <w:spacing w:before="6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Assessment session creation, delivery, scoring, and report generation across all five verticals</w:t>
      </w:r>
    </w:p>
    <w:p>
      <w:pPr>
        <w:pStyle w:val="ListParagraph"/>
        <w:numPr>
          <w:ilvl w:val="0"/>
          <w:numId w:val="2"/>
        </w:numPr>
        <w:spacing w:before="50" w:after="50"/>
      </w:pPr>
      <w:r>
        <w:rPr>
          <w:rFonts w:ascii="Arial" w:cs="Arial" w:eastAsia="Arial" w:hAnsi="Arial"/>
          <w:color w:val="1C1C1A"/>
          <w:sz w:val="19"/>
          <w:szCs w:val="19"/>
        </w:rPr>
        <w:t xml:space="preserve">IRT 3PL Computerised Adaptive Testing (CAT) engine</w:t>
      </w:r>
    </w:p>
    <w:p>
      <w:pPr>
        <w:pStyle w:val="ListParagraph"/>
        <w:numPr>
          <w:ilvl w:val="0"/>
          <w:numId w:val="2"/>
        </w:numPr>
        <w:spacing w:before="50" w:after="50"/>
      </w:pPr>
      <w:r>
        <w:rPr>
          <w:rFonts w:ascii="Arial" w:cs="Arial" w:eastAsia="Arial" w:hAnsi="Arial"/>
          <w:color w:val="1C1C1A"/>
          <w:sz w:val="19"/>
          <w:szCs w:val="19"/>
        </w:rPr>
        <w:t xml:space="preserve">Fixed-sequence delivery for validated clinical instruments (PHQ-9, GAD-7, DASS-21, Beck scales, SCAS, CDI-2)</w:t>
      </w:r>
    </w:p>
    <w:p>
      <w:pPr>
        <w:pStyle w:val="ListParagraph"/>
        <w:numPr>
          <w:ilvl w:val="0"/>
          <w:numId w:val="2"/>
        </w:numPr>
        <w:spacing w:before="50" w:after="50"/>
      </w:pPr>
      <w:r>
        <w:rPr>
          <w:rFonts w:ascii="Arial" w:cs="Arial" w:eastAsia="Arial" w:hAnsi="Arial"/>
          <w:color w:val="1C1C1A"/>
          <w:sz w:val="19"/>
          <w:szCs w:val="19"/>
        </w:rPr>
        <w:t xml:space="preserve">Experimental paradigm delivery (IAT, Dot Probe, Stroop, Go/No-Go, N-Back) via jsPsych</w:t>
      </w:r>
    </w:p>
    <w:p>
      <w:pPr>
        <w:pStyle w:val="ListParagraph"/>
        <w:numPr>
          <w:ilvl w:val="0"/>
          <w:numId w:val="2"/>
        </w:numPr>
        <w:spacing w:before="50" w:after="50"/>
      </w:pPr>
      <w:r>
        <w:rPr>
          <w:rFonts w:ascii="Arial" w:cs="Arial" w:eastAsia="Arial" w:hAnsi="Arial"/>
          <w:color w:val="1C1C1A"/>
          <w:sz w:val="19"/>
          <w:szCs w:val="19"/>
        </w:rPr>
        <w:t xml:space="preserve">AI Proctoring for industrial assessments (YOLOv8 + MediaPipe + Trust Score + Secure Browser)</w:t>
      </w:r>
    </w:p>
    <w:p>
      <w:pPr>
        <w:pStyle w:val="ListParagraph"/>
        <w:numPr>
          <w:ilvl w:val="0"/>
          <w:numId w:val="2"/>
        </w:numPr>
        <w:spacing w:before="50" w:after="50"/>
      </w:pPr>
      <w:r>
        <w:rPr>
          <w:rFonts w:ascii="Arial" w:cs="Arial" w:eastAsia="Arial" w:hAnsi="Arial"/>
          <w:color w:val="1C1C1A"/>
          <w:sz w:val="19"/>
          <w:szCs w:val="19"/>
        </w:rPr>
        <w:t xml:space="preserve">BPaaS (Proctoring-as-a-Service) API for third-party integrations</w:t>
      </w:r>
    </w:p>
    <w:p>
      <w:pPr>
        <w:pStyle w:val="ListParagraph"/>
        <w:numPr>
          <w:ilvl w:val="0"/>
          <w:numId w:val="2"/>
        </w:numPr>
        <w:spacing w:before="50" w:after="50"/>
      </w:pPr>
      <w:r>
        <w:rPr>
          <w:rFonts w:ascii="Arial" w:cs="Arial" w:eastAsia="Arial" w:hAnsi="Arial"/>
          <w:color w:val="1C1C1A"/>
          <w:sz w:val="19"/>
          <w:szCs w:val="19"/>
        </w:rPr>
        <w:t xml:space="preserve">Report generation: Clinical, Industrial, Counselling, Experimental formats — PDF and in-browser</w:t>
      </w:r>
    </w:p>
    <w:p>
      <w:pPr>
        <w:pStyle w:val="ListParagraph"/>
        <w:numPr>
          <w:ilvl w:val="0"/>
          <w:numId w:val="2"/>
        </w:numPr>
        <w:spacing w:before="50" w:after="50"/>
      </w:pPr>
      <w:r>
        <w:rPr>
          <w:rFonts w:ascii="Arial" w:cs="Arial" w:eastAsia="Arial" w:hAnsi="Arial"/>
          <w:color w:val="1C1C1A"/>
          <w:sz w:val="19"/>
          <w:szCs w:val="19"/>
        </w:rPr>
        <w:t xml:space="preserve">ICD-10, ICD-11, and DSM-5 diagnostic code presentation in clinical reports (Tier 5)</w:t>
      </w:r>
    </w:p>
    <w:p>
      <w:pPr>
        <w:pStyle w:val="ListParagraph"/>
        <w:numPr>
          <w:ilvl w:val="0"/>
          <w:numId w:val="2"/>
        </w:numPr>
        <w:spacing w:before="50" w:after="50"/>
      </w:pPr>
      <w:r>
        <w:rPr>
          <w:rFonts w:ascii="Arial" w:cs="Arial" w:eastAsia="Arial" w:hAnsi="Arial"/>
          <w:color w:val="1C1C1A"/>
          <w:sz w:val="19"/>
          <w:szCs w:val="19"/>
        </w:rPr>
        <w:t xml:space="preserve">Claude API narrative report generation (Tier 5)</w:t>
      </w:r>
    </w:p>
    <w:p>
      <w:pPr>
        <w:pStyle w:val="ListParagraph"/>
        <w:numPr>
          <w:ilvl w:val="0"/>
          <w:numId w:val="2"/>
        </w:numPr>
        <w:spacing w:before="50" w:after="50"/>
      </w:pPr>
      <w:r>
        <w:rPr>
          <w:rFonts w:ascii="Arial" w:cs="Arial" w:eastAsia="Arial" w:hAnsi="Arial"/>
          <w:color w:val="1C1C1A"/>
          <w:sz w:val="19"/>
          <w:szCs w:val="19"/>
        </w:rPr>
        <w:t xml:space="preserve">BodhSurvey: survey creation, WhatsApp/SMS/email delivery, 11-language support, response analytics</w:t>
      </w:r>
    </w:p>
    <w:p>
      <w:pPr>
        <w:pStyle w:val="ListParagraph"/>
        <w:numPr>
          <w:ilvl w:val="0"/>
          <w:numId w:val="2"/>
        </w:numPr>
        <w:spacing w:before="50" w:after="50"/>
      </w:pPr>
      <w:r>
        <w:rPr>
          <w:rFonts w:ascii="Arial" w:cs="Arial" w:eastAsia="Arial" w:hAnsi="Arial"/>
          <w:color w:val="1C1C1A"/>
          <w:sz w:val="19"/>
          <w:szCs w:val="19"/>
        </w:rPr>
        <w:t xml:space="preserve">BodhLens: natural language analytics across all assessment and survey data including cross-product integrated insights</w:t>
      </w:r>
    </w:p>
    <w:p>
      <w:pPr>
        <w:pStyle w:val="ListParagraph"/>
        <w:numPr>
          <w:ilvl w:val="0"/>
          <w:numId w:val="2"/>
        </w:numPr>
        <w:spacing w:before="50" w:after="50"/>
      </w:pPr>
      <w:r>
        <w:rPr>
          <w:rFonts w:ascii="Arial" w:cs="Arial" w:eastAsia="Arial" w:hAnsi="Arial"/>
          <w:color w:val="1C1C1A"/>
          <w:sz w:val="19"/>
          <w:szCs w:val="19"/>
        </w:rPr>
        <w:t xml:space="preserve">BodhStudio: white-label platform provisioning, BPaaS API, Tier 4 standardisation partnership workflow</w:t>
      </w:r>
    </w:p>
    <w:p>
      <w:pPr>
        <w:pStyle w:val="ListParagraph"/>
        <w:numPr>
          <w:ilvl w:val="0"/>
          <w:numId w:val="2"/>
        </w:numPr>
        <w:spacing w:before="50" w:after="50"/>
      </w:pPr>
      <w:r>
        <w:rPr>
          <w:rFonts w:ascii="Arial" w:cs="Arial" w:eastAsia="Arial" w:hAnsi="Arial"/>
          <w:color w:val="1C1C1A"/>
          <w:sz w:val="19"/>
          <w:szCs w:val="19"/>
        </w:rPr>
        <w:t xml:space="preserve">DPDP compliance: consent management, erasure pipeline, data residency, audit trail</w:t>
      </w:r>
    </w:p>
    <w:p>
      <w:pPr>
        <w:pStyle w:val="ListParagraph"/>
        <w:numPr>
          <w:ilvl w:val="0"/>
          <w:numId w:val="2"/>
        </w:numPr>
        <w:spacing w:before="50" w:after="50"/>
      </w:pPr>
      <w:r>
        <w:rPr>
          <w:rFonts w:ascii="Arial" w:cs="Arial" w:eastAsia="Arial" w:hAnsi="Arial"/>
          <w:color w:val="1C1C1A"/>
          <w:sz w:val="19"/>
          <w:szCs w:val="19"/>
        </w:rPr>
        <w:t xml:space="preserve">Five access tiers (T1–T5) across all verticals</w:t>
      </w:r>
    </w:p>
    <w:p>
      <w:pPr>
        <w:pStyle w:val="ListParagraph"/>
        <w:numPr>
          <w:ilvl w:val="0"/>
          <w:numId w:val="2"/>
        </w:numPr>
        <w:spacing w:before="50" w:after="50"/>
      </w:pPr>
      <w:r>
        <w:rPr>
          <w:rFonts w:ascii="Arial" w:cs="Arial" w:eastAsia="Arial" w:hAnsi="Arial"/>
          <w:color w:val="1C1C1A"/>
          <w:sz w:val="19"/>
          <w:szCs w:val="19"/>
        </w:rPr>
        <w:t xml:space="preserve">11 Indian language support across all interfaces and instruments</w:t>
      </w:r>
    </w:p>
    <w:p>
      <w:pPr>
        <w:spacing w:before="80" w:after="0"/>
      </w:pPr>
      <w:r>
        <w:t xml:space="preserve"/>
      </w:r>
    </w:p>
    <w:p>
      <w:pPr>
        <w:pStyle w:val="Heading3"/>
      </w:pPr>
      <w:r>
        <w:rPr>
          <w:rFonts w:ascii="Arial" w:cs="Arial" w:eastAsia="Arial" w:hAnsi="Arial"/>
          <w:b/>
          <w:bCs/>
          <w:color w:val="3C3489"/>
          <w:sz w:val="24"/>
          <w:szCs w:val="24"/>
        </w:rPr>
        <w:t xml:space="preserve">Out of Scope — Phase 1</w:t>
      </w:r>
    </w:p>
    <w:p>
      <w:pPr>
        <w:spacing w:before="6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BodhLearn adaptive learning and clinical intervention engine (Phase 2)</w:t>
      </w:r>
    </w:p>
    <w:p>
      <w:pPr>
        <w:pStyle w:val="ListParagraph"/>
        <w:numPr>
          <w:ilvl w:val="0"/>
          <w:numId w:val="2"/>
        </w:numPr>
        <w:spacing w:before="50" w:after="50"/>
      </w:pPr>
      <w:r>
        <w:rPr>
          <w:rFonts w:ascii="Arial" w:cs="Arial" w:eastAsia="Arial" w:hAnsi="Arial"/>
          <w:color w:val="1C1C1A"/>
          <w:sz w:val="19"/>
          <w:szCs w:val="19"/>
        </w:rPr>
        <w:t xml:space="preserve">BodhPeople people intelligence and pulse monitoring (Phase 2)</w:t>
      </w:r>
    </w:p>
    <w:p>
      <w:pPr>
        <w:pStyle w:val="ListParagraph"/>
        <w:numPr>
          <w:ilvl w:val="0"/>
          <w:numId w:val="2"/>
        </w:numPr>
        <w:spacing w:before="50" w:after="50"/>
      </w:pPr>
      <w:r>
        <w:rPr>
          <w:rFonts w:ascii="Arial" w:cs="Arial" w:eastAsia="Arial" w:hAnsi="Arial"/>
          <w:color w:val="1C1C1A"/>
          <w:sz w:val="19"/>
          <w:szCs w:val="19"/>
        </w:rPr>
        <w:t xml:space="preserve">BodhGrow 360° feedback and succession planning (Phase 2)</w:t>
      </w:r>
    </w:p>
    <w:p>
      <w:pPr>
        <w:pStyle w:val="ListParagraph"/>
        <w:numPr>
          <w:ilvl w:val="0"/>
          <w:numId w:val="2"/>
        </w:numPr>
        <w:spacing w:before="50" w:after="50"/>
      </w:pPr>
      <w:r>
        <w:rPr>
          <w:rFonts w:ascii="Arial" w:cs="Arial" w:eastAsia="Arial" w:hAnsi="Arial"/>
          <w:color w:val="1C1C1A"/>
          <w:sz w:val="19"/>
          <w:szCs w:val="19"/>
        </w:rPr>
        <w:t xml:space="preserve">BodhExam examination management system (Phase 3)</w:t>
      </w:r>
    </w:p>
    <w:p>
      <w:pPr>
        <w:pStyle w:val="ListParagraph"/>
        <w:numPr>
          <w:ilvl w:val="0"/>
          <w:numId w:val="2"/>
        </w:numPr>
        <w:spacing w:before="50" w:after="50"/>
      </w:pPr>
      <w:r>
        <w:rPr>
          <w:rFonts w:ascii="Arial" w:cs="Arial" w:eastAsia="Arial" w:hAnsi="Arial"/>
          <w:color w:val="1C1C1A"/>
          <w:sz w:val="19"/>
          <w:szCs w:val="19"/>
        </w:rPr>
        <w:t xml:space="preserve">BodhCode coding assessment and hackathon platform (Phase 3)</w:t>
      </w:r>
    </w:p>
    <w:p>
      <w:pPr>
        <w:pStyle w:val="ListParagraph"/>
        <w:numPr>
          <w:ilvl w:val="0"/>
          <w:numId w:val="2"/>
        </w:numPr>
        <w:spacing w:before="50" w:after="50"/>
      </w:pPr>
      <w:r>
        <w:rPr>
          <w:rFonts w:ascii="Arial" w:cs="Arial" w:eastAsia="Arial" w:hAnsi="Arial"/>
          <w:color w:val="1C1C1A"/>
          <w:sz w:val="19"/>
          <w:szCs w:val="19"/>
        </w:rPr>
        <w:t xml:space="preserve">BodhHire virtual hiring suite (Phase 3)</w:t>
      </w:r>
    </w:p>
    <w:p>
      <w:pPr>
        <w:pStyle w:val="ListParagraph"/>
        <w:numPr>
          <w:ilvl w:val="0"/>
          <w:numId w:val="2"/>
        </w:numPr>
        <w:spacing w:before="50" w:after="50"/>
      </w:pPr>
      <w:r>
        <w:rPr>
          <w:rFonts w:ascii="Arial" w:cs="Arial" w:eastAsia="Arial" w:hAnsi="Arial"/>
          <w:color w:val="1C1C1A"/>
          <w:sz w:val="19"/>
          <w:szCs w:val="19"/>
        </w:rPr>
        <w:t xml:space="preserve">HRMS integrations — Darwinbox, SAP, Keka (Phase 3)</w:t>
      </w:r>
    </w:p>
    <w:p>
      <w:pPr>
        <w:pStyle w:val="ListParagraph"/>
        <w:numPr>
          <w:ilvl w:val="0"/>
          <w:numId w:val="2"/>
        </w:numPr>
        <w:spacing w:before="50" w:after="50"/>
      </w:pPr>
      <w:r>
        <w:rPr>
          <w:rFonts w:ascii="Arial" w:cs="Arial" w:eastAsia="Arial" w:hAnsi="Arial"/>
          <w:color w:val="1C1C1A"/>
          <w:sz w:val="19"/>
          <w:szCs w:val="19"/>
        </w:rPr>
        <w:t xml:space="preserve">DigiLocker integration for certificate issuance (Phase 3)</w:t>
      </w:r>
    </w:p>
    <w:p>
      <w:pPr>
        <w:pStyle w:val="ListParagraph"/>
        <w:numPr>
          <w:ilvl w:val="0"/>
          <w:numId w:val="2"/>
        </w:numPr>
        <w:spacing w:before="50" w:after="50"/>
      </w:pPr>
      <w:r>
        <w:rPr>
          <w:rFonts w:ascii="Arial" w:cs="Arial" w:eastAsia="Arial" w:hAnsi="Arial"/>
          <w:color w:val="1C1C1A"/>
          <w:sz w:val="19"/>
          <w:szCs w:val="19"/>
        </w:rPr>
        <w:t xml:space="preserve">Blockchain-anchored certification (Phase 3)</w:t>
      </w:r>
    </w:p>
    <w:p>
      <w:pPr>
        <w:pStyle w:val="ListParagraph"/>
        <w:numPr>
          <w:ilvl w:val="0"/>
          <w:numId w:val="2"/>
        </w:numPr>
        <w:spacing w:before="50" w:after="50"/>
      </w:pPr>
      <w:r>
        <w:rPr>
          <w:rFonts w:ascii="Arial" w:cs="Arial" w:eastAsia="Arial" w:hAnsi="Arial"/>
          <w:color w:val="1C1C1A"/>
          <w:sz w:val="19"/>
          <w:szCs w:val="19"/>
        </w:rPr>
        <w:t xml:space="preserve">Physical test centre (BodhCentre) network (Phase 4)</w:t>
      </w:r>
    </w:p>
    <w:p>
      <w:pPr>
        <w:spacing w:before="120" w:after="0"/>
      </w:pPr>
      <w:r>
        <w:t xml:space="preserve"/>
      </w:r>
    </w:p>
    <w:p>
      <w:pPr>
        <w:pStyle w:val="Heading1"/>
      </w:pPr>
      <w:r>
        <w:rPr>
          <w:rFonts w:ascii="Arial" w:cs="Arial" w:eastAsia="Arial" w:hAnsi="Arial"/>
          <w:b/>
          <w:bCs/>
          <w:color w:val="3C3489"/>
          <w:sz w:val="36"/>
          <w:szCs w:val="36"/>
        </w:rPr>
        <w:t xml:space="preserve">1.3  Definitions and Acronyms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Term / Acronym</w:t>
            </w:r>
          </w:p>
        </w:tc>
        <w:tc>
          <w:tcPr>
            <w:tcW w:type="dxa" w:w="72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SRS</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Software Requirements Specification — this document</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Functional Requirement — defines what the system must do</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Non-Functional Requirement — defines how well the system must do it</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Use Case — a scenario describing how a user achieves a goal using the system</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CAT</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Computerised Adaptive Testing — assessment delivery that selects items based on current ability estimate</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IRT</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Item Response Theory — psychometric framework for item calibration and ability estimation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3PL</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Three-Parameter Logistic model — the IRT model used in BodhAssess CAT engine</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θ (theta)</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Latent trait estimate — the IRT estimate of a respondent's ability or trait level</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SEM</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Error of Measurement — uncertainty in the theta estimate; CAT termination criterion</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IAT</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Implicit Association Test — experimental paradigm measuring implicit attitudes via response latency</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BPaaS</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Proctoring-as-a-Service — Bodh's proctoring API offered to third-party platforms</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Digital Personal Data Protection Act 2023 — Indian data protection law</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DPA</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Data Processing Agreement — contract between data controller and data processor</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DPO</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Data Protection Officer — individual responsible for DPDP compliance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MSE</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Mental Status Examination — structured clinical assessment of a patient's mental state</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CBT</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Cognitive Behavioural Therapy — therapeutic framework supported by BodhLearn (Phase 2)</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TRAPD</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Translation, Review, Adjudication, Pretesting, Documentation — psychometric translation standard</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RLS</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Row-Level Security — PostgreSQL feature that filters queries by tenant at database layer</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MFA</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Multi-Factor Authentication — second factor required for admin logins</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ADR</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Architecture Decision Record — documented record of a significant technical decision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ICD-10</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International Classification of Diseases, 10th Revision — India's official diagnostic standard</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ICD-11</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International Classification of Diseases, 11th Revision — WHO current standard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DSM-5</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Diagnostic and Statistical Manual, 5th Edition — APA diagnostic standard</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T-score</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Standardised score with mean 50 and SD 10 — used for norm referencing in all reports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Vertical</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 context layer in BodhAssess: Clinical, Industrial, Counselling, Designing Experiments, White-Label</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w:t>
            </w:r>
          </w:p>
        </w:tc>
        <w:tc>
          <w:tcPr>
            <w:tcW w:type="dxa" w:w="7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Access level: T1 Ready-to-use through T5 Full AI integration</w:t>
            </w:r>
          </w:p>
        </w:tc>
      </w:tr>
    </w:tbl>
    <w:p>
      <w:pPr>
        <w:spacing w:before="120" w:after="0"/>
      </w:pPr>
      <w:r>
        <w:t xml:space="preserve"/>
      </w:r>
    </w:p>
    <w:p>
      <w:pPr>
        <w:pStyle w:val="Heading1"/>
      </w:pPr>
      <w:r>
        <w:rPr>
          <w:rFonts w:ascii="Arial" w:cs="Arial" w:eastAsia="Arial" w:hAnsi="Arial"/>
          <w:b/>
          <w:bCs/>
          <w:color w:val="3C3489"/>
          <w:sz w:val="36"/>
          <w:szCs w:val="36"/>
        </w:rPr>
        <w:t xml:space="preserve">1.4  Stakeholders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Interest in This SRS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Psychologists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end users — Clinical vertical</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Requirements for instrument library, MSE upload, clinical report format, DPDP consent, ICD-10/11/DSM-5 coding</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HR Professionals / I-O Psychologists</w:t>
            </w:r>
          </w:p>
        </w:tc>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end users — Industrial vertical</w:t>
            </w:r>
          </w:p>
        </w:tc>
        <w:tc>
          <w:tcPr>
            <w:tcW w:type="dxa" w:w="5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Requirements for psychometric batteries, AI Adaptability Index, proctoring, industrial report format, bulk assessment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Counsellors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end users — Counselling vertical</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Requirements for child instrument library, multi-informant design, parent-friendly reports, parental consent flow</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Researchers</w:t>
            </w:r>
          </w:p>
        </w:tc>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end users — Designing Experiments vertical</w:t>
            </w:r>
          </w:p>
        </w:tc>
        <w:tc>
          <w:tcPr>
            <w:tcW w:type="dxa" w:w="5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Requirements for experimental paradigm delivery, timing precision, trial-level data export, IRB documentation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BodhStudio Clients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Users of white-label and BPaaS features</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Requirements for white-label provisioning, custom branding, BPaaS API contract, Tier 4 workflow</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Psychometric Team</w:t>
            </w:r>
          </w:p>
        </w:tc>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Internal — instrument validation and norms</w:t>
            </w:r>
          </w:p>
        </w:tc>
        <w:tc>
          <w:tcPr>
            <w:tcW w:type="dxa" w:w="5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Requirements for norm referencing, IRT calibration pipeline, interpretive text library</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Engineering Squads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Build the system</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Authoritative source of what to build. Acceptance criteria for Definition of Done.</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QA Engineers</w:t>
            </w:r>
          </w:p>
        </w:tc>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Test the system</w:t>
            </w:r>
          </w:p>
        </w:tc>
        <w:tc>
          <w:tcPr>
            <w:tcW w:type="dxa" w:w="5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Every requirement must be testable. Basis for all test case design.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Data Protection Officer</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 compliance</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requirements touching personal data collection, storage, erasure, and consent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Product Management</w:t>
            </w:r>
          </w:p>
        </w:tc>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Prioritise and accept</w:t>
            </w:r>
          </w:p>
        </w:tc>
        <w:tc>
          <w:tcPr>
            <w:tcW w:type="dxa" w:w="5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Scope definition, priority assignment, phase boundary decisions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2 — System Overview</w:t>
            </w:r>
          </w:p>
        </w:tc>
      </w:tr>
    </w:tbl>
    <w:p>
      <w:pPr>
        <w:spacing w:before="160" w:after="0"/>
      </w:pPr>
      <w:r>
        <w:t xml:space="preserve"/>
      </w:r>
    </w:p>
    <w:p>
      <w:pPr>
        <w:pStyle w:val="Heading1"/>
      </w:pPr>
      <w:r>
        <w:rPr>
          <w:rFonts w:ascii="Arial" w:cs="Arial" w:eastAsia="Arial" w:hAnsi="Arial"/>
          <w:b/>
          <w:bCs/>
          <w:color w:val="3C3489"/>
          <w:sz w:val="36"/>
          <w:szCs w:val="36"/>
        </w:rPr>
        <w:t xml:space="preserve">2.1  System Context</w:t>
      </w:r>
    </w:p>
    <w:p>
      <w:pPr>
        <w:spacing w:before="80" w:after="0"/>
      </w:pPr>
      <w:r>
        <w:t xml:space="preserve"/>
      </w:r>
    </w:p>
    <w:p>
      <w:pPr>
        <w:spacing w:before="0" w:after="100"/>
      </w:pPr>
      <w:r>
        <w:rPr>
          <w:rFonts w:ascii="Arial" w:cs="Arial" w:eastAsia="Arial" w:hAnsi="Arial"/>
          <w:color w:val="1C1C1A"/>
          <w:sz w:val="20"/>
          <w:szCs w:val="20"/>
        </w:rPr>
        <w:t xml:space="preserve">BodhAssess is a multi-tenant SaaS platform hosted on DigitalOcean infrastructure in India (BLR1 and BOM1 data centres). It is accessed by practitioners and respondents via web browsers (Next.js) and a mobile application (React Native). Third-party platforms access BodhAssess via REST API for BPaaS proctoring and assessment integrations. All data remains within Indian infrastructure in compliance with DPDP 2023.</w:t>
      </w:r>
    </w:p>
    <w:p>
      <w:pPr>
        <w:spacing w:before="100" w:after="0"/>
      </w:pPr>
      <w:r>
        <w:t xml:space="preserve"/>
      </w:r>
    </w:p>
    <w:p>
      <w:pPr>
        <w:pStyle w:val="Heading1"/>
      </w:pPr>
      <w:r>
        <w:rPr>
          <w:rFonts w:ascii="Arial" w:cs="Arial" w:eastAsia="Arial" w:hAnsi="Arial"/>
          <w:b/>
          <w:bCs/>
          <w:color w:val="3C3489"/>
          <w:sz w:val="36"/>
          <w:szCs w:val="36"/>
        </w:rPr>
        <w:t xml:space="preserve">2.2  User Roles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626"/>
      </w:tblGrid>
      <w:tr>
        <w:trPr>
          <w:tblHeader/>
        </w:trPr>
        <w:tc>
          <w:tcPr>
            <w:tcW w:type="dxa" w:w="18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Accessible Verticals</w:t>
            </w:r>
          </w:p>
        </w:tc>
        <w:tc>
          <w:tcPr>
            <w:tcW w:type="dxa" w:w="36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Key Permissions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Platform Administrator</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internal staff. Full system access across all tenants.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User management, instrument publishing, norm table management, Tier configuration, DPDP audit log access</w:t>
            </w:r>
          </w:p>
        </w:tc>
      </w:tr>
      <w:tr>
        <w:tc>
          <w:tcPr>
            <w:tcW w:type="dxa" w:w="1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Tenant Administrator</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Organisation-level admin. Manages their own tenant.</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vertical(s)</w:t>
            </w:r>
          </w:p>
        </w:tc>
        <w:tc>
          <w:tcPr>
            <w:tcW w:type="dxa" w:w="36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Add/remove practitioners, configure instrument library, view aggregate BodhLens dashboards, manage billing, configure white-label branding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Senior Practitioner</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Supervisor-level practitioner. Can review supervisee caseloads.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vertical(s)</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Own sessions + supervisee sessions (with permission). Can approve AI-generated report sections before finalisation.</w:t>
            </w:r>
          </w:p>
        </w:tc>
      </w:tr>
      <w:tr>
        <w:tc>
          <w:tcPr>
            <w:tcW w:type="dxa" w:w="1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clinical, HR, or counselling professional.</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vertical(s)</w:t>
            </w:r>
          </w:p>
        </w:tc>
        <w:tc>
          <w:tcPr>
            <w:tcW w:type="dxa" w:w="36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Create and manage own assessment sessions. Generate and approve reports. Cannot see other practitioners' data.</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Viewer</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Read-only analytics access. Cannot create or manage sessions.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vertical(s)</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aggregate dashboards only. No individual session data.</w:t>
            </w:r>
          </w:p>
        </w:tc>
      </w:tr>
      <w:tr>
        <w:tc>
          <w:tcPr>
            <w:tcW w:type="dxa" w:w="1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Respondent</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taker — patient, candidate, student.</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N/A (takes assessments only)</w:t>
            </w:r>
          </w:p>
        </w:tc>
        <w:tc>
          <w:tcPr>
            <w:tcW w:type="dxa" w:w="36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Access own assessment sessions. View own reports if shared. Request own data via Data Principal Rights Portal.</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BPaaS API Client</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Third-party system integrating proctoring.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N/A (API access only)</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Create proctoring sessions, receive WebSocket events, retrieve Trust Reports via BPaaS API key</w:t>
            </w:r>
          </w:p>
        </w:tc>
      </w:tr>
    </w:tbl>
    <w:p>
      <w:pPr>
        <w:spacing w:before="120" w:after="0"/>
      </w:pPr>
      <w:r>
        <w:t xml:space="preserve"/>
      </w:r>
    </w:p>
    <w:p>
      <w:pPr>
        <w:pStyle w:val="Heading1"/>
      </w:pPr>
      <w:r>
        <w:rPr>
          <w:rFonts w:ascii="Arial" w:cs="Arial" w:eastAsia="Arial" w:hAnsi="Arial"/>
          <w:b/>
          <w:bCs/>
          <w:color w:val="3C3489"/>
          <w:sz w:val="36"/>
          <w:szCs w:val="36"/>
        </w:rPr>
        <w:t xml:space="preserve">2.3  Assumptions and Dependencies</w:t>
      </w:r>
    </w:p>
    <w:p>
      <w:pPr>
        <w:spacing w:before="80" w:after="0"/>
      </w:pPr>
      <w:r>
        <w:t xml:space="preserve"/>
      </w:r>
    </w:p>
    <w:p>
      <w:pPr>
        <w:pStyle w:val="Heading3"/>
      </w:pPr>
      <w:r>
        <w:rPr>
          <w:rFonts w:ascii="Arial" w:cs="Arial" w:eastAsia="Arial" w:hAnsi="Arial"/>
          <w:b/>
          <w:bCs/>
          <w:color w:val="3C3489"/>
          <w:sz w:val="24"/>
          <w:szCs w:val="24"/>
        </w:rPr>
        <w:t xml:space="preserve">Assumptions</w:t>
      </w:r>
    </w:p>
    <w:p>
      <w:pPr>
        <w:spacing w:before="6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Practitioners are qualified professionals in their respective field (RCI-registered clinical psychologists, certified HR practitioners, school counsellors) — the system does not verify qualifications at onboarding</w:t>
      </w:r>
    </w:p>
    <w:p>
      <w:pPr>
        <w:pStyle w:val="ListParagraph"/>
        <w:numPr>
          <w:ilvl w:val="0"/>
          <w:numId w:val="2"/>
        </w:numPr>
        <w:spacing w:before="50" w:after="50"/>
      </w:pPr>
      <w:r>
        <w:rPr>
          <w:rFonts w:ascii="Arial" w:cs="Arial" w:eastAsia="Arial" w:hAnsi="Arial"/>
          <w:color w:val="1C1C1A"/>
          <w:sz w:val="19"/>
          <w:szCs w:val="19"/>
        </w:rPr>
        <w:t xml:space="preserve">Respondents have access to a modern web browser (Chrome 100+, Firefox 110+, Safari 16+) or the BodhAssess mobile app</w:t>
      </w:r>
    </w:p>
    <w:p>
      <w:pPr>
        <w:pStyle w:val="ListParagraph"/>
        <w:numPr>
          <w:ilvl w:val="0"/>
          <w:numId w:val="2"/>
        </w:numPr>
        <w:spacing w:before="50" w:after="50"/>
      </w:pPr>
      <w:r>
        <w:rPr>
          <w:rFonts w:ascii="Arial" w:cs="Arial" w:eastAsia="Arial" w:hAnsi="Arial"/>
          <w:color w:val="1C1C1A"/>
          <w:sz w:val="19"/>
          <w:szCs w:val="19"/>
        </w:rPr>
        <w:t xml:space="preserve">Respondents have a stable internet connection of at least 5 Mbps for proctored assessments</w:t>
      </w:r>
    </w:p>
    <w:p>
      <w:pPr>
        <w:pStyle w:val="ListParagraph"/>
        <w:numPr>
          <w:ilvl w:val="0"/>
          <w:numId w:val="2"/>
        </w:numPr>
        <w:spacing w:before="50" w:after="50"/>
      </w:pPr>
      <w:r>
        <w:rPr>
          <w:rFonts w:ascii="Arial" w:cs="Arial" w:eastAsia="Arial" w:hAnsi="Arial"/>
          <w:color w:val="1C1C1A"/>
          <w:sz w:val="19"/>
          <w:szCs w:val="19"/>
        </w:rPr>
        <w:t xml:space="preserve">Practitioner devices meet minimum hardware requirements: 4GB RAM, dual-core processor, webcam for proctored sessions</w:t>
      </w:r>
    </w:p>
    <w:p>
      <w:pPr>
        <w:pStyle w:val="ListParagraph"/>
        <w:numPr>
          <w:ilvl w:val="0"/>
          <w:numId w:val="2"/>
        </w:numPr>
        <w:spacing w:before="50" w:after="50"/>
      </w:pPr>
      <w:r>
        <w:rPr>
          <w:rFonts w:ascii="Arial" w:cs="Arial" w:eastAsia="Arial" w:hAnsi="Arial"/>
          <w:color w:val="1C1C1A"/>
          <w:sz w:val="19"/>
          <w:szCs w:val="19"/>
        </w:rPr>
        <w:t xml:space="preserve">Indian population norm data for PHQ-9 Hindi and GAD-7 Hindi is available from published literature at Phase 1 launch</w:t>
      </w:r>
    </w:p>
    <w:p>
      <w:pPr>
        <w:pStyle w:val="ListParagraph"/>
        <w:numPr>
          <w:ilvl w:val="0"/>
          <w:numId w:val="2"/>
        </w:numPr>
        <w:spacing w:before="50" w:after="50"/>
      </w:pPr>
      <w:r>
        <w:rPr>
          <w:rFonts w:ascii="Arial" w:cs="Arial" w:eastAsia="Arial" w:hAnsi="Arial"/>
          <w:color w:val="1C1C1A"/>
          <w:sz w:val="19"/>
          <w:szCs w:val="19"/>
        </w:rPr>
        <w:t xml:space="preserve">Gupshup Business API account is provisioned with verified WhatsApp Business number before Phase 1 launch</w:t>
      </w:r>
    </w:p>
    <w:p>
      <w:pPr>
        <w:pStyle w:val="ListParagraph"/>
        <w:numPr>
          <w:ilvl w:val="0"/>
          <w:numId w:val="2"/>
        </w:numPr>
        <w:spacing w:before="50" w:after="50"/>
      </w:pPr>
      <w:r>
        <w:rPr>
          <w:rFonts w:ascii="Arial" w:cs="Arial" w:eastAsia="Arial" w:hAnsi="Arial"/>
          <w:color w:val="1C1C1A"/>
          <w:sz w:val="19"/>
          <w:szCs w:val="19"/>
        </w:rPr>
        <w:t xml:space="preserve">Anthropic Claude API access is provisioned with sufficient rate limits for Phase 1 Tier 5 usage volume</w:t>
      </w:r>
    </w:p>
    <w:p>
      <w:pPr>
        <w:spacing w:before="80" w:after="0"/>
      </w:pPr>
      <w:r>
        <w:t xml:space="preserve"/>
      </w:r>
    </w:p>
    <w:p>
      <w:pPr>
        <w:pStyle w:val="Heading3"/>
      </w:pPr>
      <w:r>
        <w:rPr>
          <w:rFonts w:ascii="Arial" w:cs="Arial" w:eastAsia="Arial" w:hAnsi="Arial"/>
          <w:b/>
          <w:bCs/>
          <w:color w:val="3C3489"/>
          <w:sz w:val="24"/>
          <w:szCs w:val="24"/>
        </w:rPr>
        <w:t xml:space="preserve">Dependencies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426"/>
      </w:tblGrid>
      <w:tr>
        <w:trPr>
          <w:tblHeader/>
        </w:trPr>
        <w:tc>
          <w:tcPr>
            <w:tcW w:type="dxa" w:w="1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1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Risk if Unavailable</w:t>
            </w:r>
          </w:p>
        </w:tc>
        <w:tc>
          <w:tcPr>
            <w:tcW w:type="dxa" w:w="34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Anthropic Claude API</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External API — Tier 5 narrative generation, BodhLens query generation</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 5 report narrative and BodhLens unavailable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Degrade gracefully: template-driven reports for Tier 1–4 continue. BodhLens shows maintenance message. SLA: 99.9% from Anthropic.</w:t>
            </w:r>
          </w:p>
        </w:tc>
      </w:tr>
      <w:tr>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Gupshup Business API</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External API — WhatsApp delivery</w:t>
            </w:r>
          </w:p>
        </w:tc>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WhatsApp survey and assessment invitation delivery unavailable</w:t>
            </w:r>
          </w:p>
        </w:tc>
        <w:tc>
          <w:tcPr>
            <w:tcW w:type="dxa" w:w="34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Failover to SMS (Twilio) and email (Postal) automatically. WhatsApp is preferred, not required.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Twilio</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External API — SMS delivery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SMS delivery unavailable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Failover to email. Assessment invitations via email continue.</w:t>
            </w:r>
          </w:p>
        </w:tc>
      </w:tr>
      <w:tr>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DigitalOcean DOKS</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Cloud infrastructure</w:t>
            </w:r>
          </w:p>
        </w:tc>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Platform unavailable</w:t>
            </w:r>
          </w:p>
        </w:tc>
        <w:tc>
          <w:tcPr>
            <w:tcW w:type="dxa" w:w="34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BOM1 standby cluster. RTO: 15 minutes. RPO: 5 minutes (PostgreSQL streaming replication).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indic-BERT model</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Self-hosted ML — NLP scoring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NLP analytics on open-text unavailable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Queue NLP jobs for processing when service recovers. Primary assessment and report functions unaffected.</w:t>
            </w:r>
          </w:p>
        </w:tc>
      </w:tr>
      <w:tr>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YOLOv8-nano ONNX</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Client-side + server-side ML — proctoring</w:t>
            </w:r>
          </w:p>
        </w:tc>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unavailable</w:t>
            </w:r>
          </w:p>
        </w:tc>
        <w:tc>
          <w:tcPr>
            <w:tcW w:type="dxa" w:w="34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assessments run in unproctored mode with disclosure to client. Assessment data still collected.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3 — Functional Requirements</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854F0B" w:val="clear"/>
            <w:tcMar>
              <w:top w:type="dxa" w:w="80"/>
              <w:left w:type="dxa" w:w="180"/>
              <w:bottom w:type="dxa" w:w="60"/>
              <w:right w:type="dxa" w:w="180"/>
            </w:tcMar>
          </w:tcPr>
          <w:p>
            <w:r>
              <w:rPr>
                <w:rFonts w:ascii="Arial" w:cs="Arial" w:eastAsia="Arial" w:hAnsi="Arial"/>
                <w:b/>
                <w:bCs/>
                <w:color w:val="FFFFFF"/>
                <w:sz w:val="18"/>
                <w:szCs w:val="18"/>
              </w:rPr>
              <w:t xml:space="preserve">REQUIREMENT PRIORITY DEFINITIONS</w:t>
            </w:r>
          </w:p>
        </w:tc>
      </w:tr>
      <w:tr>
        <w:tc>
          <w:tcPr>
            <w:tcBorders>
              <w:top w:val="single" w:color="854F0B" w:sz="4"/>
              <w:left w:val="single" w:color="854F0B" w:sz="8"/>
              <w:bottom w:val="single" w:color="854F0B" w:sz="4"/>
              <w:right w:val="single" w:color="854F0B" w:sz="4"/>
            </w:tcBorders>
            <w:shd w:fill="FAEEDA"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MUST: System cannot be considered functional without this. Blocks Phase 1 launch. | SHOULD: Strongly desired. Planned for Phase 1 but can be deferred to Sprint 23–24 if necessary. | COULD: Nice to have. Included if capacity allows. Does not block launch.</w:t>
            </w:r>
          </w:p>
        </w:tc>
      </w:tr>
    </w:tbl>
    <w:p>
      <w:pPr>
        <w:spacing w:before="120" w:after="0"/>
      </w:pPr>
      <w:r>
        <w:t xml:space="preserve"/>
      </w:r>
    </w:p>
    <w:p>
      <w:pPr>
        <w:pStyle w:val="Heading1"/>
      </w:pPr>
      <w:r>
        <w:rPr>
          <w:rFonts w:ascii="Arial" w:cs="Arial" w:eastAsia="Arial" w:hAnsi="Arial"/>
          <w:b/>
          <w:bCs/>
          <w:color w:val="3C3489"/>
          <w:sz w:val="36"/>
          <w:szCs w:val="36"/>
        </w:rPr>
        <w:t xml:space="preserve">3.1  Authentication and Access Control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authenticate all users via Keycloak JWT. Unauthenticated requests to any API endpoint shall return HTTP 401.</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API contract test. Send request without token → assert 401.</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FR-AUTH-002</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Access tokens shall expire after 15 minutes. Refresh tokens shall be valid for 10 hours.</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create token, wait 16 minutes (accelerated in test), assert next request returns 401.</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enforce Multi-Factor Authentication (MFA) for all Tenant Administrator and Platform Administrator accounts.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attempt admin login without MFA → assert blocked. Enable MFA → assert login succeeds.</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FR-AUTH-004</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isolate all tenant data using PostgreSQL Row-Level Security. A practitioner from Tenant A shall not be able to access any data from Tenant B under any circumstances, including via direct database query from their application session.</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integration test — user from Tenant A queries sessions endpoint, assert only Tenant A sessions returned. Penetration test: cross-tenant data access attempt.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SSO (Single Sign-On) via SAML 2.0 and OIDC for Tenant Administrator-configured identity providers.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configure corporate IDP, attempt SSO login, assert successful authentication with correct role claims.</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FR-AUTH-006</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lock an account for 15 minutes after 5 consecutive failed login attempts.</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simulate 5 failed logins, assert 6th attempt returns lockout message.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White-label tenant users shall authenticate against their tenant's Keycloak realm. The Bodh login page shall not be shown to white-label tenant users.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navigate to white-label domain, assert branded login page, assert Bodh branding absent.</w:t>
            </w:r>
          </w:p>
        </w:tc>
      </w:tr>
    </w:tbl>
    <w:p>
      <w:pPr>
        <w:spacing w:before="120" w:after="0"/>
      </w:pPr>
      <w:r>
        <w:t xml:space="preserve"/>
      </w:r>
    </w:p>
    <w:p>
      <w:pPr>
        <w:pStyle w:val="Heading1"/>
      </w:pPr>
      <w:r>
        <w:rPr>
          <w:rFonts w:ascii="Arial" w:cs="Arial" w:eastAsia="Arial" w:hAnsi="Arial"/>
          <w:b/>
          <w:bCs/>
          <w:color w:val="3C3489"/>
          <w:sz w:val="36"/>
          <w:szCs w:val="36"/>
        </w:rPr>
        <w:t xml:space="preserve">3.2  Vertical Navigation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FR-VERT-001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 login, the system shall present users with a vertical selection screen showing only the verticals enabled for their tenant: Clinical Psychology, Industrial Psychology, Counselling and Child Psychology, Designing Experiments, and/or White-Label.</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log in as user with Clinical + Industrial verticals enabled. Assert only those two verticals shown.</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FR-VERT-002</w:t>
            </w:r>
          </w:p>
        </w:tc>
        <w:tc>
          <w:tcPr>
            <w:tcW w:type="dxa" w:w="3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 selecting a vertical, the system shall adapt the entire UI context: instrument library, terminology labels, report templates, default tier, and navigation items.</w:t>
            </w:r>
          </w:p>
        </w:tc>
        <w:tc>
          <w:tcPr>
            <w:tcW w:type="dxa" w:w="1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select Clinical → assert 'Clients' terminology. Select Industrial → assert 'Candidates' terminology. Select Counselling → assert 'Students' terminology.</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FR-VERT-003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White-label tenant users shall land directly inside their configured vertical without seeing the vertical selection screen.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log in as white-label user, assert no vertical selection screen shown, assert direct entry to configured vertical.</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FR-VERT-004</w:t>
            </w:r>
          </w:p>
        </w:tc>
        <w:tc>
          <w:tcPr>
            <w:tcW w:type="dxa" w:w="3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allow a user with multiple vertical permissions to switch verticals without logging out, via a vertical switcher accessible from the main navigation.</w:t>
            </w:r>
          </w:p>
        </w:tc>
        <w:tc>
          <w:tcPr>
            <w:tcW w:type="dxa" w:w="1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log in with Clinical + Industrial. Switch from Clinical to Industrial via switcher. Assert context changes correctly.</w:t>
            </w:r>
          </w:p>
        </w:tc>
      </w:tr>
    </w:tbl>
    <w:p>
      <w:pPr>
        <w:spacing w:before="120" w:after="0"/>
      </w:pPr>
      <w:r>
        <w:t xml:space="preserve"/>
      </w:r>
    </w:p>
    <w:p>
      <w:pPr>
        <w:pStyle w:val="Heading1"/>
      </w:pPr>
      <w:r>
        <w:rPr>
          <w:rFonts w:ascii="Arial" w:cs="Arial" w:eastAsia="Arial" w:hAnsi="Arial"/>
          <w:b/>
          <w:bCs/>
          <w:color w:val="3C3489"/>
          <w:sz w:val="36"/>
          <w:szCs w:val="36"/>
        </w:rPr>
        <w:t xml:space="preserve">3.3  Assessment Session Management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allow a practitioner to create an assessment session by selecting an instrument, a respondent, a delivery language, and a consent record.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POST /api/v1/sessions with valid body → assert 201 response with session_id.</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FR-SESS-002</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reject session creation if a valid ASSESSMENT consent record for the respondent does not exist.</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POST /api/v1/sessions without consent_id → assert 400. POST with invalid consent_id → assert 422.</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batch session creation: a practitioner uploads a CSV of respondent emails and the system creates sessions and sends invitations to all respondents.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 automated: upload 10-row CSV, assert 10 sessions created, 10 invitation emails/WhatsApp messages sent.</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FR-SESS-004</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allow assessment sessions to be delivered in any of the 11 supported languages: English, Hindi, Tamil, Telugu, Marathi, Kannada, Bengali, Gujarati, Malayalam, Odia, Punjabi.</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create session in each language, assert instrument content rendered in correct language.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auto-save respondent progress every 30 seconds during an active session and on every item response submission.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submit 3 responses, simulate network drop, reconnect, assert session resumes from item 4.</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FR-SESS-006</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allow a respondent to resume an interrupted session within 24 hours. After 24 hours, an interrupted session shall be marked ABANDONED.</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create session, submit 2 responses, wait 25 hours (mocked time), assert status = ABANDONED.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record the following for every assessment session: start timestamp, completion timestamp, delivery language, items administered count, proctoring status, and respondent device type (web/mobile).</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complete session, query session record, assert all fields populated.</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FR-SESS-008</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allow a practitioner to view all sessions they have created, with filters by status, vertical, instrument, and date range.</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create sessions in different states, filter by each criterion, assert correct sessions shown.</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FR-SESS-009</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send an automated reminder to respondents who have not completed their session within 48 hours, via their preferred delivery channel (WhatsApp/SMS/email).</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create session, do not complete, wait 48 hours (mocked), assert reminder notification sent.</w:t>
            </w:r>
          </w:p>
        </w:tc>
      </w:tr>
    </w:tbl>
    <w:p>
      <w:pPr>
        <w:spacing w:before="120" w:after="0"/>
      </w:pPr>
      <w:r>
        <w:t xml:space="preserve"/>
      </w:r>
    </w:p>
    <w:p>
      <w:pPr>
        <w:pStyle w:val="Heading1"/>
      </w:pPr>
      <w:r>
        <w:rPr>
          <w:rFonts w:ascii="Arial" w:cs="Arial" w:eastAsia="Arial" w:hAnsi="Arial"/>
          <w:b/>
          <w:bCs/>
          <w:color w:val="3C3489"/>
          <w:sz w:val="36"/>
          <w:szCs w:val="36"/>
        </w:rPr>
        <w:t xml:space="preserve">3.4  Adaptive Delivery (CAT Engine)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CAT engine shall implement the 3-Parameter Logistic (3PL) IRT model for item selection and theta estimation.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psychometric validation test suite — theta estimates match R ltm package reference within tolerance 0.05 for a corpus of 1,000 simulated response patterns.</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FR-CAT-002</w:t>
            </w:r>
          </w:p>
        </w:tc>
        <w:tc>
          <w:tcPr>
            <w:tcW w:type="dxa" w:w="3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Item selection shall use the Maximum Fisher Information criterion: select the administered item with highest information I(θ) at the current theta estimate from the eligible item pool.</w:t>
            </w:r>
          </w:p>
        </w:tc>
        <w:tc>
          <w:tcPr>
            <w:tcW w:type="dxa" w:w="1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unit test — given 10 items with known IRT parameters and theta=0.5, assert selected item matches expected maximum information item.</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CAT engine shall terminate the session when either: (a) the SEM drops below the configured threshold (default 0.30), or (b) the maximum item count is reached (configurable per instrument, default 40).</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simulate CAT sessions with controlled response patterns, assert termination occurs at correct SEM threshold and item count boundary.</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FR-CAT-004</w:t>
            </w:r>
          </w:p>
        </w:tc>
        <w:tc>
          <w:tcPr>
            <w:tcW w:type="dxa" w:w="3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not administer the same item twice within a single session.</w:t>
            </w:r>
          </w:p>
        </w:tc>
        <w:tc>
          <w:tcPr>
            <w:tcW w:type="dxa" w:w="1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complete a CAT session, assert no item_id appears more than once in item_responses.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CAT engine shall enforce content balancing: no more than 30% of administered items may come from any single sub-domain.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complete CAT session, group item_responses by sub_domain, assert no sub_domain exceeds 30% of total items.</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FR-CAT-006</w:t>
            </w:r>
          </w:p>
        </w:tc>
        <w:tc>
          <w:tcPr>
            <w:tcW w:type="dxa" w:w="3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Fixed-sequence instruments (PHQ-9, GAD-7, DASS-21, Beck scales) shall be delivered in their validated fixed sequence. Item order shall not be modified by the CAT algorithm.</w:t>
            </w:r>
          </w:p>
        </w:tc>
        <w:tc>
          <w:tcPr>
            <w:tcW w:type="dxa" w:w="1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run PHQ-9 session, assert items delivered in sequence 1–9 exactly as defined in instrument configuration.</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display the current progress to the respondent during adaptive delivery (e.g. 'Question 7 of approximately 15') without revealing theta estimate or remaining item count precisely.</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observe CAT session UI, assert progress indicator shown, assert exact item count not revealed.</w:t>
            </w:r>
          </w:p>
        </w:tc>
      </w:tr>
    </w:tbl>
    <w:p>
      <w:pPr>
        <w:spacing w:before="120" w:after="0"/>
      </w:pPr>
      <w:r>
        <w:t xml:space="preserve"/>
      </w:r>
    </w:p>
    <w:p>
      <w:pPr>
        <w:pStyle w:val="Heading1"/>
      </w:pPr>
      <w:r>
        <w:rPr>
          <w:rFonts w:ascii="Arial" w:cs="Arial" w:eastAsia="Arial" w:hAnsi="Arial"/>
          <w:b/>
          <w:bCs/>
          <w:color w:val="3C3489"/>
          <w:sz w:val="36"/>
          <w:szCs w:val="36"/>
        </w:rPr>
        <w:t xml:space="preserve">3.5  Designing Experiments Vertical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deliver the following experimental paradigms via jsPsych: Implicit Association Test (IAT), Dot Probe Task, Emotional Stroop, Go/No-Go Task, N-Back Task, Affective Priming, Visual Search Task, Delay Discounting Task.</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run each paradigm, assert correct stimulus presentation, response recording, and task completion.</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FR-EXP-002</w:t>
            </w:r>
          </w:p>
        </w:tc>
        <w:tc>
          <w:tcPr>
            <w:tcW w:type="dxa" w:w="38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Experimental paradigms shall achieve stimulus timing precision within 16ms (one browser frame at 60fps) for stimulus onset and response recording timestamps.</w:t>
            </w:r>
          </w:p>
        </w:tc>
        <w:tc>
          <w:tcPr>
            <w:tcW w:type="dxa" w:w="1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timing validation test — present 100 stimuli with known theoretical onset times, measure actual onset times, assert max deviation &lt;16ms for 95% of trials.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randomise trial order and stimulus-category assignments per participant using a cryptographically secure random seed, recorded in the session record.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run same IAT instrument twice as different participants, assert trial orders differ. Assert random_seed stored in session record.</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FR-EXP-004</w:t>
            </w:r>
          </w:p>
        </w:tc>
        <w:tc>
          <w:tcPr>
            <w:tcW w:type="dxa" w:w="38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compute and store the following scores automatically: IAT D-score (Greenwald et al. 2003 algorithm), Dot Probe attentional bias index, Stroop interference score, Go/No-Go commission error rate, N-Back d-prime, Delay Discounting k parameter.</w:t>
            </w:r>
          </w:p>
        </w:tc>
        <w:tc>
          <w:tcPr>
            <w:tcW w:type="dxa" w:w="1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psychometric validation — compute scores from reference datasets, assert results match published reference implementations within tolerance.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export full trial-level data in CSV and SPSS (.sav) formats on request by the practitioner.</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experimental session, request CSV export, assert all trial rows present with correct columns: trial_num, stimulus, correct_response, participant_response, response_time_ms, accuracy.</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FR-EXP-006</w:t>
            </w:r>
          </w:p>
        </w:tc>
        <w:tc>
          <w:tcPr>
            <w:tcW w:type="dxa" w:w="38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combining experimental paradigms with standard psychometric instruments in a single session (e.g. GAD-7 followed by Dot Probe Task).</w:t>
            </w:r>
          </w:p>
        </w:tc>
        <w:tc>
          <w:tcPr>
            <w:tcW w:type="dxa" w:w="1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configure combined session, run it, assert both instrument scores and paradigm scores in single session record and report.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run experimental paradigms in enforced full-screen mode. Exiting full-screen shall pause the paradigm and log a trial interruption event.</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run paradigm, exit full-screen, assert paradigm pauses, assert interruption event logged.</w:t>
            </w:r>
          </w:p>
        </w:tc>
      </w:tr>
    </w:tbl>
    <w:p>
      <w:pPr>
        <w:spacing w:before="120" w:after="0"/>
      </w:pPr>
      <w:r>
        <w:t xml:space="preserve"/>
      </w:r>
    </w:p>
    <w:p>
      <w:pPr>
        <w:pStyle w:val="Heading1"/>
      </w:pPr>
      <w:r>
        <w:rPr>
          <w:rFonts w:ascii="Arial" w:cs="Arial" w:eastAsia="Arial" w:hAnsi="Arial"/>
          <w:b/>
          <w:bCs/>
          <w:color w:val="3C3489"/>
          <w:sz w:val="36"/>
          <w:szCs w:val="36"/>
        </w:rPr>
        <w:t xml:space="preserve">3.6  AI Proctoring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proctoring shall be available for Industrial vertical assessments and configurable for Counselling vertical institutional assessments. AI proctoring shall not be applied to Clinical vertical assessments under any circumstances.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attempt to enable proctoring on a Clinical vertical session — assert system rejects. Enable on Industrial — assert accepted.</w:t>
            </w:r>
          </w:p>
        </w:tc>
      </w:tr>
      <w:tr>
        <w:tc>
          <w:tcPr>
            <w:tcW w:type="dxa" w:w="9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FR-PROCT-002</w:t>
            </w:r>
          </w:p>
        </w:tc>
        <w:tc>
          <w:tcPr>
            <w:tcW w:type="dxa" w:w="3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proctoring system shall detect the following events and log them with timestamp, confidence score, and duration: person absent from frame (&gt;5 seconds), multiple persons in frame, prohibited objects (phone, book, paper, earpiece), gaze off-screen (&gt;3 seconds sustained), head turned &gt;30° yaw (&gt;3 seconds sustained).</w:t>
            </w:r>
          </w:p>
        </w:tc>
        <w:tc>
          <w:tcPr>
            <w:tcW w:type="dxa" w:w="1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run proctored session with controlled violation scenarios (hold phone in frame, look away, leave frame). Assert each violation logged correctly.</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 detection (YOLOv8-nano) and facial landmark analysis (MediaPipe) shall run client-side in the browser at minimum 5 frames per second without requiring plugin installation.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Performance: run proctoring on minimum-spec device (4GB RAM, dual-core), assert 5fps maintained, CPU usage &lt;40%.</w:t>
            </w:r>
          </w:p>
        </w:tc>
      </w:tr>
      <w:tr>
        <w:tc>
          <w:tcPr>
            <w:tcW w:type="dxa" w:w="9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FR-PROCT-004</w:t>
            </w:r>
          </w:p>
        </w:tc>
        <w:tc>
          <w:tcPr>
            <w:tcW w:type="dxa" w:w="3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compute a Trust Score (0–100) for every proctored session at session completion using the weighted violation scoring algorithm defined in the Technical Architecture document.</w:t>
            </w:r>
          </w:p>
        </w:tc>
        <w:tc>
          <w:tcPr>
            <w:tcW w:type="dxa" w:w="1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run proctored sessions with known violation patterns, assert Trust Scores match algorithm output for each scenario.</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Secure Browser shall prevent: tab switching, window switching, clipboard access, screen capture, developer tool access, and application switching during a proctored session.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run session in Secure Browser, attempt each blocked action, assert all are prevented.</w:t>
            </w:r>
          </w:p>
        </w:tc>
      </w:tr>
      <w:tr>
        <w:tc>
          <w:tcPr>
            <w:tcW w:type="dxa" w:w="9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FR-PROCT-006</w:t>
            </w:r>
          </w:p>
        </w:tc>
        <w:tc>
          <w:tcPr>
            <w:tcW w:type="dxa" w:w="3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display a clear disclosure to respondents before a proctored session begins, listing all monitoring activities. The respondent must explicitly accept before the session starts.</w:t>
            </w:r>
          </w:p>
        </w:tc>
        <w:tc>
          <w:tcPr>
            <w:tcW w:type="dxa" w:w="1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initiate proctored session, assert disclosure shown, assert session cannot proceed without explicit acceptance.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BPaaS API shall allow third-party platforms to initialise a proctoring session, receive real-time WebSocket violation events, and retrieve a Trust Report after session completion.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BPaaS integration test — initialise session, simulate violations, assert WebSocket events received within 500ms, retrieve Trust Report and assert correct content.</w:t>
            </w:r>
          </w:p>
        </w:tc>
      </w:tr>
    </w:tbl>
    <w:p>
      <w:pPr>
        <w:spacing w:before="120" w:after="0"/>
      </w:pPr>
      <w:r>
        <w:t xml:space="preserve"/>
      </w:r>
    </w:p>
    <w:p>
      <w:pPr>
        <w:pStyle w:val="Heading1"/>
      </w:pPr>
      <w:r>
        <w:rPr>
          <w:rFonts w:ascii="Arial" w:cs="Arial" w:eastAsia="Arial" w:hAnsi="Arial"/>
          <w:b/>
          <w:bCs/>
          <w:color w:val="3C3489"/>
          <w:sz w:val="36"/>
          <w:szCs w:val="36"/>
        </w:rPr>
        <w:t xml:space="preserve">3.7  Report Generation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automatically generate a report for every completed assessment session. Report generation shall begin within 60 seconds of session completion.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complete session, poll report job endpoint, assert status=COMPLETE within 60 seconds.</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FR-REP-002</w:t>
            </w:r>
          </w:p>
        </w:tc>
        <w:tc>
          <w:tcPr>
            <w:tcW w:type="dxa" w:w="3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reports shall include the following sections: Cover Page, Assessment Purpose, Instruments Administered, Results Summary, Score Profile with T-scores and percentiles, Risk Indicators, Clinical Interpretation, Recommendations, Follow-Up Trajectory (repeat administrations only), Practitioner Signature Block.</w:t>
            </w:r>
          </w:p>
        </w:tc>
        <w:tc>
          <w:tcPr>
            <w:tcW w:type="dxa" w:w="1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PHQ-9 clinical session, review generated report, assert all required sections present and correctly populated.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reports shall include: Cover Page, Executive Summary, Battery Administered with Trust Score, Competency Profile (radar chart), Strength Areas, Development Priorities, Norm Comparison, Proctoring Summary (proctored sessions only), Recommended Next Steps.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Big Five industrial session, review generated report, assert all required sections present.</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FR-REP-004</w:t>
            </w:r>
          </w:p>
        </w:tc>
        <w:tc>
          <w:tcPr>
            <w:tcW w:type="dxa" w:w="3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Diagnostic Considerations section (Tier 5 clinical reports only) shall present AI-generated differential considerations with ICD-10, ICD-11, and DSM-5 codes displayed side by side. Maximum 3 considerations per report. Disclaimer: 'For practitioner consideration only — not a diagnosis.'</w:t>
            </w:r>
          </w:p>
        </w:tc>
        <w:tc>
          <w:tcPr>
            <w:tcW w:type="dxa" w:w="1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(Tier 5 clinical session): complete session, review report, assert diagnostic considerations section shows all three coding frameworks, assert disclaimer present, assert maximum 3 considerations.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norm-referenced scores shall be accompanied by a norm disclosure statement identifying the comparison population, sample size, and norm source.</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parse generated report, assert every T-score and percentile has an adjacent norm disclosure text containing population, N, and source fields.</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FR-REP-006</w:t>
            </w:r>
          </w:p>
        </w:tc>
        <w:tc>
          <w:tcPr>
            <w:tcW w:type="dxa" w:w="3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Reports shall be generated as PDF and viewable in-browser. PDF shall be stored in MinIO with a signed download link valid for 90 days.</w:t>
            </w:r>
          </w:p>
        </w:tc>
        <w:tc>
          <w:tcPr>
            <w:tcW w:type="dxa" w:w="1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complete session, download PDF, assert PDF opens correctly, assert download link expiry is 90 days.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For Tier 5 clients, the Results Summary and Recommendations sections shall be generated by Claude API. The practitioner shall review and approve these sections before the report is finalised and distributed.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Tier 5 session, assert AI-generated sections marked 'Review Required', practitioner edits and approves, assert report status changes to FINALISED.</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FR-REP-008</w:t>
            </w:r>
          </w:p>
        </w:tc>
        <w:tc>
          <w:tcPr>
            <w:tcW w:type="dxa" w:w="3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generate a parent-friendly summary report simultaneously with the full practitioner report for all Counselling vertical assessments.</w:t>
            </w:r>
          </w:p>
        </w:tc>
        <w:tc>
          <w:tcPr>
            <w:tcW w:type="dxa" w:w="1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Counselling session, assert two report files available: full practitioner report and parent summary. Assert parent summary uses accessible language without T-scores or percentiles.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FR-REP-009</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Experimental paradigm reports shall include trial-level data summary, paradigm score(s) with norm reference, score interpretation, and a link to download the full trial-level CSV export.</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IAT session, review report, assert D-score present with norm reference and interpretation. Assert CSV download link present.</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FR-REP-010</w:t>
            </w:r>
          </w:p>
        </w:tc>
        <w:tc>
          <w:tcPr>
            <w:tcW w:type="dxa" w:w="3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White-label client reports shall display the institution's logo, brand colours, and practitioner's details. The Bodh name shall not appear in the report body.</w:t>
            </w:r>
          </w:p>
        </w:tc>
        <w:tc>
          <w:tcPr>
            <w:tcW w:type="dxa" w:w="1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session as white-label practitioner, review report, assert client branding present, assert no 'Bodh' text in report body.</w:t>
            </w:r>
          </w:p>
        </w:tc>
      </w:tr>
    </w:tbl>
    <w:p>
      <w:pPr>
        <w:spacing w:before="120" w:after="0"/>
      </w:pPr>
      <w:r>
        <w:t xml:space="preserve"/>
      </w:r>
    </w:p>
    <w:p>
      <w:pPr>
        <w:pStyle w:val="Heading1"/>
      </w:pPr>
      <w:r>
        <w:rPr>
          <w:rFonts w:ascii="Arial" w:cs="Arial" w:eastAsia="Arial" w:hAnsi="Arial"/>
          <w:b/>
          <w:bCs/>
          <w:color w:val="3C3489"/>
          <w:sz w:val="36"/>
          <w:szCs w:val="36"/>
        </w:rPr>
        <w:t xml:space="preserve">3.8  BodhSurvey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the creation of surveys using 18 question types: MCQ (single/multi), Rating scale (Likert 1-5/1-7/1-10/star), NPS, Matrix/grid, Ranking, Slider, Semantic differential, Short text, Long text, Number, Date/time, File upload, Image choice, Video response, eNPS, Dropdown, Signature.</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create survey with all 18 question types. Respondent completes survey. Assert all responses stored correctly.</w:t>
            </w:r>
          </w:p>
        </w:tc>
      </w:tr>
      <w:tr>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FR-SURV-002</w:t>
            </w:r>
          </w:p>
        </w:tc>
        <w:tc>
          <w:tcPr>
            <w:tcW w:type="dxa" w:w="3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skip logic, display logic, answer piping, branching paths, and loop-and-merge for repeating question blocks.</w:t>
            </w:r>
          </w:p>
        </w:tc>
        <w:tc>
          <w:tcPr>
            <w:tcW w:type="dxa" w:w="1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create survey with skip logic (Q3 → skip to Q7 if response=No). Complete survey, assert Q4/Q5/Q6 not shown and not in response data.</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deliver surveys via WhatsApp (Gupshup), SMS (Twilio), email (Postal), in-app embed, QR code, and authenticated link.</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send survey via each channel to test numbers/emails. Assert delivery and completion via each channel.</w:t>
            </w:r>
          </w:p>
        </w:tc>
      </w:tr>
      <w:tr>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FR-SURV-004</w:t>
            </w:r>
          </w:p>
        </w:tc>
        <w:tc>
          <w:tcPr>
            <w:tcW w:type="dxa" w:w="3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survey delivery in all 11 Indian languages. The same survey shall be servable in different languages to different respondents simultaneously.</w:t>
            </w:r>
          </w:p>
        </w:tc>
        <w:tc>
          <w:tcPr>
            <w:tcW w:type="dxa" w:w="1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create bilingual survey (English + Hindi). Send to two respondents with different language preferences. Assert each receives survey in their language.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run indic-BERT sentiment analysis on all open-text survey responses and surface results in the survey analytics dashboard.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submit open-text responses with known sentiment, assert sentiment classification matches expected output within 85% accuracy on test corpus.</w:t>
            </w:r>
          </w:p>
        </w:tc>
      </w:tr>
      <w:tr>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FR-SURV-006</w:t>
            </w:r>
          </w:p>
        </w:tc>
        <w:tc>
          <w:tcPr>
            <w:tcW w:type="dxa" w:w="3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qualitative-to-quantitative converter shall accept text input (clinical notes, interview transcripts) in all 11 Indian languages, process via indic-BERT, and output structured dimension scores with confidence ratings and evidence citations.</w:t>
            </w:r>
          </w:p>
        </w:tc>
        <w:tc>
          <w:tcPr>
            <w:tcW w:type="dxa" w:w="1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upload clinical note in Hindi. Select DSM-5 symptom cluster framework. Assert structured scores output with evidence citations from original text.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provide real-time response rate tracking: sent, opened, started, completed, bounced — per respondent and in aggregate.</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send survey to 5 test respondents. 3 complete, 1 starts but abandons, 1 does not open. Assert dashboard shows correct counts for each status.</w:t>
            </w:r>
          </w:p>
        </w:tc>
      </w:tr>
    </w:tbl>
    <w:p>
      <w:pPr>
        <w:spacing w:before="120" w:after="0"/>
      </w:pPr>
      <w:r>
        <w:t xml:space="preserve"/>
      </w:r>
    </w:p>
    <w:p>
      <w:pPr>
        <w:pStyle w:val="Heading1"/>
      </w:pPr>
      <w:r>
        <w:rPr>
          <w:rFonts w:ascii="Arial" w:cs="Arial" w:eastAsia="Arial" w:hAnsi="Arial"/>
          <w:b/>
          <w:bCs/>
          <w:color w:val="3C3489"/>
          <w:sz w:val="36"/>
          <w:szCs w:val="36"/>
        </w:rPr>
        <w:t xml:space="preserve">3.9  BodhLens Analytics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provide a natural language prompt bar on every BodhAssess analytics page. Users shall be able to type questions in English or Hindi and receive a live chart in response.</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type 'PHQ-9 score distribution this month' in Hindi. Assert valid ClickHouse query generated and chart rendered.</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FR-LENS-002</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shall generate valid ClickHouse SQL from natural language prompts using Claude API. The generated SQL shall be validated against a whitelist of permitted tables and columns before execution.</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send prompts that attempt to query tables outside user's permission scope (e.g. clinical data for industrial user). Assert queries rejected at validation stage.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shall enforce DPDP data minimisation: no query shall return individual-level PII. Minimum group size for any aggregate metric is n≥10 for industrial and n≥5 for clinical. Groups below minimum shall return 'Insufficient data — group size below minimum threshold'.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query metric for group of 4 respondents. Assert 'Insufficient data' message returned rather than data.</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FR-LENS-004</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shall support cross-product integrated insights: a single prompt can JOIN data from BodhAssess and BodhSurvey ClickHouse event tables and return a unified chart.</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type 'Compare PHQ-9 improvement rates for clients who completed the post-session survey vs those who did not'. Assert query JOINs assessment and survey ClickHouse tables.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shall automatically select the most appropriate chart type based on the data shape and prompt phrasing: time series → line, comparison → bar, distribution → histogram, part-of-whole → donut, correlation → scatter.</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type prompts designed to trigger each chart type. Assert correct chart type selected for each.</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FR-LENS-006</w:t>
            </w:r>
          </w:p>
        </w:tc>
        <w:tc>
          <w:tcPr>
            <w:tcW w:type="dxa" w:w="3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Any BodhLens-generated chart shall be saveable as a named report, schedulable for email delivery, and shareable with specific roles within the tenant.</w:t>
            </w:r>
          </w:p>
        </w:tc>
        <w:tc>
          <w:tcPr>
            <w:tcW w:type="dxa" w:w="1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SHOULD</w:t>
            </w:r>
          </w:p>
        </w:tc>
        <w:tc>
          <w:tcPr>
            <w:tcW w:type="dxa" w:w="33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generate chart, save as 'Weekly PHQ-9 Digest', schedule for Monday 9am, share with Senior Practitioner role. Assert scheduled email delivers at correct time.</w:t>
            </w:r>
          </w:p>
        </w:tc>
      </w:tr>
    </w:tbl>
    <w:p>
      <w:pPr>
        <w:spacing w:before="120" w:after="0"/>
      </w:pPr>
      <w:r>
        <w:t xml:space="preserve"/>
      </w:r>
    </w:p>
    <w:p>
      <w:pPr>
        <w:pStyle w:val="Heading1"/>
      </w:pPr>
      <w:r>
        <w:rPr>
          <w:rFonts w:ascii="Arial" w:cs="Arial" w:eastAsia="Arial" w:hAnsi="Arial"/>
          <w:b/>
          <w:bCs/>
          <w:color w:val="3C3489"/>
          <w:sz w:val="36"/>
          <w:szCs w:val="36"/>
        </w:rPr>
        <w:t xml:space="preserve">3.10  DPDP Compliance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326"/>
      </w:tblGrid>
      <w:tr>
        <w:trPr>
          <w:tblHeader/>
        </w:trPr>
        <w:tc>
          <w:tcPr>
            <w:tcW w:type="dxa" w:w="9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FR-DPDP-001</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capture explicit, purpose-specific, granular consent before any data collection. Consent purposes: ASSESSMENT, STORAGE, AI_PROCESSING, RESEARCH, WHATSAPP, PROCTORING, EMPLOYER_ACCESS. Each purpose can be independently granted and withdrawn.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attempt to create session without ASSESSMENT consent → assert 400. Grant consent → assert session creation succeeds. Withdraw STORAGE consent → assert data not retained beyond session.</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FR-DPDP-002</w:t>
            </w:r>
          </w:p>
        </w:tc>
        <w:tc>
          <w:tcPr>
            <w:tcW w:type="dxa" w:w="38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Consent shall be captured in the respondent's preferred language (all 11 languages). The exact consent text shown shall be recorded with a hash for audit purposes.</w:t>
            </w:r>
          </w:p>
        </w:tc>
        <w:tc>
          <w:tcPr>
            <w:tcW w:type="dxa" w:w="1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capture consent in Hindi. Assert consent record stores: language=hi, consent_text_hash, granted_at.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FR-DPDP-003</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provide a Data Principal Rights Portal accessible to all respondents at bodh.biz/my-data, allowing them to view their data, download it in machine-readable format, and submit erasure requests.</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log in as respondent, navigate to Rights Portal, download data, submit erasure request. Assert all functions work end-to-end.</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FR-DPDP-004</w:t>
            </w:r>
          </w:p>
        </w:tc>
        <w:tc>
          <w:tcPr>
            <w:tcW w:type="dxa" w:w="38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 receiving an erasure request, the system shall delete the data principal's data from all systems (PostgreSQL, MongoDB, MinIO, Redis, ClickHouse session IDs) within 30 days. Clinical records shall be retained for the minimum period required under the Mental Healthcare Act 2017 (7 years from last contact) and not erased during this period.</w:t>
            </w:r>
          </w:p>
        </w:tc>
        <w:tc>
          <w:tcPr>
            <w:tcW w:type="dxa" w:w="1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submit erasure request for test respondent. Mock 30-day window. Assert data deleted from all 5 systems. Assert clinical records with &lt;7 years from creation NOT deleted, with appropriate hold notice.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FR-DPDP-005</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personal data shall be stored exclusively on DigitalOcean BLR1 (Bangalore) and BOM1 (Mumbai) infrastructure. No personal data shall transit or be stored on infrastructure outside India.</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Technical audit: network traffic analysis during session creation, confirm all data writes go to BLR1/BOM1 endpoints only. Claude API calls confirmed to send de-identified data only (score profiles, not PII).</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FR-DPDP-006</w:t>
            </w:r>
          </w:p>
        </w:tc>
        <w:tc>
          <w:tcPr>
            <w:tcW w:type="dxa" w:w="38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maintain an immutable audit log of all data access events (reads, writes, deletions, consent changes) in ClickHouse. The audit log shall not be modifiable by any user including Platform Administrator.</w:t>
            </w:r>
          </w:p>
        </w:tc>
        <w:tc>
          <w:tcPr>
            <w:tcW w:type="dxa" w:w="1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perform data access operations, assert audit log entries created. Attempt to delete audit log entry — assert operation rejected.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For white-label clients, the system shall support a Data Processing Agreement (DPA) configuration that designates the institution as data controller and Bodh as data processor. White-label client's users' data shall not be accessible to Bodh employees without explicit DPA authorisation.</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MUST</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configure DPA for test white-label client. Log in as Bodh Platform Administrator, attempt to access white-label client's session data directly. Assert access denied.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4 — Non-Functional Requirements</w:t>
            </w:r>
          </w:p>
        </w:tc>
      </w:tr>
    </w:tbl>
    <w:p>
      <w:pPr>
        <w:spacing w:before="160" w:after="0"/>
      </w:pPr>
      <w:r>
        <w:t xml:space="preserve"/>
      </w:r>
    </w:p>
    <w:p>
      <w:pPr>
        <w:pStyle w:val="Heading1"/>
      </w:pPr>
      <w:r>
        <w:rPr>
          <w:rFonts w:ascii="Arial" w:cs="Arial" w:eastAsia="Arial" w:hAnsi="Arial"/>
          <w:b/>
          <w:bCs/>
          <w:color w:val="3C3489"/>
          <w:sz w:val="36"/>
          <w:szCs w:val="36"/>
        </w:rPr>
        <w:t xml:space="preserve">4.1  Performance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00"/>
        <w:gridCol w:w="3126"/>
      </w:tblGrid>
      <w:tr>
        <w:trPr>
          <w:tblHeader/>
        </w:trPr>
        <w:tc>
          <w:tcPr>
            <w:tcW w:type="dxa" w:w="9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8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NFR-PERF-001</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session creation response time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p95 &lt; 300ms under 5,000 concurrent sessions</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k6 load test at target concurrency</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NFR-PERF-002</w:t>
            </w:r>
          </w:p>
        </w:tc>
        <w:tc>
          <w:tcPr>
            <w:tcW w:type="dxa" w:w="2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Item response submission and next item delivery</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p95 &lt; 300ms under 5,000 concurrent sessions</w:t>
            </w:r>
          </w:p>
        </w:tc>
        <w:tc>
          <w:tcPr>
            <w:tcW w:type="dxa" w:w="31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k6 load test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NFR-PERF-003</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 PDF generation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p95 &lt; 30 seconds for standard reports (non-AI). p95 &lt; 60 seconds for Tier 5 AI narrative reports.</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k6 functional test with timer</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NFR-PERF-004</w:t>
            </w:r>
          </w:p>
        </w:tc>
        <w:tc>
          <w:tcPr>
            <w:tcW w:type="dxa" w:w="2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query execution and chart render</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p95 &lt; 5 seconds for standard single-product queries. p95 &lt; 10 seconds for cross-product JOIN queries.</w:t>
            </w:r>
          </w:p>
        </w:tc>
        <w:tc>
          <w:tcPr>
            <w:tcW w:type="dxa" w:w="31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timing + automated Playwright test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WebSocket connection establishment</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p95 &lt; 2 seconds from session start to first frame processed</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measure connection time in BPaaS integration test</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NFR-PERF-006</w:t>
            </w:r>
          </w:p>
        </w:tc>
        <w:tc>
          <w:tcPr>
            <w:tcW w:type="dxa" w:w="2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WhatsApp survey delivery</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p95 &lt; 30 seconds from trigger to Gupshup delivery confirmation</w:t>
            </w:r>
          </w:p>
        </w:tc>
        <w:tc>
          <w:tcPr>
            <w:tcW w:type="dxa" w:w="31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send survey, poll Gupshup webhook for delivery receipt</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NFR-PERF-007</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Mobile app cold start time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&lt; 3 seconds on mid-range Android device (Snapdragon 665, 4GB RAM)</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cold start 10 times on reference device, average &lt; 3 seconds</w:t>
            </w:r>
          </w:p>
        </w:tc>
      </w:tr>
      <w:tr>
        <w:tc>
          <w:tcPr>
            <w:tcW w:type="dxa" w:w="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NFR-PERF-008</w:t>
            </w:r>
          </w:p>
        </w:tc>
        <w:tc>
          <w:tcPr>
            <w:tcW w:type="dxa" w:w="28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CAT theta estimation computation</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&lt; 50ms per item selection cycle (select item + update theta)</w:t>
            </w:r>
          </w:p>
        </w:tc>
        <w:tc>
          <w:tcPr>
            <w:tcW w:type="dxa" w:w="31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unit benchmark test — 10,000 iterations, assert mean &lt; 50ms</w:t>
            </w:r>
          </w:p>
        </w:tc>
      </w:tr>
    </w:tbl>
    <w:p>
      <w:pPr>
        <w:spacing w:before="120" w:after="0"/>
      </w:pPr>
      <w:r>
        <w:t xml:space="preserve"/>
      </w:r>
    </w:p>
    <w:p>
      <w:pPr>
        <w:pStyle w:val="Heading1"/>
      </w:pPr>
      <w:r>
        <w:rPr>
          <w:rFonts w:ascii="Arial" w:cs="Arial" w:eastAsia="Arial" w:hAnsi="Arial"/>
          <w:b/>
          <w:bCs/>
          <w:color w:val="3C3489"/>
          <w:sz w:val="36"/>
          <w:szCs w:val="36"/>
        </w:rPr>
        <w:t xml:space="preserve">4.2  Availability and Reliability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4126"/>
      </w:tblGrid>
      <w:tr>
        <w:trPr>
          <w:tblHeader/>
        </w:trPr>
        <w:tc>
          <w:tcPr>
            <w:tcW w:type="dxa" w:w="9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4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6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1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NFR-AVAIL-001</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Overall platform availability</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99.9% (Three Nines) — 43.8 minutes/month downtime budget</w:t>
            </w:r>
          </w:p>
        </w:tc>
        <w:tc>
          <w:tcPr>
            <w:tcW w:type="dxa" w:w="4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Measured over 28-day rolling window. Excludes planned maintenance windows (max 4 hours/month, scheduled between 2am–5am IST).</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NFR-AVAIL-002</w:t>
            </w:r>
          </w:p>
        </w:tc>
        <w:tc>
          <w:tcPr>
            <w:tcW w:type="dxa" w:w="2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session availability (subset)</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99.95% — this is the revenue-critical path</w:t>
            </w:r>
          </w:p>
        </w:tc>
        <w:tc>
          <w:tcPr>
            <w:tcW w:type="dxa" w:w="41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Active sessions must not be interrupted by deployments. Blue-green deployment required.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NFR-AVAIL-003</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Recovery Time Objective (RTO)</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&lt; 15 minutes from BLR1 failure to BOM1 serving traffic</w:t>
            </w:r>
          </w:p>
        </w:tc>
        <w:tc>
          <w:tcPr>
            <w:tcW w:type="dxa" w:w="4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Tested quarterly via planned failover exercise.</w:t>
            </w:r>
          </w:p>
        </w:tc>
      </w:tr>
      <w:tr>
        <w:tc>
          <w:tcPr>
            <w:tcW w:type="dxa" w:w="9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NFR-AVAIL-004</w:t>
            </w:r>
          </w:p>
        </w:tc>
        <w:tc>
          <w:tcPr>
            <w:tcW w:type="dxa" w:w="2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Recovery Point Objective (RPO)</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&lt; 5 minutes of data loss in any failure scenario</w:t>
            </w:r>
          </w:p>
        </w:tc>
        <w:tc>
          <w:tcPr>
            <w:tcW w:type="dxa" w:w="41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PostgreSQL streaming replication to BOM1 with &lt;5 second lag. Tested via point-in-time recovery drill.</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NFR-AVAIL-005</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Degraded mode operation</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 Claude API outage: Tier 1–4 functions continue. Tier 5 AI features show maintenance message. On Gupshup outage: WhatsApp delivery fails gracefully, SMS/email fallback triggered automatically.</w:t>
            </w:r>
          </w:p>
        </w:tc>
        <w:tc>
          <w:tcPr>
            <w:tcW w:type="dxa" w:w="4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Tested via chaos engineering: kill Claude API access, assert platform continues serving non-Tier-5 features.</w:t>
            </w:r>
          </w:p>
        </w:tc>
      </w:tr>
    </w:tbl>
    <w:p>
      <w:pPr>
        <w:spacing w:before="120" w:after="0"/>
      </w:pPr>
      <w:r>
        <w:t xml:space="preserve"/>
      </w:r>
    </w:p>
    <w:p>
      <w:pPr>
        <w:pStyle w:val="Heading1"/>
      </w:pPr>
      <w:r>
        <w:rPr>
          <w:rFonts w:ascii="Arial" w:cs="Arial" w:eastAsia="Arial" w:hAnsi="Arial"/>
          <w:b/>
          <w:bCs/>
          <w:color w:val="3C3489"/>
          <w:sz w:val="36"/>
          <w:szCs w:val="36"/>
        </w:rPr>
        <w:t xml:space="preserve">4.3  Security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3926"/>
      </w:tblGrid>
      <w:tr>
        <w:trPr>
          <w:tblHeader/>
        </w:trPr>
        <w:tc>
          <w:tcPr>
            <w:tcW w:type="dxa" w:w="9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9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NFR-SEC-001</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data in transit shall be encrypted using TLS 1.3 minimum. TLS 1.0 and 1.1 shall be disabled.</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NIST SP 800-52</w:t>
            </w:r>
          </w:p>
        </w:tc>
        <w:tc>
          <w:tcPr>
            <w:tcW w:type="dxa" w:w="39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SSL Labs scan of all public endpoints. Assert TLS 1.3 grade A+.</w:t>
            </w:r>
          </w:p>
        </w:tc>
      </w:tr>
      <w:tr>
        <w:tc>
          <w:tcPr>
            <w:tcW w:type="dxa" w:w="9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NFR-SEC-002</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mental health assessment records shall be encrypted at rest using AES-256 at column level in PostgreSQL and at object level in MinIO.</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 2023 Schedule</w:t>
            </w:r>
          </w:p>
        </w:tc>
        <w:tc>
          <w:tcPr>
            <w:tcW w:type="dxa" w:w="39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database inspection — confirm clinical schema columns use pgcrypto encryption. MinIO bucket inspection confirms SSE-S3.</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NFR-SEC-003</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 credentials, API keys, or secrets shall appear in source code, environment variable files committed to version control, or container image layers.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OWASP A02</w:t>
            </w:r>
          </w:p>
        </w:tc>
        <w:tc>
          <w:tcPr>
            <w:tcW w:type="dxa" w:w="39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git-secrets pre-commit hook. Trivy secret scanning on every container image build.</w:t>
            </w:r>
          </w:p>
        </w:tc>
      </w:tr>
      <w:tr>
        <w:tc>
          <w:tcPr>
            <w:tcW w:type="dxa" w:w="9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NFR-SEC-004</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pass an external CREST-certified penetration test with no Critical or High findings outstanding at Phase 1 launch.</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CREST</w:t>
            </w:r>
          </w:p>
        </w:tc>
        <w:tc>
          <w:tcPr>
            <w:tcW w:type="dxa" w:w="39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engage certified pen test firm, remediate all critical/high findings, re-test confirms remediation.</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NFR-SEC-005</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admin actions (user creation, role changes, instrument publishing, norm table updates) shall be logged to the immutable audit trail with actor identity, timestamp, and action detail.</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 2023</w:t>
            </w:r>
          </w:p>
        </w:tc>
        <w:tc>
          <w:tcPr>
            <w:tcW w:type="dxa" w:w="39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perform admin action, assert audit log entry created within 1 second with correct fields.</w:t>
            </w:r>
          </w:p>
        </w:tc>
      </w:tr>
      <w:tr>
        <w:tc>
          <w:tcPr>
            <w:tcW w:type="dxa" w:w="9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NFR-SEC-006</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detect and block requests containing SQL injection, XSS, and SSRF payloads.</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OWASP Top 10</w:t>
            </w:r>
          </w:p>
        </w:tc>
        <w:tc>
          <w:tcPr>
            <w:tcW w:type="dxa" w:w="39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OWASP ZAP DAST scan. Schemathesis fuzz testing. Manual penetration test.</w:t>
            </w:r>
          </w:p>
        </w:tc>
      </w:tr>
    </w:tbl>
    <w:p>
      <w:pPr>
        <w:spacing w:before="120" w:after="0"/>
      </w:pPr>
      <w:r>
        <w:t xml:space="preserve"/>
      </w:r>
    </w:p>
    <w:p>
      <w:pPr>
        <w:pStyle w:val="Heading1"/>
      </w:pPr>
      <w:r>
        <w:rPr>
          <w:rFonts w:ascii="Arial" w:cs="Arial" w:eastAsia="Arial" w:hAnsi="Arial"/>
          <w:b/>
          <w:bCs/>
          <w:color w:val="3C3489"/>
          <w:sz w:val="36"/>
          <w:szCs w:val="36"/>
        </w:rPr>
        <w:t xml:space="preserve">4.4  Usability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3726"/>
      </w:tblGrid>
      <w:tr>
        <w:trPr>
          <w:tblHeader/>
        </w:trPr>
        <w:tc>
          <w:tcPr>
            <w:tcW w:type="dxa" w:w="9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2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726"/>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NFR-USE-001</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 new practitioner shall be able to create their first assessment session without training in under 5 minutes.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 minutes first session</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Usability test: 5 new users with no onboarding. Observe time to first session creation. Median &lt; 5 minutes.</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NFR-USE-002</w:t>
            </w:r>
          </w:p>
        </w:tc>
        <w:tc>
          <w:tcPr>
            <w:tcW w:type="dxa" w:w="2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respondent assessment interface shall be accessible on smartphones with screen widths ≥ 320px.</w:t>
            </w:r>
          </w:p>
        </w:tc>
        <w:tc>
          <w:tcPr>
            <w:tcW w:type="dxa" w:w="2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320px minimum</w:t>
            </w:r>
          </w:p>
        </w:tc>
        <w:tc>
          <w:tcPr>
            <w:tcW w:type="dxa" w:w="37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test on iPhone SE (375px) and low-end Android (320px). Assert all question types render and are interactive.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NFR-USE-003</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UI text, error messages, and system notifications shall be available in all 11 supported languages. No English text shall appear to a user who has selected a non-English language preference.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Zero English fallback</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set language to Tamil. Navigate all screens. Assert zero English text visible (except proper nouns like product names).</w:t>
            </w:r>
          </w:p>
        </w:tc>
      </w:tr>
      <w:tr>
        <w:tc>
          <w:tcPr>
            <w:tcW w:type="dxa" w:w="9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NFR-USE-004</w:t>
            </w:r>
          </w:p>
        </w:tc>
        <w:tc>
          <w:tcPr>
            <w:tcW w:type="dxa" w:w="2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WCAG 2.1 Level AA accessibility compliance for all web interfaces.</w:t>
            </w:r>
          </w:p>
        </w:tc>
        <w:tc>
          <w:tcPr>
            <w:tcW w:type="dxa" w:w="2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WCAG 2.1 AA</w:t>
            </w:r>
          </w:p>
        </w:tc>
        <w:tc>
          <w:tcPr>
            <w:tcW w:type="dxa" w:w="37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axe-core accessibility scan of all key pages. Manual screen reader test with NVDA on Windows and VoiceOver on macOS.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NFR-USE-005</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BodhLens prompt bar shall show suggested prompts relevant to the current page context when focused by the user.</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 contextual suggestions</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focus BodhLens prompt bar on clinical dashboard. Assert 3 clinically relevant suggested prompts shown.</w:t>
            </w:r>
          </w:p>
        </w:tc>
      </w:tr>
    </w:tbl>
    <w:p>
      <w:pPr>
        <w:spacing w:before="120" w:after="0"/>
      </w:pPr>
      <w:r>
        <w:t xml:space="preserve"/>
      </w:r>
    </w:p>
    <w:p>
      <w:pPr>
        <w:pStyle w:val="Heading1"/>
      </w:pPr>
      <w:r>
        <w:rPr>
          <w:rFonts w:ascii="Arial" w:cs="Arial" w:eastAsia="Arial" w:hAnsi="Arial"/>
          <w:b/>
          <w:bCs/>
          <w:color w:val="3C3489"/>
          <w:sz w:val="36"/>
          <w:szCs w:val="36"/>
        </w:rPr>
        <w:t xml:space="preserve">4.5  Scalability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3726"/>
      </w:tblGrid>
      <w:tr>
        <w:trPr>
          <w:tblHeader/>
        </w:trPr>
        <w:tc>
          <w:tcPr>
            <w:tcW w:type="dxa" w:w="9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4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7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NFR-SCALE-001</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shall support 5,000 concurrent active assessment sessions in Phase 1 without performance degradation beyond NFR-PERF-001 thresholds.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5,000 concurrent sessions</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DOKS auto-scaling handles demand. Tested with k6 load test.</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NFR-SCALE-002</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assessment item bank shall support up to 500,000 items without degradation in item selection query performance.</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500,000 items, &lt;50ms selection</w:t>
            </w:r>
          </w:p>
        </w:tc>
        <w:tc>
          <w:tcPr>
            <w:tcW w:type="dxa" w:w="37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PostgreSQL B-tree index on (vertical, sub_domain, validation_status, irt_b). Query plan verified via EXPLAIN ANALYZE.</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NFR-SCALE-003</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BodhSurvey delivery system shall support sending 100,000 survey invitations within a 4-hour window across all channels.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100,000 invitations / 4 hours</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Load test: queue 100,000 notification jobs, assert all dispatched within 4 hours at peak channel capacity.</w:t>
            </w:r>
          </w:p>
        </w:tc>
      </w:tr>
      <w:tr>
        <w:tc>
          <w:tcPr>
            <w:tcW w:type="dxa" w:w="9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NFR-SCALE-004</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system architecture shall support horizontal scaling of all stateless services by adding nodes to DOKS node pools without configuration changes.</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Linear horizontal scale</w:t>
            </w:r>
          </w:p>
        </w:tc>
        <w:tc>
          <w:tcPr>
            <w:tcW w:type="dxa" w:w="37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Architecture review: all stateless services use Redis for shared state. No service holds local state.</w:t>
            </w:r>
          </w:p>
        </w:tc>
      </w:tr>
    </w:tbl>
    <w:p>
      <w:pPr>
        <w:spacing w:before="120" w:after="0"/>
      </w:pPr>
      <w:r>
        <w:t xml:space="preserve"/>
      </w:r>
    </w:p>
    <w:p>
      <w:pPr>
        <w:pStyle w:val="Heading1"/>
      </w:pPr>
      <w:r>
        <w:rPr>
          <w:rFonts w:ascii="Arial" w:cs="Arial" w:eastAsia="Arial" w:hAnsi="Arial"/>
          <w:b/>
          <w:bCs/>
          <w:color w:val="3C3489"/>
          <w:sz w:val="36"/>
          <w:szCs w:val="36"/>
        </w:rPr>
        <w:t xml:space="preserve">4.6  Maintainability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3726"/>
      </w:tblGrid>
      <w:tr>
        <w:trPr>
          <w:tblHeader/>
        </w:trPr>
        <w:tc>
          <w:tcPr>
            <w:tcW w:type="dxa" w:w="9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7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NFR-MAINT-001</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services shall emit structured JSON logs with OpenTelemetry trace context. Log format shall be consistent across all services.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100% structured logs</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deploy service, generate traffic, assert all log entries in Loki are valid JSON with trace_id field.</w:t>
            </w:r>
          </w:p>
        </w:tc>
      </w:tr>
      <w:tr>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NFR-MAINT-002</w:t>
            </w:r>
          </w:p>
        </w:tc>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Every inter-service communication shall be traced with distributed tracing (OpenTelemetry + Tempo). A complete assessment session flow shall be visible as a single trace.</w:t>
            </w:r>
          </w:p>
        </w:tc>
        <w:tc>
          <w:tcPr>
            <w:tcW w:type="dxa" w:w="2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End-to-end trace coverage</w:t>
            </w:r>
          </w:p>
        </w:tc>
        <w:tc>
          <w:tcPr>
            <w:tcW w:type="dxa" w:w="37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Manual: complete assessment session, open Tempo UI, assert single trace spans all services involved.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NFR-MAINT-003</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Unit test coverage for all new code shall be minimum 80% line coverage, enforced by CI pipeline.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≥80% coverage</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Automated: CI pipeline fails if coverage drops below 80%. Checked on every PR.</w:t>
            </w:r>
          </w:p>
        </w:tc>
      </w:tr>
      <w:tr>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NFR-MAINT-004</w:t>
            </w:r>
          </w:p>
        </w:tc>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database schema changes shall be managed via versioned migration scripts (Alembic for Python services, Flyway for shared schema). No ad-hoc schema changes on production.</w:t>
            </w:r>
          </w:p>
        </w:tc>
        <w:tc>
          <w:tcPr>
            <w:tcW w:type="dxa" w:w="2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Zero unversioned migrations</w:t>
            </w:r>
          </w:p>
        </w:tc>
        <w:tc>
          <w:tcPr>
            <w:tcW w:type="dxa" w:w="37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Process: DBA review required for all migration PRs. Terraform state confirms no manual schema changes.</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NFR-MAINT-005</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Mean Time to Recovery (MTTR) for P1 incidents shall be under 1 hour.</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&lt; 1 hour MTTR</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Post-incident reviews track MTTR. Runbook completeness reviewed monthly.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5 — Key Use Cases</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80"/>
              <w:left w:type="dxa" w:w="180"/>
              <w:bottom w:type="dxa" w:w="60"/>
              <w:right w:type="dxa" w:w="180"/>
            </w:tcMar>
          </w:tcPr>
          <w:p>
            <w:r>
              <w:rPr>
                <w:rFonts w:ascii="Arial" w:cs="Arial" w:eastAsia="Arial" w:hAnsi="Arial"/>
                <w:b/>
                <w:bCs/>
                <w:color w:val="FFFFFF"/>
                <w:sz w:val="18"/>
                <w:szCs w:val="18"/>
              </w:rPr>
              <w:t xml:space="preserve">USE CASE FORMAT</w:t>
            </w:r>
          </w:p>
        </w:tc>
      </w:tr>
      <w:tr>
        <w:tc>
          <w:tcPr>
            <w:tcBorders>
              <w:top w:val="single" w:color="3C3489" w:sz="4"/>
              <w:left w:val="single" w:color="3C3489" w:sz="8"/>
              <w:bottom w:val="single" w:color="3C3489" w:sz="4"/>
              <w:right w:val="single" w:color="3C3489" w:sz="4"/>
            </w:tcBorders>
            <w:shd w:fill="EEEDF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Each use case describes a specific goal a user achieves using the system. Primary Actor: who initiates. Preconditions: what must be true before the use case begins. Main Flow: the happy path. Alternate Flows: variations. Postconditions: what is true when the use case succeeds.</w:t>
            </w:r>
          </w:p>
        </w:tc>
      </w:tr>
    </w:tbl>
    <w:p>
      <w:pPr>
        <w:spacing w:before="120" w:after="0"/>
      </w:pPr>
      <w:r>
        <w:t xml:space="preserve"/>
      </w:r>
    </w:p>
    <w:p>
      <w:pPr>
        <w:pStyle w:val="Heading1"/>
      </w:pPr>
      <w:r>
        <w:rPr>
          <w:rFonts w:ascii="Arial" w:cs="Arial" w:eastAsia="Arial" w:hAnsi="Arial"/>
          <w:b/>
          <w:bCs/>
          <w:color w:val="3C3489"/>
          <w:sz w:val="36"/>
          <w:szCs w:val="36"/>
        </w:rPr>
        <w:t xml:space="preserve">UC-001 — Clinical Practitioner Administers PHQ-9 in Hindi</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Actor</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Psychologist (Practitioner role, Clinical vertical)</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Goal</w:t>
            </w:r>
          </w:p>
        </w:tc>
        <w:tc>
          <w:tcPr>
            <w:tcW w:type="dxa" w:w="7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Administer a PHQ-9 depression screening in Hindi to a new client and generate a clinical report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Preconditions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 has active Bodh account. Client is registered as a respondent in the system. ASSESSMENT consent has been captured from the client.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Trigger</w:t>
            </w:r>
          </w:p>
        </w:tc>
        <w:tc>
          <w:tcPr>
            <w:tcW w:type="dxa" w:w="70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 selects 'New Assessment' from the Clinical dashboard</w:t>
            </w:r>
          </w:p>
        </w:tc>
      </w:tr>
    </w:tbl>
    <w:p>
      <w:pPr>
        <w:spacing w:before="60" w:after="0"/>
      </w:pPr>
      <w:r>
        <w:t xml:space="preserve"/>
      </w:r>
    </w:p>
    <w:p>
      <w:pPr>
        <w:pStyle w:val="Heading3"/>
      </w:pPr>
      <w:r>
        <w:rPr>
          <w:rFonts w:ascii="Arial" w:cs="Arial" w:eastAsia="Arial" w:hAnsi="Arial"/>
          <w:b/>
          <w:bCs/>
          <w:color w:val="3C3489"/>
          <w:sz w:val="24"/>
          <w:szCs w:val="24"/>
        </w:rPr>
        <w:t xml:space="preserve">Main Flow</w:t>
      </w:r>
    </w:p>
    <w:p>
      <w:pPr>
        <w:spacing w:before="4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Practitioner selects Clinical vertical from vertical switcher</w:t>
      </w:r>
    </w:p>
    <w:p>
      <w:pPr>
        <w:pStyle w:val="ListParagraph"/>
        <w:numPr>
          <w:ilvl w:val="0"/>
          <w:numId w:val="3"/>
        </w:numPr>
        <w:spacing w:before="50" w:after="50"/>
      </w:pPr>
      <w:r>
        <w:rPr>
          <w:rFonts w:ascii="Arial" w:cs="Arial" w:eastAsia="Arial" w:hAnsi="Arial"/>
          <w:color w:val="1C1C1A"/>
          <w:sz w:val="19"/>
          <w:szCs w:val="19"/>
        </w:rPr>
        <w:t xml:space="preserve">Practitioner selects 'PHQ-9 (Hindi)' from the instrument library</w:t>
      </w:r>
    </w:p>
    <w:p>
      <w:pPr>
        <w:pStyle w:val="ListParagraph"/>
        <w:numPr>
          <w:ilvl w:val="0"/>
          <w:numId w:val="3"/>
        </w:numPr>
        <w:spacing w:before="50" w:after="50"/>
      </w:pPr>
      <w:r>
        <w:rPr>
          <w:rFonts w:ascii="Arial" w:cs="Arial" w:eastAsia="Arial" w:hAnsi="Arial"/>
          <w:color w:val="1C1C1A"/>
          <w:sz w:val="19"/>
          <w:szCs w:val="19"/>
        </w:rPr>
        <w:t xml:space="preserve">Practitioner selects the client from their client list and selects delivery language 'Hindi'</w:t>
      </w:r>
    </w:p>
    <w:p>
      <w:pPr>
        <w:pStyle w:val="ListParagraph"/>
        <w:numPr>
          <w:ilvl w:val="0"/>
          <w:numId w:val="3"/>
        </w:numPr>
        <w:spacing w:before="50" w:after="50"/>
      </w:pPr>
      <w:r>
        <w:rPr>
          <w:rFonts w:ascii="Arial" w:cs="Arial" w:eastAsia="Arial" w:hAnsi="Arial"/>
          <w:color w:val="1C1C1A"/>
          <w:sz w:val="19"/>
          <w:szCs w:val="19"/>
        </w:rPr>
        <w:t xml:space="preserve">Practitioner selects the client's ASSESSMENT consent record</w:t>
      </w:r>
    </w:p>
    <w:p>
      <w:pPr>
        <w:pStyle w:val="ListParagraph"/>
        <w:numPr>
          <w:ilvl w:val="0"/>
          <w:numId w:val="3"/>
        </w:numPr>
        <w:spacing w:before="50" w:after="50"/>
      </w:pPr>
      <w:r>
        <w:rPr>
          <w:rFonts w:ascii="Arial" w:cs="Arial" w:eastAsia="Arial" w:hAnsi="Arial"/>
          <w:color w:val="1C1C1A"/>
          <w:sz w:val="19"/>
          <w:szCs w:val="19"/>
        </w:rPr>
        <w:t xml:space="preserve">Practitioner selects delivery mode: 'In-session' (practitioner present) and submits</w:t>
      </w:r>
    </w:p>
    <w:p>
      <w:pPr>
        <w:pStyle w:val="ListParagraph"/>
        <w:numPr>
          <w:ilvl w:val="0"/>
          <w:numId w:val="3"/>
        </w:numPr>
        <w:spacing w:before="50" w:after="50"/>
      </w:pPr>
      <w:r>
        <w:rPr>
          <w:rFonts w:ascii="Arial" w:cs="Arial" w:eastAsia="Arial" w:hAnsi="Arial"/>
          <w:color w:val="1C1C1A"/>
          <w:sz w:val="19"/>
          <w:szCs w:val="19"/>
        </w:rPr>
        <w:t xml:space="preserve">System creates session and displays the first PHQ-9 item to the respondent in Hindi</w:t>
      </w:r>
    </w:p>
    <w:p>
      <w:pPr>
        <w:pStyle w:val="ListParagraph"/>
        <w:numPr>
          <w:ilvl w:val="0"/>
          <w:numId w:val="3"/>
        </w:numPr>
        <w:spacing w:before="50" w:after="50"/>
      </w:pPr>
      <w:r>
        <w:rPr>
          <w:rFonts w:ascii="Arial" w:cs="Arial" w:eastAsia="Arial" w:hAnsi="Arial"/>
          <w:color w:val="1C1C1A"/>
          <w:sz w:val="19"/>
          <w:szCs w:val="19"/>
        </w:rPr>
        <w:t xml:space="preserve">Respondent selects a response for each of the 9 items. System records response time and value.</w:t>
      </w:r>
    </w:p>
    <w:p>
      <w:pPr>
        <w:pStyle w:val="ListParagraph"/>
        <w:numPr>
          <w:ilvl w:val="0"/>
          <w:numId w:val="3"/>
        </w:numPr>
        <w:spacing w:before="50" w:after="50"/>
      </w:pPr>
      <w:r>
        <w:rPr>
          <w:rFonts w:ascii="Arial" w:cs="Arial" w:eastAsia="Arial" w:hAnsi="Arial"/>
          <w:color w:val="1C1C1A"/>
          <w:sz w:val="19"/>
          <w:szCs w:val="19"/>
        </w:rPr>
        <w:t xml:space="preserve">On Item 9 completion, system evaluates risk flag rule: if response ≥1, creates SUICIDALITY risk flag</w:t>
      </w:r>
    </w:p>
    <w:p>
      <w:pPr>
        <w:pStyle w:val="ListParagraph"/>
        <w:numPr>
          <w:ilvl w:val="0"/>
          <w:numId w:val="3"/>
        </w:numPr>
        <w:spacing w:before="50" w:after="50"/>
      </w:pPr>
      <w:r>
        <w:rPr>
          <w:rFonts w:ascii="Arial" w:cs="Arial" w:eastAsia="Arial" w:hAnsi="Arial"/>
          <w:color w:val="1C1C1A"/>
          <w:sz w:val="19"/>
          <w:szCs w:val="19"/>
        </w:rPr>
        <w:t xml:space="preserve">System computes total raw score, T-score, and severity band against Indian adult population norms</w:t>
      </w:r>
    </w:p>
    <w:p>
      <w:pPr>
        <w:pStyle w:val="ListParagraph"/>
        <w:numPr>
          <w:ilvl w:val="0"/>
          <w:numId w:val="3"/>
        </w:numPr>
        <w:spacing w:before="50" w:after="50"/>
      </w:pPr>
      <w:r>
        <w:rPr>
          <w:rFonts w:ascii="Arial" w:cs="Arial" w:eastAsia="Arial" w:hAnsi="Arial"/>
          <w:color w:val="1C1C1A"/>
          <w:sz w:val="19"/>
          <w:szCs w:val="19"/>
        </w:rPr>
        <w:t xml:space="preserve">System triggers report generation and displays 'Report generating...' status</w:t>
      </w:r>
    </w:p>
    <w:p>
      <w:pPr>
        <w:pStyle w:val="ListParagraph"/>
        <w:numPr>
          <w:ilvl w:val="0"/>
          <w:numId w:val="3"/>
        </w:numPr>
        <w:spacing w:before="50" w:after="50"/>
      </w:pPr>
      <w:r>
        <w:rPr>
          <w:rFonts w:ascii="Arial" w:cs="Arial" w:eastAsia="Arial" w:hAnsi="Arial"/>
          <w:color w:val="1C1C1A"/>
          <w:sz w:val="19"/>
          <w:szCs w:val="19"/>
        </w:rPr>
        <w:t xml:space="preserve">Report is generated within 60 seconds. Practitioner reviews the report in the in-browser viewer</w:t>
      </w:r>
    </w:p>
    <w:p>
      <w:pPr>
        <w:pStyle w:val="ListParagraph"/>
        <w:numPr>
          <w:ilvl w:val="0"/>
          <w:numId w:val="3"/>
        </w:numPr>
        <w:spacing w:before="50" w:after="50"/>
      </w:pPr>
      <w:r>
        <w:rPr>
          <w:rFonts w:ascii="Arial" w:cs="Arial" w:eastAsia="Arial" w:hAnsi="Arial"/>
          <w:color w:val="1C1C1A"/>
          <w:sz w:val="19"/>
          <w:szCs w:val="19"/>
        </w:rPr>
        <w:t xml:space="preserve">For Tier 5 practitioners: Claude API generates Results Summary and Recommendations. Practitioner reviews, edits if needed, and approves.</w:t>
      </w:r>
    </w:p>
    <w:p>
      <w:pPr>
        <w:pStyle w:val="ListParagraph"/>
        <w:numPr>
          <w:ilvl w:val="0"/>
          <w:numId w:val="3"/>
        </w:numPr>
        <w:spacing w:before="50" w:after="50"/>
      </w:pPr>
      <w:r>
        <w:rPr>
          <w:rFonts w:ascii="Arial" w:cs="Arial" w:eastAsia="Arial" w:hAnsi="Arial"/>
          <w:color w:val="1C1C1A"/>
          <w:sz w:val="19"/>
          <w:szCs w:val="19"/>
        </w:rPr>
        <w:t xml:space="preserve">Practitioner approves report and optionally shares with client via WhatsApp</w:t>
      </w:r>
    </w:p>
    <w:p>
      <w:pPr>
        <w:spacing w:before="60" w:after="0"/>
      </w:pPr>
      <w:r>
        <w:t xml:space="preserve"/>
      </w:r>
    </w:p>
    <w:p>
      <w:pPr>
        <w:pStyle w:val="Heading3"/>
      </w:pPr>
      <w:r>
        <w:rPr>
          <w:rFonts w:ascii="Arial" w:cs="Arial" w:eastAsia="Arial" w:hAnsi="Arial"/>
          <w:b/>
          <w:bCs/>
          <w:color w:val="3C3489"/>
          <w:sz w:val="24"/>
          <w:szCs w:val="24"/>
        </w:rPr>
        <w:t xml:space="preserve">Alternate Flows</w:t>
      </w:r>
    </w:p>
    <w:p>
      <w:pPr>
        <w:spacing w:before="4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If Item 9 response ≥1 (suicidality flag): system displays immediate alert banner to practitioner dashboard: 'RISK FLAG — Item 9 response indicates possible suicidal ideation. Review with client before proceeding.' Alert is also logged in the session audit trail. — </w:t>
      </w:r>
      <w:r>
        <w:rPr>
          <w:rFonts w:ascii="Arial" w:cs="Arial" w:eastAsia="Arial" w:hAnsi="Arial"/>
          <w:color w:val="1C1C1A"/>
          <w:sz w:val="19"/>
          <w:szCs w:val="19"/>
        </w:rPr>
        <w:t xml:space="preserve">AF-001</w:t>
      </w:r>
    </w:p>
    <w:p>
      <w:pPr>
        <w:pStyle w:val="ListParagraph"/>
        <w:numPr>
          <w:ilvl w:val="0"/>
          <w:numId w:val="2"/>
        </w:numPr>
        <w:spacing w:before="50" w:after="50"/>
      </w:pPr>
      <w:r>
        <w:rPr>
          <w:rFonts w:ascii="Arial" w:cs="Arial" w:eastAsia="Arial" w:hAnsi="Arial"/>
          <w:b/>
          <w:bCs/>
          <w:color w:val="3C3489"/>
          <w:sz w:val="19"/>
          <w:szCs w:val="19"/>
        </w:rPr>
        <w:t xml:space="preserve">If client loses internet connection mid-session: system saves progress. Client can resume within 24 hours from the last saved item. — </w:t>
      </w:r>
      <w:r>
        <w:rPr>
          <w:rFonts w:ascii="Arial" w:cs="Arial" w:eastAsia="Arial" w:hAnsi="Arial"/>
          <w:color w:val="1C1C1A"/>
          <w:sz w:val="19"/>
          <w:szCs w:val="19"/>
        </w:rPr>
        <w:t xml:space="preserve">AF-002</w:t>
      </w:r>
    </w:p>
    <w:p>
      <w:pPr>
        <w:pStyle w:val="ListParagraph"/>
        <w:numPr>
          <w:ilvl w:val="0"/>
          <w:numId w:val="2"/>
        </w:numPr>
        <w:spacing w:before="50" w:after="50"/>
      </w:pPr>
      <w:r>
        <w:rPr>
          <w:rFonts w:ascii="Arial" w:cs="Arial" w:eastAsia="Arial" w:hAnsi="Arial"/>
          <w:b/>
          <w:bCs/>
          <w:color w:val="3C3489"/>
          <w:sz w:val="19"/>
          <w:szCs w:val="19"/>
        </w:rPr>
        <w:t xml:space="preserve">If this is the second or later PHQ-9 for this client: report includes a 'Follow-Up Trajectory' section showing score change from previous administrations. — </w:t>
      </w:r>
      <w:r>
        <w:rPr>
          <w:rFonts w:ascii="Arial" w:cs="Arial" w:eastAsia="Arial" w:hAnsi="Arial"/>
          <w:color w:val="1C1C1A"/>
          <w:sz w:val="19"/>
          <w:szCs w:val="19"/>
        </w:rPr>
        <w:t xml:space="preserve">AF-003</w:t>
      </w:r>
    </w:p>
    <w:p>
      <w:pPr>
        <w:spacing w:before="80" w:after="0"/>
      </w:pPr>
      <w:r>
        <w:t xml:space="preserve"/>
      </w:r>
    </w:p>
    <w:p>
      <w:pPr>
        <w:pStyle w:val="Heading3"/>
      </w:pPr>
      <w:r>
        <w:rPr>
          <w:rFonts w:ascii="Arial" w:cs="Arial" w:eastAsia="Arial" w:hAnsi="Arial"/>
          <w:b/>
          <w:bCs/>
          <w:color w:val="3C3489"/>
          <w:sz w:val="24"/>
          <w:szCs w:val="24"/>
        </w:rPr>
        <w:t xml:space="preserve">Postconditions</w:t>
      </w:r>
    </w:p>
    <w:p>
      <w:pPr>
        <w:spacing w:before="4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Session record in status = COMPLETED with all item responses, theta estimate, and score results</w:t>
      </w:r>
    </w:p>
    <w:p>
      <w:pPr>
        <w:pStyle w:val="ListParagraph"/>
        <w:numPr>
          <w:ilvl w:val="0"/>
          <w:numId w:val="2"/>
        </w:numPr>
        <w:spacing w:before="50" w:after="50"/>
      </w:pPr>
      <w:r>
        <w:rPr>
          <w:rFonts w:ascii="Arial" w:cs="Arial" w:eastAsia="Arial" w:hAnsi="Arial"/>
          <w:color w:val="1C1C1A"/>
          <w:sz w:val="19"/>
          <w:szCs w:val="19"/>
        </w:rPr>
        <w:t xml:space="preserve">Score results record with raw score, T-score, percentile, severity band, and norm group reference</w:t>
      </w:r>
    </w:p>
    <w:p>
      <w:pPr>
        <w:pStyle w:val="ListParagraph"/>
        <w:numPr>
          <w:ilvl w:val="0"/>
          <w:numId w:val="2"/>
        </w:numPr>
        <w:spacing w:before="50" w:after="50"/>
      </w:pPr>
      <w:r>
        <w:rPr>
          <w:rFonts w:ascii="Arial" w:cs="Arial" w:eastAsia="Arial" w:hAnsi="Arial"/>
          <w:color w:val="1C1C1A"/>
          <w:sz w:val="19"/>
          <w:szCs w:val="19"/>
        </w:rPr>
        <w:t xml:space="preserve">Risk flag record created if applicable</w:t>
      </w:r>
    </w:p>
    <w:p>
      <w:pPr>
        <w:pStyle w:val="ListParagraph"/>
        <w:numPr>
          <w:ilvl w:val="0"/>
          <w:numId w:val="2"/>
        </w:numPr>
        <w:spacing w:before="50" w:after="50"/>
      </w:pPr>
      <w:r>
        <w:rPr>
          <w:rFonts w:ascii="Arial" w:cs="Arial" w:eastAsia="Arial" w:hAnsi="Arial"/>
          <w:color w:val="1C1C1A"/>
          <w:sz w:val="19"/>
          <w:szCs w:val="19"/>
        </w:rPr>
        <w:t xml:space="preserve">Report stored in MinIO. Signed download link valid 90 days.</w:t>
      </w:r>
    </w:p>
    <w:p>
      <w:pPr>
        <w:pStyle w:val="ListParagraph"/>
        <w:numPr>
          <w:ilvl w:val="0"/>
          <w:numId w:val="2"/>
        </w:numPr>
        <w:spacing w:before="50" w:after="50"/>
      </w:pPr>
      <w:r>
        <w:rPr>
          <w:rFonts w:ascii="Arial" w:cs="Arial" w:eastAsia="Arial" w:hAnsi="Arial"/>
          <w:color w:val="1C1C1A"/>
          <w:sz w:val="19"/>
          <w:szCs w:val="19"/>
        </w:rPr>
        <w:t xml:space="preserve">Session event published to ClickHouse for BodhLens analytics</w:t>
      </w:r>
    </w:p>
    <w:p>
      <w:pPr>
        <w:spacing w:before="120" w:after="0"/>
      </w:pPr>
      <w:r>
        <w:t xml:space="preserve"/>
      </w:r>
    </w:p>
    <w:p>
      <w:pPr>
        <w:pStyle w:val="Heading1"/>
      </w:pPr>
      <w:r>
        <w:rPr>
          <w:rFonts w:ascii="Arial" w:cs="Arial" w:eastAsia="Arial" w:hAnsi="Arial"/>
          <w:b/>
          <w:bCs/>
          <w:color w:val="3C3489"/>
          <w:sz w:val="36"/>
          <w:szCs w:val="36"/>
        </w:rPr>
        <w:t xml:space="preserve">UC-002 — HR Manager Runs Batch Industrial Assessment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Actor</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HR Manager (Practitioner role, Industrial vertical)</w:t>
            </w:r>
          </w:p>
        </w:tc>
      </w:tr>
      <w:tr>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Goal</w:t>
            </w:r>
          </w:p>
        </w:tc>
        <w:tc>
          <w:tcPr>
            <w:tcW w:type="dxa" w:w="70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Administer a psychometric battery to 50 campus recruitment candidates and download ranked results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Preconditions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HR Manager has Industrial vertical access at Tier 3. Assessment battery (Big Five + Aptitude) is configured. Candidate emails are available.</w:t>
            </w:r>
          </w:p>
        </w:tc>
      </w:tr>
      <w:tr>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Trigger</w:t>
            </w:r>
          </w:p>
        </w:tc>
        <w:tc>
          <w:tcPr>
            <w:tcW w:type="dxa" w:w="70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HR Manager selects 'New Batch Assessment' from the Industrial dashboard</w:t>
            </w:r>
          </w:p>
        </w:tc>
      </w:tr>
    </w:tbl>
    <w:p>
      <w:pPr>
        <w:spacing w:before="60" w:after="0"/>
      </w:pPr>
      <w:r>
        <w:t xml:space="preserve"/>
      </w:r>
    </w:p>
    <w:p>
      <w:pPr>
        <w:pStyle w:val="Heading3"/>
      </w:pPr>
      <w:r>
        <w:rPr>
          <w:rFonts w:ascii="Arial" w:cs="Arial" w:eastAsia="Arial" w:hAnsi="Arial"/>
          <w:b/>
          <w:bCs/>
          <w:color w:val="3C3489"/>
          <w:sz w:val="24"/>
          <w:szCs w:val="24"/>
        </w:rPr>
        <w:t xml:space="preserve">Main Flow</w:t>
      </w:r>
    </w:p>
    <w:p>
      <w:pPr>
        <w:spacing w:before="4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HR Manager selects 'Campus Battery — Standard' instrument from the industrial library</w:t>
      </w:r>
    </w:p>
    <w:p>
      <w:pPr>
        <w:pStyle w:val="ListParagraph"/>
        <w:numPr>
          <w:ilvl w:val="0"/>
          <w:numId w:val="3"/>
        </w:numPr>
        <w:spacing w:before="50" w:after="50"/>
      </w:pPr>
      <w:r>
        <w:rPr>
          <w:rFonts w:ascii="Arial" w:cs="Arial" w:eastAsia="Arial" w:hAnsi="Arial"/>
          <w:color w:val="1C1C1A"/>
          <w:sz w:val="19"/>
          <w:szCs w:val="19"/>
        </w:rPr>
        <w:t xml:space="preserve">HR Manager uploads a CSV with 50 candidate email addresses</w:t>
      </w:r>
    </w:p>
    <w:p>
      <w:pPr>
        <w:pStyle w:val="ListParagraph"/>
        <w:numPr>
          <w:ilvl w:val="0"/>
          <w:numId w:val="3"/>
        </w:numPr>
        <w:spacing w:before="50" w:after="50"/>
      </w:pPr>
      <w:r>
        <w:rPr>
          <w:rFonts w:ascii="Arial" w:cs="Arial" w:eastAsia="Arial" w:hAnsi="Arial"/>
          <w:color w:val="1C1C1A"/>
          <w:sz w:val="19"/>
          <w:szCs w:val="19"/>
        </w:rPr>
        <w:t xml:space="preserve">HR Manager configures: delivery via WhatsApp + email, proctoring enabled (Secure Browser), language English, expiry 48 hours</w:t>
      </w:r>
    </w:p>
    <w:p>
      <w:pPr>
        <w:pStyle w:val="ListParagraph"/>
        <w:numPr>
          <w:ilvl w:val="0"/>
          <w:numId w:val="3"/>
        </w:numPr>
        <w:spacing w:before="50" w:after="50"/>
      </w:pPr>
      <w:r>
        <w:rPr>
          <w:rFonts w:ascii="Arial" w:cs="Arial" w:eastAsia="Arial" w:hAnsi="Arial"/>
          <w:color w:val="1C1C1A"/>
          <w:sz w:val="19"/>
          <w:szCs w:val="19"/>
        </w:rPr>
        <w:t xml:space="preserve">System creates 50 sessions and sends WhatsApp invitations to all candidates</w:t>
      </w:r>
    </w:p>
    <w:p>
      <w:pPr>
        <w:pStyle w:val="ListParagraph"/>
        <w:numPr>
          <w:ilvl w:val="0"/>
          <w:numId w:val="3"/>
        </w:numPr>
        <w:spacing w:before="50" w:after="50"/>
      </w:pPr>
      <w:r>
        <w:rPr>
          <w:rFonts w:ascii="Arial" w:cs="Arial" w:eastAsia="Arial" w:hAnsi="Arial"/>
          <w:color w:val="1C1C1A"/>
          <w:sz w:val="19"/>
          <w:szCs w:val="19"/>
        </w:rPr>
        <w:t xml:space="preserve">Candidates receive WhatsApp message with assessment link and complete the assessment in Secure Browser</w:t>
      </w:r>
    </w:p>
    <w:p>
      <w:pPr>
        <w:pStyle w:val="ListParagraph"/>
        <w:numPr>
          <w:ilvl w:val="0"/>
          <w:numId w:val="3"/>
        </w:numPr>
        <w:spacing w:before="50" w:after="50"/>
      </w:pPr>
      <w:r>
        <w:rPr>
          <w:rFonts w:ascii="Arial" w:cs="Arial" w:eastAsia="Arial" w:hAnsi="Arial"/>
          <w:color w:val="1C1C1A"/>
          <w:sz w:val="19"/>
          <w:szCs w:val="19"/>
        </w:rPr>
        <w:t xml:space="preserve">For each candidate: proctoring monitors session, Trust Score computed on completion</w:t>
      </w:r>
    </w:p>
    <w:p>
      <w:pPr>
        <w:pStyle w:val="ListParagraph"/>
        <w:numPr>
          <w:ilvl w:val="0"/>
          <w:numId w:val="3"/>
        </w:numPr>
        <w:spacing w:before="50" w:after="50"/>
      </w:pPr>
      <w:r>
        <w:rPr>
          <w:rFonts w:ascii="Arial" w:cs="Arial" w:eastAsia="Arial" w:hAnsi="Arial"/>
          <w:color w:val="1C1C1A"/>
          <w:sz w:val="19"/>
          <w:szCs w:val="19"/>
        </w:rPr>
        <w:t xml:space="preserve">Reports generated for each candidate within 60 seconds of completion</w:t>
      </w:r>
    </w:p>
    <w:p>
      <w:pPr>
        <w:pStyle w:val="ListParagraph"/>
        <w:numPr>
          <w:ilvl w:val="0"/>
          <w:numId w:val="3"/>
        </w:numPr>
        <w:spacing w:before="50" w:after="50"/>
      </w:pPr>
      <w:r>
        <w:rPr>
          <w:rFonts w:ascii="Arial" w:cs="Arial" w:eastAsia="Arial" w:hAnsi="Arial"/>
          <w:color w:val="1C1C1A"/>
          <w:sz w:val="19"/>
          <w:szCs w:val="19"/>
        </w:rPr>
        <w:t xml:space="preserve">HR Manager views batch dashboard: completion rate, score distributions, Trust Score summary</w:t>
      </w:r>
    </w:p>
    <w:p>
      <w:pPr>
        <w:pStyle w:val="ListParagraph"/>
        <w:numPr>
          <w:ilvl w:val="0"/>
          <w:numId w:val="3"/>
        </w:numPr>
        <w:spacing w:before="50" w:after="50"/>
      </w:pPr>
      <w:r>
        <w:rPr>
          <w:rFonts w:ascii="Arial" w:cs="Arial" w:eastAsia="Arial" w:hAnsi="Arial"/>
          <w:color w:val="1C1C1A"/>
          <w:sz w:val="19"/>
          <w:szCs w:val="19"/>
        </w:rPr>
        <w:t xml:space="preserve">HR Manager requests ranked candidate list: ranked by composite score, filtered to Trust Score ≥70</w:t>
      </w:r>
    </w:p>
    <w:p>
      <w:pPr>
        <w:pStyle w:val="ListParagraph"/>
        <w:numPr>
          <w:ilvl w:val="0"/>
          <w:numId w:val="3"/>
        </w:numPr>
        <w:spacing w:before="50" w:after="50"/>
      </w:pPr>
      <w:r>
        <w:rPr>
          <w:rFonts w:ascii="Arial" w:cs="Arial" w:eastAsia="Arial" w:hAnsi="Arial"/>
          <w:color w:val="1C1C1A"/>
          <w:sz w:val="19"/>
          <w:szCs w:val="19"/>
        </w:rPr>
        <w:t xml:space="preserve">System generates a consolidated CSV download with all candidate scores and Trust Scores</w:t>
      </w:r>
    </w:p>
    <w:p>
      <w:pPr>
        <w:spacing w:before="60" w:after="0"/>
      </w:pPr>
      <w:r>
        <w:t xml:space="preserve"/>
      </w:r>
    </w:p>
    <w:p>
      <w:pPr>
        <w:pStyle w:val="Heading3"/>
      </w:pPr>
      <w:r>
        <w:rPr>
          <w:rFonts w:ascii="Arial" w:cs="Arial" w:eastAsia="Arial" w:hAnsi="Arial"/>
          <w:b/>
          <w:bCs/>
          <w:color w:val="3C3489"/>
          <w:sz w:val="24"/>
          <w:szCs w:val="24"/>
        </w:rPr>
        <w:t xml:space="preserve">Alternate Flows</w:t>
      </w:r>
    </w:p>
    <w:p>
      <w:pPr>
        <w:spacing w:before="4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Candidate does not complete within 48 hours: system sends reminder at 24 hours and 44 hours. Session marked ABANDONED at 48 hours. — </w:t>
      </w:r>
      <w:r>
        <w:rPr>
          <w:rFonts w:ascii="Arial" w:cs="Arial" w:eastAsia="Arial" w:hAnsi="Arial"/>
          <w:color w:val="1C1C1A"/>
          <w:sz w:val="19"/>
          <w:szCs w:val="19"/>
        </w:rPr>
        <w:t xml:space="preserve">AF-001</w:t>
      </w:r>
    </w:p>
    <w:p>
      <w:pPr>
        <w:pStyle w:val="ListParagraph"/>
        <w:numPr>
          <w:ilvl w:val="0"/>
          <w:numId w:val="2"/>
        </w:numPr>
        <w:spacing w:before="50" w:after="50"/>
      </w:pPr>
      <w:r>
        <w:rPr>
          <w:rFonts w:ascii="Arial" w:cs="Arial" w:eastAsia="Arial" w:hAnsi="Arial"/>
          <w:b/>
          <w:bCs/>
          <w:color w:val="3C3489"/>
          <w:sz w:val="19"/>
          <w:szCs w:val="19"/>
        </w:rPr>
        <w:t xml:space="preserve">Candidate's Trust Score &lt; 60: session flagged for HR review. HR can view the proctoring alert summary and decide whether to accept or reject the session. — </w:t>
      </w:r>
      <w:r>
        <w:rPr>
          <w:rFonts w:ascii="Arial" w:cs="Arial" w:eastAsia="Arial" w:hAnsi="Arial"/>
          <w:color w:val="1C1C1A"/>
          <w:sz w:val="19"/>
          <w:szCs w:val="19"/>
        </w:rPr>
        <w:t xml:space="preserve">AF-002</w:t>
      </w:r>
    </w:p>
    <w:p>
      <w:pPr>
        <w:pStyle w:val="ListParagraph"/>
        <w:numPr>
          <w:ilvl w:val="0"/>
          <w:numId w:val="2"/>
        </w:numPr>
        <w:spacing w:before="50" w:after="50"/>
      </w:pPr>
      <w:r>
        <w:rPr>
          <w:rFonts w:ascii="Arial" w:cs="Arial" w:eastAsia="Arial" w:hAnsi="Arial"/>
          <w:b/>
          <w:bCs/>
          <w:color w:val="3C3489"/>
          <w:sz w:val="19"/>
          <w:szCs w:val="19"/>
        </w:rPr>
        <w:t xml:space="preserve">Candidate attempts to take assessment on mobile browser (not Secure Browser): system detects non-Secure Browser and redirects to Secure Browser download page. — </w:t>
      </w:r>
      <w:r>
        <w:rPr>
          <w:rFonts w:ascii="Arial" w:cs="Arial" w:eastAsia="Arial" w:hAnsi="Arial"/>
          <w:color w:val="1C1C1A"/>
          <w:sz w:val="19"/>
          <w:szCs w:val="19"/>
        </w:rPr>
        <w:t xml:space="preserve">AF-003</w:t>
      </w:r>
    </w:p>
    <w:p>
      <w:pPr>
        <w:spacing w:before="120" w:after="0"/>
      </w:pPr>
      <w:r>
        <w:t xml:space="preserve"/>
      </w:r>
    </w:p>
    <w:p>
      <w:pPr>
        <w:pStyle w:val="Heading1"/>
      </w:pPr>
      <w:r>
        <w:rPr>
          <w:rFonts w:ascii="Arial" w:cs="Arial" w:eastAsia="Arial" w:hAnsi="Arial"/>
          <w:b/>
          <w:bCs/>
          <w:color w:val="3C3489"/>
          <w:sz w:val="36"/>
          <w:szCs w:val="36"/>
        </w:rPr>
        <w:t xml:space="preserve">UC-003 — Researcher Runs IAT Experiment and Exports Data</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0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Primary Actor</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Researcher (Practitioner role, Designing Experiments vertical)</w:t>
            </w:r>
          </w:p>
        </w:tc>
      </w:tr>
      <w:tr>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Goal</w:t>
            </w:r>
          </w:p>
        </w:tc>
        <w:tc>
          <w:tcPr>
            <w:tcW w:type="dxa" w:w="70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Administer an IAT measuring implicit self-esteem to 30 research participants and export trial-level data for analysis in 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Preconditions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Researcher has Designing Experiments vertical access at Tier 3. IAT instrument configured with self-esteem stimulus sets. RESEARCH consent obtained from all participants.</w:t>
            </w:r>
          </w:p>
        </w:tc>
      </w:tr>
      <w:tr>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Trigger</w:t>
            </w:r>
          </w:p>
        </w:tc>
        <w:tc>
          <w:tcPr>
            <w:tcW w:type="dxa" w:w="70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Researcher creates a new experimental session batch</w:t>
            </w:r>
          </w:p>
        </w:tc>
      </w:tr>
    </w:tbl>
    <w:p>
      <w:pPr>
        <w:spacing w:before="60" w:after="0"/>
      </w:pPr>
      <w:r>
        <w:t xml:space="preserve"/>
      </w:r>
    </w:p>
    <w:p>
      <w:pPr>
        <w:pStyle w:val="Heading3"/>
      </w:pPr>
      <w:r>
        <w:rPr>
          <w:rFonts w:ascii="Arial" w:cs="Arial" w:eastAsia="Arial" w:hAnsi="Arial"/>
          <w:b/>
          <w:bCs/>
          <w:color w:val="3C3489"/>
          <w:sz w:val="24"/>
          <w:szCs w:val="24"/>
        </w:rPr>
        <w:t xml:space="preserve">Main Flow</w:t>
      </w:r>
    </w:p>
    <w:p>
      <w:pPr>
        <w:spacing w:before="4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Researcher selects 'IAT — Self-Esteem (Greenwald)' from the experimental paradigm library</w:t>
      </w:r>
    </w:p>
    <w:p>
      <w:pPr>
        <w:pStyle w:val="ListParagraph"/>
        <w:numPr>
          <w:ilvl w:val="0"/>
          <w:numId w:val="3"/>
        </w:numPr>
        <w:spacing w:before="50" w:after="50"/>
      </w:pPr>
      <w:r>
        <w:rPr>
          <w:rFonts w:ascii="Arial" w:cs="Arial" w:eastAsia="Arial" w:hAnsi="Arial"/>
          <w:color w:val="1C1C1A"/>
          <w:sz w:val="19"/>
          <w:szCs w:val="19"/>
        </w:rPr>
        <w:t xml:space="preserve">Researcher uploads participant list (30 emails) and configures: block order counterbalancing (Latin square), 20 practice trials, 80 experimental trials per block, exclude RTs &lt;150ms and &gt;2000ms</w:t>
      </w:r>
    </w:p>
    <w:p>
      <w:pPr>
        <w:pStyle w:val="ListParagraph"/>
        <w:numPr>
          <w:ilvl w:val="0"/>
          <w:numId w:val="3"/>
        </w:numPr>
        <w:spacing w:before="50" w:after="50"/>
      </w:pPr>
      <w:r>
        <w:rPr>
          <w:rFonts w:ascii="Arial" w:cs="Arial" w:eastAsia="Arial" w:hAnsi="Arial"/>
          <w:color w:val="1C1C1A"/>
          <w:sz w:val="19"/>
          <w:szCs w:val="19"/>
        </w:rPr>
        <w:t xml:space="preserve">System creates 30 sessions with randomised block orders and sends email invitations</w:t>
      </w:r>
    </w:p>
    <w:p>
      <w:pPr>
        <w:pStyle w:val="ListParagraph"/>
        <w:numPr>
          <w:ilvl w:val="0"/>
          <w:numId w:val="3"/>
        </w:numPr>
        <w:spacing w:before="50" w:after="50"/>
      </w:pPr>
      <w:r>
        <w:rPr>
          <w:rFonts w:ascii="Arial" w:cs="Arial" w:eastAsia="Arial" w:hAnsi="Arial"/>
          <w:color w:val="1C1C1A"/>
          <w:sz w:val="19"/>
          <w:szCs w:val="19"/>
        </w:rPr>
        <w:t xml:space="preserve">Participants complete IAT. System delivers paradigm in full-screen mode via jsPsych. All trial-level data (stimulus, response, RT, accuracy) stored per trial.</w:t>
      </w:r>
    </w:p>
    <w:p>
      <w:pPr>
        <w:pStyle w:val="ListParagraph"/>
        <w:numPr>
          <w:ilvl w:val="0"/>
          <w:numId w:val="3"/>
        </w:numPr>
        <w:spacing w:before="50" w:after="50"/>
      </w:pPr>
      <w:r>
        <w:rPr>
          <w:rFonts w:ascii="Arial" w:cs="Arial" w:eastAsia="Arial" w:hAnsi="Arial"/>
          <w:color w:val="1C1C1A"/>
          <w:sz w:val="19"/>
          <w:szCs w:val="19"/>
        </w:rPr>
        <w:t xml:space="preserve">System computes IAT D-score for each participant using Greenwald et al. (2003) algorithm</w:t>
      </w:r>
    </w:p>
    <w:p>
      <w:pPr>
        <w:pStyle w:val="ListParagraph"/>
        <w:numPr>
          <w:ilvl w:val="0"/>
          <w:numId w:val="3"/>
        </w:numPr>
        <w:spacing w:before="50" w:after="50"/>
      </w:pPr>
      <w:r>
        <w:rPr>
          <w:rFonts w:ascii="Arial" w:cs="Arial" w:eastAsia="Arial" w:hAnsi="Arial"/>
          <w:color w:val="1C1C1A"/>
          <w:sz w:val="19"/>
          <w:szCs w:val="19"/>
        </w:rPr>
        <w:t xml:space="preserve">Researcher views aggregate results: mean D-score, SD, distribution histogram</w:t>
      </w:r>
    </w:p>
    <w:p>
      <w:pPr>
        <w:pStyle w:val="ListParagraph"/>
        <w:numPr>
          <w:ilvl w:val="0"/>
          <w:numId w:val="3"/>
        </w:numPr>
        <w:spacing w:before="50" w:after="50"/>
      </w:pPr>
      <w:r>
        <w:rPr>
          <w:rFonts w:ascii="Arial" w:cs="Arial" w:eastAsia="Arial" w:hAnsi="Arial"/>
          <w:color w:val="1C1C1A"/>
          <w:sz w:val="19"/>
          <w:szCs w:val="19"/>
        </w:rPr>
        <w:t xml:space="preserve">Researcher requests trial-level data export: selects SPSS (.sav) format</w:t>
      </w:r>
    </w:p>
    <w:p>
      <w:pPr>
        <w:pStyle w:val="ListParagraph"/>
        <w:numPr>
          <w:ilvl w:val="0"/>
          <w:numId w:val="3"/>
        </w:numPr>
        <w:spacing w:before="50" w:after="50"/>
      </w:pPr>
      <w:r>
        <w:rPr>
          <w:rFonts w:ascii="Arial" w:cs="Arial" w:eastAsia="Arial" w:hAnsi="Arial"/>
          <w:color w:val="1C1C1A"/>
          <w:sz w:val="19"/>
          <w:szCs w:val="19"/>
        </w:rPr>
        <w:t xml:space="preserve">System generates .sav file with all 30 participants × 160 trials = 4,800 rows of trial data</w:t>
      </w:r>
    </w:p>
    <w:p>
      <w:pPr>
        <w:pStyle w:val="ListParagraph"/>
        <w:numPr>
          <w:ilvl w:val="0"/>
          <w:numId w:val="3"/>
        </w:numPr>
        <w:spacing w:before="50" w:after="50"/>
      </w:pPr>
      <w:r>
        <w:rPr>
          <w:rFonts w:ascii="Arial" w:cs="Arial" w:eastAsia="Arial" w:hAnsi="Arial"/>
          <w:color w:val="1C1C1A"/>
          <w:sz w:val="19"/>
          <w:szCs w:val="19"/>
        </w:rPr>
        <w:t xml:space="preserve">Researcher downloads file and imports into R for analysis</w:t>
      </w:r>
    </w:p>
    <w:p>
      <w:pPr>
        <w:spacing w:before="60" w:after="0"/>
      </w:pPr>
      <w:r>
        <w:t xml:space="preserve"/>
      </w:r>
    </w:p>
    <w:p>
      <w:pPr>
        <w:pStyle w:val="Heading3"/>
      </w:pPr>
      <w:r>
        <w:rPr>
          <w:rFonts w:ascii="Arial" w:cs="Arial" w:eastAsia="Arial" w:hAnsi="Arial"/>
          <w:b/>
          <w:bCs/>
          <w:color w:val="3C3489"/>
          <w:sz w:val="24"/>
          <w:szCs w:val="24"/>
        </w:rPr>
        <w:t xml:space="preserve">Alternate Flows</w:t>
      </w:r>
    </w:p>
    <w:p>
      <w:pPr>
        <w:spacing w:before="4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Participant exits full-screen during IAT: paradigm pauses, interruption event logged, full-screen prompt shown. If participant exits 3 times, session flagged for researcher review. — </w:t>
      </w:r>
      <w:r>
        <w:rPr>
          <w:rFonts w:ascii="Arial" w:cs="Arial" w:eastAsia="Arial" w:hAnsi="Arial"/>
          <w:color w:val="1C1C1A"/>
          <w:sz w:val="19"/>
          <w:szCs w:val="19"/>
        </w:rPr>
        <w:t xml:space="preserve">AF-001</w:t>
      </w:r>
    </w:p>
    <w:p>
      <w:pPr>
        <w:pStyle w:val="ListParagraph"/>
        <w:numPr>
          <w:ilvl w:val="0"/>
          <w:numId w:val="2"/>
        </w:numPr>
        <w:spacing w:before="50" w:after="50"/>
      </w:pPr>
      <w:r>
        <w:rPr>
          <w:rFonts w:ascii="Arial" w:cs="Arial" w:eastAsia="Arial" w:hAnsi="Arial"/>
          <w:b/>
          <w:bCs/>
          <w:color w:val="3C3489"/>
          <w:sz w:val="19"/>
          <w:szCs w:val="19"/>
        </w:rPr>
        <w:t xml:space="preserve">Participant's RT distribution shows &gt;15% anticipatory responses (&lt;150ms): system flags session with 'High Anticipation Rate — data quality concern' label. Researcher can include or exclude in final export. — </w:t>
      </w:r>
      <w:r>
        <w:rPr>
          <w:rFonts w:ascii="Arial" w:cs="Arial" w:eastAsia="Arial" w:hAnsi="Arial"/>
          <w:color w:val="1C1C1A"/>
          <w:sz w:val="19"/>
          <w:szCs w:val="19"/>
        </w:rPr>
        <w:t xml:space="preserve">AF-002</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6 — Constraints, Assumptions &amp; Acceptance Criteria</w:t>
            </w:r>
          </w:p>
        </w:tc>
      </w:tr>
    </w:tbl>
    <w:p>
      <w:pPr>
        <w:spacing w:before="160" w:after="0"/>
      </w:pPr>
      <w:r>
        <w:t xml:space="preserve"/>
      </w:r>
    </w:p>
    <w:p>
      <w:pPr>
        <w:pStyle w:val="Heading1"/>
      </w:pPr>
      <w:r>
        <w:rPr>
          <w:rFonts w:ascii="Arial" w:cs="Arial" w:eastAsia="Arial" w:hAnsi="Arial"/>
          <w:b/>
          <w:bCs/>
          <w:color w:val="3C3489"/>
          <w:sz w:val="36"/>
          <w:szCs w:val="36"/>
        </w:rPr>
        <w:t xml:space="preserve">6.1  Regulatory Constraints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Regulation</w:t>
            </w:r>
          </w:p>
        </w:tc>
        <w:tc>
          <w:tcPr>
            <w:tcW w:type="dxa" w:w="66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Constraint on BodhAssess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 Act 2023</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personal data stored in India. Explicit consent before collection. Right to erasure within 30 days. Clinical data minimum 7-year retention (Mental Healthcare Act 2017 override).</w:t>
            </w:r>
          </w:p>
        </w:tc>
      </w:tr>
      <w:tr>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Mental Healthcare Act 2017</w:t>
            </w:r>
          </w:p>
        </w:tc>
        <w:tc>
          <w:tcPr>
            <w:tcW w:type="dxa" w:w="66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assessment records must be retained for minimum 7 years from last contact. Practitioner registration number (RCI) must appear on clinical reports.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Information Technology Act 2000</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(health, financial, biometric) requires explicit consent and reasonable security practices.</w:t>
            </w:r>
          </w:p>
        </w:tc>
      </w:tr>
      <w:tr>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IEC/IEEE 29148:2018</w:t>
            </w:r>
          </w:p>
        </w:tc>
        <w:tc>
          <w:tcPr>
            <w:tcW w:type="dxa" w:w="66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This SRS conforms to the IEEE 29148 standard for system and software requirements specifications.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WHO ICD-11</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Diagnostic considerations in clinical reports must present ICD-11 codes alongside ICD-10 codes (India in transition).</w:t>
            </w:r>
          </w:p>
        </w:tc>
      </w:tr>
      <w:tr>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RCI Guidelines</w:t>
            </w:r>
          </w:p>
        </w:tc>
        <w:tc>
          <w:tcPr>
            <w:tcW w:type="dxa" w:w="66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assessment reports must be generated under the supervision of or by a practitioner registered with the Rehabilitation Council of India.</w:t>
            </w:r>
          </w:p>
        </w:tc>
      </w:tr>
    </w:tbl>
    <w:p>
      <w:pPr>
        <w:spacing w:before="120" w:after="0"/>
      </w:pPr>
      <w:r>
        <w:t xml:space="preserve"/>
      </w:r>
    </w:p>
    <w:p>
      <w:pPr>
        <w:pStyle w:val="Heading1"/>
      </w:pPr>
      <w:r>
        <w:rPr>
          <w:rFonts w:ascii="Arial" w:cs="Arial" w:eastAsia="Arial" w:hAnsi="Arial"/>
          <w:b/>
          <w:bCs/>
          <w:color w:val="3C3489"/>
          <w:sz w:val="36"/>
          <w:szCs w:val="36"/>
        </w:rPr>
        <w:t xml:space="preserve">6.2  Technical Constraints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66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Data residency</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data must remain on DigitalOcean BLR1 or BOM1. No data may transit infrastructure outside India, including CDN edge nodes.</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Claude API — data sent</w:t>
            </w:r>
          </w:p>
        </w:tc>
        <w:tc>
          <w:tcPr>
            <w:tcW w:type="dxa" w:w="66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Only de-identified score profiles and template prompts may be sent to Claude API. PII (name, Aadhaar, DOB, clinical diagnosis) must never appear in Claude API calls.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Open source stack</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infrastructure components must be open source or use open APIs. No proprietary managed services that would create vendor lock-in (e.g., AWS Cognito, Google Firebase).</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Browser support</w:t>
            </w:r>
          </w:p>
        </w:tc>
        <w:tc>
          <w:tcPr>
            <w:tcW w:type="dxa" w:w="66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Web application must support: Chrome 100+, Firefox 110+, Safari 16+, Edge 100+. Internet Explorer is not supported.</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Mobile support</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React Native app must support: iOS 15+ and Android 10+ (API level 29+).</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 licensing</w:t>
            </w:r>
          </w:p>
        </w:tc>
        <w:tc>
          <w:tcPr>
            <w:tcW w:type="dxa" w:w="66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library instruments must be either (a) in the public domain, (b) licensed from the publisher, or (c) developed by Bodh. No instrument may be used without documented legal right of use.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IRT calibration</w:t>
            </w:r>
          </w:p>
        </w:tc>
        <w:tc>
          <w:tcPr>
            <w:tcW w:type="dxa" w:w="6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 IRT 3PL model implementation must be validated against the R ltm package reference implementation. Any deviation &gt;0.05 in theta estimation on the validation corpus is unacceptable.</w:t>
            </w:r>
          </w:p>
        </w:tc>
      </w:tr>
    </w:tbl>
    <w:p>
      <w:pPr>
        <w:spacing w:before="120" w:after="0"/>
      </w:pPr>
      <w:r>
        <w:t xml:space="preserve"/>
      </w:r>
    </w:p>
    <w:p>
      <w:pPr>
        <w:pStyle w:val="Heading1"/>
      </w:pPr>
      <w:r>
        <w:rPr>
          <w:rFonts w:ascii="Arial" w:cs="Arial" w:eastAsia="Arial" w:hAnsi="Arial"/>
          <w:b/>
          <w:bCs/>
          <w:color w:val="3C3489"/>
          <w:sz w:val="36"/>
          <w:szCs w:val="36"/>
        </w:rPr>
        <w:t xml:space="preserve">6.3  Acceptance Criteria — Phase 1 Launch</w:t>
      </w:r>
    </w:p>
    <w:p>
      <w:pPr>
        <w:spacing w:before="80" w:after="0"/>
      </w:pPr>
      <w:r>
        <w:t xml:space="preserve"/>
      </w:r>
    </w:p>
    <w:p>
      <w:pPr>
        <w:spacing w:before="0" w:after="100"/>
      </w:pPr>
      <w:r>
        <w:rPr>
          <w:rFonts w:ascii="Arial" w:cs="Arial" w:eastAsia="Arial" w:hAnsi="Arial"/>
          <w:color w:val="1C1C1A"/>
          <w:sz w:val="20"/>
          <w:szCs w:val="20"/>
        </w:rPr>
        <w:t xml:space="preserve">Phase 1 is considered ready for production launch when all of the following acceptance criteria are met:</w:t>
      </w:r>
    </w:p>
    <w:p>
      <w:pPr>
        <w:spacing w:before="80" w:after="0"/>
      </w:pPr>
      <w:r>
        <w:t xml:space="preserve"/>
      </w:r>
    </w:p>
    <w:p>
      <w:pPr>
        <w:pStyle w:val="Heading3"/>
      </w:pPr>
      <w:r>
        <w:rPr>
          <w:rFonts w:ascii="Arial" w:cs="Arial" w:eastAsia="Arial" w:hAnsi="Arial"/>
          <w:b/>
          <w:bCs/>
          <w:color w:val="3C3489"/>
          <w:sz w:val="24"/>
          <w:szCs w:val="24"/>
        </w:rPr>
        <w:t xml:space="preserve">Functional Acceptance</w:t>
      </w:r>
    </w:p>
    <w:p>
      <w:pPr>
        <w:spacing w:before="6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All MUST-priority functional requirements (FR-*) pass their specified verification method on the staging environment</w:t>
      </w:r>
    </w:p>
    <w:p>
      <w:pPr>
        <w:pStyle w:val="ListParagraph"/>
        <w:numPr>
          <w:ilvl w:val="0"/>
          <w:numId w:val="3"/>
        </w:numPr>
        <w:spacing w:before="50" w:after="50"/>
      </w:pPr>
      <w:r>
        <w:rPr>
          <w:rFonts w:ascii="Arial" w:cs="Arial" w:eastAsia="Arial" w:hAnsi="Arial"/>
          <w:color w:val="1C1C1A"/>
          <w:sz w:val="19"/>
          <w:szCs w:val="19"/>
        </w:rPr>
        <w:t xml:space="preserve">All three primary use cases (UC-001, UC-002, UC-003) completed end-to-end by real pilot users with no P1 or P2 bugs</w:t>
      </w:r>
    </w:p>
    <w:p>
      <w:pPr>
        <w:pStyle w:val="ListParagraph"/>
        <w:numPr>
          <w:ilvl w:val="0"/>
          <w:numId w:val="3"/>
        </w:numPr>
        <w:spacing w:before="50" w:after="50"/>
      </w:pPr>
      <w:r>
        <w:rPr>
          <w:rFonts w:ascii="Arial" w:cs="Arial" w:eastAsia="Arial" w:hAnsi="Arial"/>
          <w:color w:val="1C1C1A"/>
          <w:sz w:val="19"/>
          <w:szCs w:val="19"/>
        </w:rPr>
        <w:t xml:space="preserve">IRT psychometric validation suite passes: theta estimation within 0.05 of R ltm reference for 1,000 simulated response patterns</w:t>
      </w:r>
    </w:p>
    <w:p>
      <w:pPr>
        <w:pStyle w:val="ListParagraph"/>
        <w:numPr>
          <w:ilvl w:val="0"/>
          <w:numId w:val="3"/>
        </w:numPr>
        <w:spacing w:before="50" w:after="50"/>
      </w:pPr>
      <w:r>
        <w:rPr>
          <w:rFonts w:ascii="Arial" w:cs="Arial" w:eastAsia="Arial" w:hAnsi="Arial"/>
          <w:color w:val="1C1C1A"/>
          <w:sz w:val="19"/>
          <w:szCs w:val="19"/>
        </w:rPr>
        <w:t xml:space="preserve">IAT D-score validation passes: within 0.01 of Millisecond Inquisit reference implementation</w:t>
      </w:r>
    </w:p>
    <w:p>
      <w:pPr>
        <w:pStyle w:val="ListParagraph"/>
        <w:numPr>
          <w:ilvl w:val="0"/>
          <w:numId w:val="3"/>
        </w:numPr>
        <w:spacing w:before="50" w:after="50"/>
      </w:pPr>
      <w:r>
        <w:rPr>
          <w:rFonts w:ascii="Arial" w:cs="Arial" w:eastAsia="Arial" w:hAnsi="Arial"/>
          <w:color w:val="1C1C1A"/>
          <w:sz w:val="19"/>
          <w:szCs w:val="19"/>
        </w:rPr>
        <w:t xml:space="preserve">All 11 Indian languages render correctly for all question types and report sections</w:t>
      </w:r>
    </w:p>
    <w:p>
      <w:pPr>
        <w:pStyle w:val="ListParagraph"/>
        <w:numPr>
          <w:ilvl w:val="0"/>
          <w:numId w:val="3"/>
        </w:numPr>
        <w:spacing w:before="50" w:after="50"/>
      </w:pPr>
      <w:r>
        <w:rPr>
          <w:rFonts w:ascii="Arial" w:cs="Arial" w:eastAsia="Arial" w:hAnsi="Arial"/>
          <w:color w:val="1C1C1A"/>
          <w:sz w:val="19"/>
          <w:szCs w:val="19"/>
        </w:rPr>
        <w:t xml:space="preserve">DPDP erasure pipeline tested end-to-end: request to deletion confirmation for a complete test respondent record</w:t>
      </w:r>
    </w:p>
    <w:p>
      <w:pPr>
        <w:spacing w:before="80" w:after="0"/>
      </w:pPr>
      <w:r>
        <w:t xml:space="preserve"/>
      </w:r>
    </w:p>
    <w:p>
      <w:pPr>
        <w:pStyle w:val="Heading3"/>
      </w:pPr>
      <w:r>
        <w:rPr>
          <w:rFonts w:ascii="Arial" w:cs="Arial" w:eastAsia="Arial" w:hAnsi="Arial"/>
          <w:b/>
          <w:bCs/>
          <w:color w:val="3C3489"/>
          <w:sz w:val="24"/>
          <w:szCs w:val="24"/>
        </w:rPr>
        <w:t xml:space="preserve">Performance Acceptance</w:t>
      </w:r>
    </w:p>
    <w:p>
      <w:pPr>
        <w:spacing w:before="6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k6 load test at 5,000 concurrent sessions: p95 item response latency &lt; 300ms, error rate &lt; 0.1%</w:t>
      </w:r>
    </w:p>
    <w:p>
      <w:pPr>
        <w:pStyle w:val="ListParagraph"/>
        <w:numPr>
          <w:ilvl w:val="0"/>
          <w:numId w:val="3"/>
        </w:numPr>
        <w:spacing w:before="50" w:after="50"/>
      </w:pPr>
      <w:r>
        <w:rPr>
          <w:rFonts w:ascii="Arial" w:cs="Arial" w:eastAsia="Arial" w:hAnsi="Arial"/>
          <w:color w:val="1C1C1A"/>
          <w:sz w:val="19"/>
          <w:szCs w:val="19"/>
        </w:rPr>
        <w:t xml:space="preserve">k6 load test at 10,000 concurrent sessions (spike): error rate &lt; 0.5%, graceful degradation confirmed</w:t>
      </w:r>
    </w:p>
    <w:p>
      <w:pPr>
        <w:pStyle w:val="ListParagraph"/>
        <w:numPr>
          <w:ilvl w:val="0"/>
          <w:numId w:val="3"/>
        </w:numPr>
        <w:spacing w:before="50" w:after="50"/>
      </w:pPr>
      <w:r>
        <w:rPr>
          <w:rFonts w:ascii="Arial" w:cs="Arial" w:eastAsia="Arial" w:hAnsi="Arial"/>
          <w:color w:val="1C1C1A"/>
          <w:sz w:val="19"/>
          <w:szCs w:val="19"/>
        </w:rPr>
        <w:t xml:space="preserve">Report PDF generation p95 &lt; 30 seconds under load</w:t>
      </w:r>
    </w:p>
    <w:p>
      <w:pPr>
        <w:pStyle w:val="ListParagraph"/>
        <w:numPr>
          <w:ilvl w:val="0"/>
          <w:numId w:val="3"/>
        </w:numPr>
        <w:spacing w:before="50" w:after="50"/>
      </w:pPr>
      <w:r>
        <w:rPr>
          <w:rFonts w:ascii="Arial" w:cs="Arial" w:eastAsia="Arial" w:hAnsi="Arial"/>
          <w:color w:val="1C1C1A"/>
          <w:sz w:val="19"/>
          <w:szCs w:val="19"/>
        </w:rPr>
        <w:t xml:space="preserve">BodhLens single-product query p95 &lt; 5 seconds</w:t>
      </w:r>
    </w:p>
    <w:p>
      <w:pPr>
        <w:spacing w:before="80" w:after="0"/>
      </w:pPr>
      <w:r>
        <w:t xml:space="preserve"/>
      </w:r>
    </w:p>
    <w:p>
      <w:pPr>
        <w:pStyle w:val="Heading3"/>
      </w:pPr>
      <w:r>
        <w:rPr>
          <w:rFonts w:ascii="Arial" w:cs="Arial" w:eastAsia="Arial" w:hAnsi="Arial"/>
          <w:b/>
          <w:bCs/>
          <w:color w:val="3C3489"/>
          <w:sz w:val="24"/>
          <w:szCs w:val="24"/>
        </w:rPr>
        <w:t xml:space="preserve">Security Acceptance</w:t>
      </w:r>
    </w:p>
    <w:p>
      <w:pPr>
        <w:spacing w:before="6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External CREST penetration test: zero Critical findings, zero High findings outstanding</w:t>
      </w:r>
    </w:p>
    <w:p>
      <w:pPr>
        <w:pStyle w:val="ListParagraph"/>
        <w:numPr>
          <w:ilvl w:val="0"/>
          <w:numId w:val="3"/>
        </w:numPr>
        <w:spacing w:before="50" w:after="50"/>
      </w:pPr>
      <w:r>
        <w:rPr>
          <w:rFonts w:ascii="Arial" w:cs="Arial" w:eastAsia="Arial" w:hAnsi="Arial"/>
          <w:color w:val="1C1C1A"/>
          <w:sz w:val="19"/>
          <w:szCs w:val="19"/>
        </w:rPr>
        <w:t xml:space="preserve">OWASP ZAP DAST scan: zero High findings</w:t>
      </w:r>
    </w:p>
    <w:p>
      <w:pPr>
        <w:pStyle w:val="ListParagraph"/>
        <w:numPr>
          <w:ilvl w:val="0"/>
          <w:numId w:val="3"/>
        </w:numPr>
        <w:spacing w:before="50" w:after="50"/>
      </w:pPr>
      <w:r>
        <w:rPr>
          <w:rFonts w:ascii="Arial" w:cs="Arial" w:eastAsia="Arial" w:hAnsi="Arial"/>
          <w:color w:val="1C1C1A"/>
          <w:sz w:val="19"/>
          <w:szCs w:val="19"/>
        </w:rPr>
        <w:t xml:space="preserve">Snyk scan: zero High or Critical CVEs in production dependencies</w:t>
      </w:r>
    </w:p>
    <w:p>
      <w:pPr>
        <w:pStyle w:val="ListParagraph"/>
        <w:numPr>
          <w:ilvl w:val="0"/>
          <w:numId w:val="3"/>
        </w:numPr>
        <w:spacing w:before="50" w:after="50"/>
      </w:pPr>
      <w:r>
        <w:rPr>
          <w:rFonts w:ascii="Arial" w:cs="Arial" w:eastAsia="Arial" w:hAnsi="Arial"/>
          <w:color w:val="1C1C1A"/>
          <w:sz w:val="19"/>
          <w:szCs w:val="19"/>
        </w:rPr>
        <w:t xml:space="preserve">Cross-tenant data access: automated test confirms zero data leakage between tenants</w:t>
      </w:r>
    </w:p>
    <w:p>
      <w:pPr>
        <w:pStyle w:val="ListParagraph"/>
        <w:numPr>
          <w:ilvl w:val="0"/>
          <w:numId w:val="3"/>
        </w:numPr>
        <w:spacing w:before="50" w:after="50"/>
      </w:pPr>
      <w:r>
        <w:rPr>
          <w:rFonts w:ascii="Arial" w:cs="Arial" w:eastAsia="Arial" w:hAnsi="Arial"/>
          <w:color w:val="1C1C1A"/>
          <w:sz w:val="19"/>
          <w:szCs w:val="19"/>
        </w:rPr>
        <w:t xml:space="preserve">Clinical-to-industrial data isolation: automated test confirms clinical schema inaccessible from industrial user session</w:t>
      </w:r>
    </w:p>
    <w:p>
      <w:pPr>
        <w:spacing w:before="80" w:after="0"/>
      </w:pPr>
      <w:r>
        <w:t xml:space="preserve"/>
      </w:r>
    </w:p>
    <w:p>
      <w:pPr>
        <w:pStyle w:val="Heading3"/>
      </w:pPr>
      <w:r>
        <w:rPr>
          <w:rFonts w:ascii="Arial" w:cs="Arial" w:eastAsia="Arial" w:hAnsi="Arial"/>
          <w:b/>
          <w:bCs/>
          <w:color w:val="3C3489"/>
          <w:sz w:val="24"/>
          <w:szCs w:val="24"/>
        </w:rPr>
        <w:t xml:space="preserve">Compliance Acceptance</w:t>
      </w:r>
    </w:p>
    <w:p>
      <w:pPr>
        <w:spacing w:before="6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DPA signed with: DigitalOcean, Gupshup, Twilio, Anthropic</w:t>
      </w:r>
    </w:p>
    <w:p>
      <w:pPr>
        <w:pStyle w:val="ListParagraph"/>
        <w:numPr>
          <w:ilvl w:val="0"/>
          <w:numId w:val="3"/>
        </w:numPr>
        <w:spacing w:before="50" w:after="50"/>
      </w:pPr>
      <w:r>
        <w:rPr>
          <w:rFonts w:ascii="Arial" w:cs="Arial" w:eastAsia="Arial" w:hAnsi="Arial"/>
          <w:color w:val="1C1C1A"/>
          <w:sz w:val="19"/>
          <w:szCs w:val="19"/>
        </w:rPr>
        <w:t xml:space="preserve">DPO appointed and contact information published on privacy policy page</w:t>
      </w:r>
    </w:p>
    <w:p>
      <w:pPr>
        <w:pStyle w:val="ListParagraph"/>
        <w:numPr>
          <w:ilvl w:val="0"/>
          <w:numId w:val="3"/>
        </w:numPr>
        <w:spacing w:before="50" w:after="50"/>
      </w:pPr>
      <w:r>
        <w:rPr>
          <w:rFonts w:ascii="Arial" w:cs="Arial" w:eastAsia="Arial" w:hAnsi="Arial"/>
          <w:color w:val="1C1C1A"/>
          <w:sz w:val="19"/>
          <w:szCs w:val="19"/>
        </w:rPr>
        <w:t xml:space="preserve">DPIA completed for all Phase 1 data processing activities involving sensitive personal data</w:t>
      </w:r>
    </w:p>
    <w:p>
      <w:pPr>
        <w:pStyle w:val="ListParagraph"/>
        <w:numPr>
          <w:ilvl w:val="0"/>
          <w:numId w:val="3"/>
        </w:numPr>
        <w:spacing w:before="50" w:after="50"/>
      </w:pPr>
      <w:r>
        <w:rPr>
          <w:rFonts w:ascii="Arial" w:cs="Arial" w:eastAsia="Arial" w:hAnsi="Arial"/>
          <w:color w:val="1C1C1A"/>
          <w:sz w:val="19"/>
          <w:szCs w:val="19"/>
        </w:rPr>
        <w:t xml:space="preserve">Data Principal Rights Portal live and tested end-to-end</w:t>
      </w:r>
    </w:p>
    <w:p>
      <w:pPr>
        <w:pStyle w:val="ListParagraph"/>
        <w:numPr>
          <w:ilvl w:val="0"/>
          <w:numId w:val="3"/>
        </w:numPr>
        <w:spacing w:before="50" w:after="50"/>
      </w:pPr>
      <w:r>
        <w:rPr>
          <w:rFonts w:ascii="Arial" w:cs="Arial" w:eastAsia="Arial" w:hAnsi="Arial"/>
          <w:color w:val="1C1C1A"/>
          <w:sz w:val="19"/>
          <w:szCs w:val="19"/>
        </w:rPr>
        <w:t xml:space="preserve">Audit log confirmed immutable: deletion attempt rejected</w:t>
      </w:r>
    </w:p>
    <w:p>
      <w:pPr>
        <w:spacing w:before="80" w:after="0"/>
      </w:pPr>
      <w:r>
        <w:t xml:space="preserve"/>
      </w:r>
    </w:p>
    <w:p>
      <w:pPr>
        <w:pStyle w:val="Heading3"/>
      </w:pPr>
      <w:r>
        <w:rPr>
          <w:rFonts w:ascii="Arial" w:cs="Arial" w:eastAsia="Arial" w:hAnsi="Arial"/>
          <w:b/>
          <w:bCs/>
          <w:color w:val="3C3489"/>
          <w:sz w:val="24"/>
          <w:szCs w:val="24"/>
        </w:rPr>
        <w:t xml:space="preserve">Product Acceptance</w:t>
      </w:r>
    </w:p>
    <w:p>
      <w:pPr>
        <w:spacing w:before="6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Lead Psychometrician has approved norm tables and interpretive text for: PHQ-9 Hindi, GAD-7 Hindi, DASS-21 (provisional), Big Five IPIP-NEO (provisional)</w:t>
      </w:r>
    </w:p>
    <w:p>
      <w:pPr>
        <w:pStyle w:val="ListParagraph"/>
        <w:numPr>
          <w:ilvl w:val="0"/>
          <w:numId w:val="3"/>
        </w:numPr>
        <w:spacing w:before="50" w:after="50"/>
      </w:pPr>
      <w:r>
        <w:rPr>
          <w:rFonts w:ascii="Arial" w:cs="Arial" w:eastAsia="Arial" w:hAnsi="Arial"/>
          <w:color w:val="1C1C1A"/>
          <w:sz w:val="19"/>
          <w:szCs w:val="19"/>
        </w:rPr>
        <w:t xml:space="preserve">First 50 Tier 5 AI-generated clinical reports reviewed and approved by clinical psychologist advisor</w:t>
      </w:r>
    </w:p>
    <w:p>
      <w:pPr>
        <w:pStyle w:val="ListParagraph"/>
        <w:numPr>
          <w:ilvl w:val="0"/>
          <w:numId w:val="3"/>
        </w:numPr>
        <w:spacing w:before="50" w:after="50"/>
      </w:pPr>
      <w:r>
        <w:rPr>
          <w:rFonts w:ascii="Arial" w:cs="Arial" w:eastAsia="Arial" w:hAnsi="Arial"/>
          <w:color w:val="1C1C1A"/>
          <w:sz w:val="19"/>
          <w:szCs w:val="19"/>
        </w:rPr>
        <w:t xml:space="preserve">White-label provisioning tested with 2 pilot clients: custom domain, branding, and report templates working</w:t>
      </w:r>
    </w:p>
    <w:p>
      <w:pPr>
        <w:pStyle w:val="ListParagraph"/>
        <w:numPr>
          <w:ilvl w:val="0"/>
          <w:numId w:val="3"/>
        </w:numPr>
        <w:spacing w:before="50" w:after="50"/>
      </w:pPr>
      <w:r>
        <w:rPr>
          <w:rFonts w:ascii="Arial" w:cs="Arial" w:eastAsia="Arial" w:hAnsi="Arial"/>
          <w:color w:val="1C1C1A"/>
          <w:sz w:val="19"/>
          <w:szCs w:val="19"/>
        </w:rPr>
        <w:t xml:space="preserve">BPaaS API integration tested with 1 external partner platform</w:t>
      </w:r>
    </w:p>
    <w:p>
      <w:pPr>
        <w:pStyle w:val="ListParagraph"/>
        <w:numPr>
          <w:ilvl w:val="0"/>
          <w:numId w:val="3"/>
        </w:numPr>
        <w:spacing w:before="50" w:after="50"/>
      </w:pPr>
      <w:r>
        <w:rPr>
          <w:rFonts w:ascii="Arial" w:cs="Arial" w:eastAsia="Arial" w:hAnsi="Arial"/>
          <w:color w:val="1C1C1A"/>
          <w:sz w:val="19"/>
          <w:szCs w:val="19"/>
        </w:rPr>
        <w:t xml:space="preserve">On-call runbook reviewed and signed off by all Tech Leads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7 — Requirement Traceability Matrix</w:t>
            </w:r>
          </w:p>
        </w:tc>
      </w:tr>
    </w:tbl>
    <w:p>
      <w:pPr>
        <w:spacing w:before="160" w:after="0"/>
      </w:pPr>
      <w:r>
        <w:t xml:space="preserve"/>
      </w:r>
    </w:p>
    <w:p>
      <w:pPr>
        <w:pStyle w:val="Heading1"/>
      </w:pPr>
      <w:r>
        <w:rPr>
          <w:rFonts w:ascii="Arial" w:cs="Arial" w:eastAsia="Arial" w:hAnsi="Arial"/>
          <w:b/>
          <w:bCs/>
          <w:color w:val="3C3489"/>
          <w:sz w:val="36"/>
          <w:szCs w:val="36"/>
        </w:rPr>
        <w:t xml:space="preserve">7.1  FR to Use Case Mapping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226"/>
      </w:tblGrid>
      <w:tr>
        <w:trPr>
          <w:tblHeader/>
        </w:trPr>
        <w:tc>
          <w:tcPr>
            <w:tcW w:type="dxa" w:w="1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26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Requirement Summary</w:t>
            </w:r>
          </w:p>
        </w:tc>
        <w:tc>
          <w:tcPr>
            <w:tcW w:type="dxa" w:w="2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Traced Use Case(s)</w:t>
            </w:r>
          </w:p>
        </w:tc>
        <w:tc>
          <w:tcPr>
            <w:tcW w:type="dxa" w:w="32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Sprint Target</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FR-AUTH-001–007</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Authentication and access control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UCs</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1–2</w:t>
            </w:r>
          </w:p>
        </w:tc>
      </w:tr>
      <w:tr>
        <w:tc>
          <w:tcPr>
            <w:tcW w:type="dxa" w:w="1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FR-VERT-001–004</w:t>
            </w:r>
          </w:p>
        </w:tc>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Vertical navigation</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UC-001, UC-002, UC-003</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3</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FR-SESS-001–009</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session management</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UC-001, UC-002</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3–5</w:t>
            </w:r>
          </w:p>
        </w:tc>
      </w:tr>
      <w:tr>
        <w:tc>
          <w:tcPr>
            <w:tcW w:type="dxa" w:w="1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FR-CAT-001–007</w:t>
            </w:r>
          </w:p>
        </w:tc>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CAT adaptive delivery engine</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UC-001, UC-002</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5–6</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FR-EXP-001–007</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Designing Experiments vertical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UC-003</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20–21</w:t>
            </w:r>
          </w:p>
        </w:tc>
      </w:tr>
      <w:tr>
        <w:tc>
          <w:tcPr>
            <w:tcW w:type="dxa" w:w="1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FR-PROCT-001–007</w:t>
            </w:r>
          </w:p>
        </w:tc>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Proctoring</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UC-002</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9–12</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FR-REP-001–010</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 generation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UC-001, UC-002, UC-003</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6, 17, 21</w:t>
            </w:r>
          </w:p>
        </w:tc>
      </w:tr>
      <w:tr>
        <w:tc>
          <w:tcPr>
            <w:tcW w:type="dxa" w:w="1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FR-SURV-001–007</w:t>
            </w:r>
          </w:p>
        </w:tc>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BodhSurvey</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Supports UC-001, UC-002</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13–15</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FR-LENS-001–006</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analytics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Supports all UCs</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15–17</w:t>
            </w:r>
          </w:p>
        </w:tc>
      </w:tr>
      <w:tr>
        <w:tc>
          <w:tcPr>
            <w:tcW w:type="dxa" w:w="1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FR-DPDP-001–007</w:t>
            </w:r>
          </w:p>
        </w:tc>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 compliance</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UCs — data privacy</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3, 7, 18</w:t>
            </w:r>
          </w:p>
        </w:tc>
      </w:tr>
    </w:tbl>
    <w:p>
      <w:pPr>
        <w:spacing w:before="120" w:after="0"/>
      </w:pPr>
      <w:r>
        <w:t xml:space="preserve"/>
      </w:r>
    </w:p>
    <w:p>
      <w:pPr>
        <w:pStyle w:val="Heading1"/>
      </w:pPr>
      <w:r>
        <w:rPr>
          <w:rFonts w:ascii="Arial" w:cs="Arial" w:eastAsia="Arial" w:hAnsi="Arial"/>
          <w:b/>
          <w:bCs/>
          <w:color w:val="3C3489"/>
          <w:sz w:val="36"/>
          <w:szCs w:val="36"/>
        </w:rPr>
        <w:t xml:space="preserve">7.2  FR to NFR Dependency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Functional Req</w:t>
            </w:r>
          </w:p>
        </w:tc>
        <w:tc>
          <w:tcPr>
            <w:tcW w:type="dxa" w:w="2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Depends on NFR</w:t>
            </w:r>
          </w:p>
        </w:tc>
        <w:tc>
          <w:tcPr>
            <w:tcW w:type="dxa" w:w="48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Dependency Explanation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FR-CAT-001–006 (CAT engine)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NFR-PERF-002, NFR-PERF-008</w:t>
            </w:r>
          </w:p>
        </w:tc>
        <w:tc>
          <w:tcPr>
            <w:tcW w:type="dxa" w:w="4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CAT must deliver next item within 300ms. Theta computation must complete in &lt;50ms to meet overall latency target.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FR-REP-001 (report generation)</w:t>
            </w:r>
          </w:p>
        </w:tc>
        <w:tc>
          <w:tcPr>
            <w:tcW w:type="dxa" w:w="2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NFR-PERF-003</w:t>
            </w:r>
          </w:p>
        </w:tc>
        <w:tc>
          <w:tcPr>
            <w:tcW w:type="dxa" w:w="4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Reports must generate within 30 seconds. Dependent on wkhtmltopdf performance and Claude API latency for Tier 5.</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FR-PROCT-003 (client-side proctoring)</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NFR-PERF-007, NFR-AVAIL-005</w:t>
            </w:r>
          </w:p>
        </w:tc>
        <w:tc>
          <w:tcPr>
            <w:tcW w:type="dxa" w:w="4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must run at 5fps on minimum-spec devices. Must degrade gracefully if GPU inference unavailable.</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FR-DPDP-004 (erasure pipeline)</w:t>
            </w:r>
          </w:p>
        </w:tc>
        <w:tc>
          <w:tcPr>
            <w:tcW w:type="dxa" w:w="2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NFR-AVAIL-003</w:t>
            </w:r>
          </w:p>
        </w:tc>
        <w:tc>
          <w:tcPr>
            <w:tcW w:type="dxa" w:w="4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Erasure pipeline spans all 5 data systems. BOM1 failover must not interrupt in-flight erasure jobs.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FR-SURV-003 (WhatsApp delivery)</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NFR-AVAIL-005</w:t>
            </w:r>
          </w:p>
        </w:tc>
        <w:tc>
          <w:tcPr>
            <w:tcW w:type="dxa" w:w="4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WhatsApp delivery must fail gracefully to SMS/email if Gupshup unavailable.</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FR-LENS-004 (cross-product queries)</w:t>
            </w:r>
          </w:p>
        </w:tc>
        <w:tc>
          <w:tcPr>
            <w:tcW w:type="dxa" w:w="2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NFR-PERF-004, NFR-SCALE-001</w:t>
            </w:r>
          </w:p>
        </w:tc>
        <w:tc>
          <w:tcPr>
            <w:tcW w:type="dxa" w:w="4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Cross-product JOINs are heavier than single-product queries. Must still complete within 10 seconds at 5,000 concurrent sessions.</w:t>
            </w:r>
          </w:p>
        </w:tc>
      </w:tr>
    </w:tbl>
    <w:p>
      <w:pPr>
        <w:spacing w:before="120" w:after="0"/>
      </w:pPr>
      <w:r>
        <w:t xml:space="preserve"/>
      </w:r>
    </w:p>
    <w:p>
      <w:pPr>
        <w:pStyle w:val="Heading1"/>
      </w:pPr>
      <w:r>
        <w:rPr>
          <w:rFonts w:ascii="Arial" w:cs="Arial" w:eastAsia="Arial" w:hAnsi="Arial"/>
          <w:b/>
          <w:bCs/>
          <w:color w:val="3C3489"/>
          <w:sz w:val="36"/>
          <w:szCs w:val="36"/>
        </w:rPr>
        <w:t xml:space="preserve">7.3  Change Control</w:t>
      </w:r>
    </w:p>
    <w:p>
      <w:pPr>
        <w:spacing w:before="80" w:after="0"/>
      </w:pPr>
      <w:r>
        <w:t xml:space="preserve"/>
      </w:r>
    </w:p>
    <w:p>
      <w:pPr>
        <w:spacing w:before="0" w:after="100"/>
      </w:pPr>
      <w:r>
        <w:rPr>
          <w:rFonts w:ascii="Arial" w:cs="Arial" w:eastAsia="Arial" w:hAnsi="Arial"/>
          <w:color w:val="1C1C1A"/>
          <w:sz w:val="20"/>
          <w:szCs w:val="20"/>
        </w:rPr>
        <w:t xml:space="preserve">Any change to requirements documented in this SRS requires the following process:</w:t>
      </w:r>
    </w:p>
    <w:p>
      <w:pPr>
        <w:spacing w:before="60" w:after="0"/>
      </w:pPr>
      <w:r>
        <w:t xml:space="preserve"/>
      </w:r>
    </w:p>
    <w:p>
      <w:pPr>
        <w:pStyle w:val="ListParagraph"/>
        <w:numPr>
          <w:ilvl w:val="0"/>
          <w:numId w:val="3"/>
        </w:numPr>
        <w:spacing w:before="50" w:after="50"/>
      </w:pPr>
      <w:r>
        <w:rPr>
          <w:rFonts w:ascii="Arial" w:cs="Arial" w:eastAsia="Arial" w:hAnsi="Arial"/>
          <w:color w:val="1C1C1A"/>
          <w:sz w:val="19"/>
          <w:szCs w:val="19"/>
        </w:rPr>
        <w:t xml:space="preserve">Change requester submits a Change Request (CR) via Jira, describing: (a) the requirement being changed, (b) the proposed change, (c) the reason, and (d) the impact on sprint plan.</w:t>
      </w:r>
    </w:p>
    <w:p>
      <w:pPr>
        <w:pStyle w:val="ListParagraph"/>
        <w:numPr>
          <w:ilvl w:val="0"/>
          <w:numId w:val="3"/>
        </w:numPr>
        <w:spacing w:before="50" w:after="50"/>
      </w:pPr>
      <w:r>
        <w:rPr>
          <w:rFonts w:ascii="Arial" w:cs="Arial" w:eastAsia="Arial" w:hAnsi="Arial"/>
          <w:color w:val="1C1C1A"/>
          <w:sz w:val="19"/>
          <w:szCs w:val="19"/>
        </w:rPr>
        <w:t xml:space="preserve">Product Manager reviews the CR and assigns a priority (P1/P2/P3).</w:t>
      </w:r>
    </w:p>
    <w:p>
      <w:pPr>
        <w:pStyle w:val="ListParagraph"/>
        <w:numPr>
          <w:ilvl w:val="0"/>
          <w:numId w:val="3"/>
        </w:numPr>
        <w:spacing w:before="50" w:after="50"/>
      </w:pPr>
      <w:r>
        <w:rPr>
          <w:rFonts w:ascii="Arial" w:cs="Arial" w:eastAsia="Arial" w:hAnsi="Arial"/>
          <w:color w:val="1C1C1A"/>
          <w:sz w:val="19"/>
          <w:szCs w:val="19"/>
        </w:rPr>
        <w:t xml:space="preserve">Affected Tech Lead(s) assess the implementation impact and estimate effort.</w:t>
      </w:r>
    </w:p>
    <w:p>
      <w:pPr>
        <w:pStyle w:val="ListParagraph"/>
        <w:numPr>
          <w:ilvl w:val="0"/>
          <w:numId w:val="3"/>
        </w:numPr>
        <w:spacing w:before="50" w:after="50"/>
      </w:pPr>
      <w:r>
        <w:rPr>
          <w:rFonts w:ascii="Arial" w:cs="Arial" w:eastAsia="Arial" w:hAnsi="Arial"/>
          <w:color w:val="1C1C1A"/>
          <w:sz w:val="19"/>
          <w:szCs w:val="19"/>
        </w:rPr>
        <w:t xml:space="preserve">If the change affects Phase 1 launch scope, it requires CTO approval.</w:t>
      </w:r>
    </w:p>
    <w:p>
      <w:pPr>
        <w:pStyle w:val="ListParagraph"/>
        <w:numPr>
          <w:ilvl w:val="0"/>
          <w:numId w:val="3"/>
        </w:numPr>
        <w:spacing w:before="50" w:after="50"/>
      </w:pPr>
      <w:r>
        <w:rPr>
          <w:rFonts w:ascii="Arial" w:cs="Arial" w:eastAsia="Arial" w:hAnsi="Arial"/>
          <w:color w:val="1C1C1A"/>
          <w:sz w:val="19"/>
          <w:szCs w:val="19"/>
        </w:rPr>
        <w:t xml:space="preserve">Approved CRs result in: (a) this SRS document updated, (b) version number incremented, (c) sprint plan adjusted, (d) affected test cases updated.</w:t>
      </w:r>
    </w:p>
    <w:p>
      <w:pPr>
        <w:pStyle w:val="ListParagraph"/>
        <w:numPr>
          <w:ilvl w:val="0"/>
          <w:numId w:val="3"/>
        </w:numPr>
        <w:spacing w:before="50" w:after="50"/>
      </w:pPr>
      <w:r>
        <w:rPr>
          <w:rFonts w:ascii="Arial" w:cs="Arial" w:eastAsia="Arial" w:hAnsi="Arial"/>
          <w:color w:val="1C1C1A"/>
          <w:sz w:val="19"/>
          <w:szCs w:val="19"/>
        </w:rPr>
        <w:t xml:space="preserve">No requirement change may be implemented without a corresponding approved CR. Engineers who discover requirement ambiguity during implementation raise a CR before proceeding.</w:t>
      </w:r>
    </w:p>
    <w:p>
      <w:pPr>
        <w:spacing w:before="120" w:after="0"/>
      </w:pPr>
      <w:r>
        <w:t xml:space="preserve"/>
      </w:r>
    </w:p>
    <w:p>
      <w:pPr>
        <w:pStyle w:val="Heading1"/>
      </w:pPr>
      <w:r>
        <w:rPr>
          <w:rFonts w:ascii="Arial" w:cs="Arial" w:eastAsia="Arial" w:hAnsi="Arial"/>
          <w:b/>
          <w:bCs/>
          <w:color w:val="3C3489"/>
          <w:sz w:val="36"/>
          <w:szCs w:val="36"/>
        </w:rPr>
        <w:t xml:space="preserve">7.4  Document Version History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226"/>
      </w:tblGrid>
      <w:tr>
        <w:trPr>
          <w:tblHeader/>
        </w:trPr>
        <w:tc>
          <w:tcPr>
            <w:tcW w:type="dxa" w:w="8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6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4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4226"/>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January 2026</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Engineering Leadership</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Initial SRS — all Phase 1 requirements. IEEE 830 compliant.</w:t>
            </w:r>
          </w:p>
        </w:tc>
      </w:tr>
      <w:tr>
        <w:tc>
          <w:tcPr>
            <w:tcW w:type="dxa" w:w="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1.1</w:t>
            </w:r>
          </w:p>
        </w:tc>
        <w:tc>
          <w:tcPr>
            <w:tcW w:type="dxa" w:w="16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March 2026 (planned)</w:t>
            </w:r>
          </w:p>
        </w:tc>
        <w:tc>
          <w:tcPr>
            <w:tcW w:type="dxa" w:w="24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Product + Engineering</w:t>
            </w:r>
          </w:p>
        </w:tc>
        <w:tc>
          <w:tcPr>
            <w:tcW w:type="dxa" w:w="42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6 review update — refinements based on Milestone 1 learnings.</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1.2</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May 2026 (planned)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Product + Engineering</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Sprint 12 review update — proctoring and experimental paradigm refinements.</w:t>
            </w:r>
          </w:p>
        </w:tc>
      </w:tr>
      <w:tr>
        <w:tc>
          <w:tcPr>
            <w:tcW w:type="dxa" w:w="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2.0</w:t>
            </w:r>
          </w:p>
        </w:tc>
        <w:tc>
          <w:tcPr>
            <w:tcW w:type="dxa" w:w="16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July 2026 (planned)</w:t>
            </w:r>
          </w:p>
        </w:tc>
        <w:tc>
          <w:tcPr>
            <w:tcW w:type="dxa" w:w="24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Product + Engineering</w:t>
            </w:r>
          </w:p>
        </w:tc>
        <w:tc>
          <w:tcPr>
            <w:tcW w:type="dxa" w:w="42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Phase 2 SRS — BodhLearn, BodhGrow, BodhPeople requirements.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tabs>
        <w:tab w:val="right" w:pos="9026"/>
      </w:tabs>
      <w:spacing w:before="80" w:after="0"/>
    </w:pPr>
    <w:r>
      <w:rPr>
        <w:rFonts w:ascii="Arial" w:cs="Arial" w:eastAsia="Arial" w:hAnsi="Arial"/>
        <w:color w:val="666666"/>
        <w:sz w:val="16"/>
        <w:szCs w:val="16"/>
      </w:rPr>
      <w:t xml:space="preserve">bodh.biz  ·  IEEE 830 / ISO 29148 Compliant  ·  Approved for Development</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489" w:sz="4" w:space="1"/>
      </w:pBdr>
      <w:spacing w:before="0" w:after="80"/>
    </w:pPr>
    <w:r>
      <w:rPr>
        <w:rFonts w:ascii="Arial" w:cs="Arial" w:eastAsia="Arial" w:hAnsi="Arial"/>
        <w:b/>
        <w:bCs/>
        <w:color w:val="3C3489"/>
        <w:sz w:val="17"/>
        <w:szCs w:val="17"/>
      </w:rPr>
      <w:t xml:space="preserve">Bodh Psychometric Solutions — BodhAssess SRS  |  BODH-SRS-001  |  v1.0</w:t>
    </w:r>
    <w:r>
      <w:rPr>
        <w:rFonts w:ascii="Arial" w:cs="Arial" w:eastAsia="Arial" w:hAnsi="Arial"/>
        <w:color w:val="666666"/>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lvl>
  </w:abstractNum>
  <w:abstractNum w:abstractNumId="3" w15:restartNumberingAfterBreak="0">
    <w:multiLevelType w:val="hybridMultilevel"/>
    <w:lvl w:ilvl="0" w15:tentative="1">
      <w:start w:val="1"/>
      <w:numFmt w:val="decimal"/>
      <w:lvlText w:val="%1."/>
      <w:lvlJc w:val="left"/>
      <w:pPr>
        <w:spacing w:before="50" w:after="5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3C348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0F6E5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C3489"/>
      <w:sz w:val="24"/>
      <w:szCs w:val="24"/>
    </w:rPr>
  </w:style>
  <w:style w:type="paragraph" w:styleId="Heading4">
    <w:name w:val="Heading 4"/>
    <w:basedOn w:val="Normal"/>
    <w:next w:val="Normal"/>
    <w:qFormat/>
    <w:pPr>
      <w:spacing w:before="120" w:after="60"/>
      <w:outlineLvl w:val="3"/>
    </w:pPr>
    <w:rPr>
      <w:rFonts w:ascii="Arial" w:cs="Arial" w:eastAsia="Arial" w:hAnsi="Arial"/>
      <w:b/>
      <w:bCs/>
      <w:color w:val="854F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2026-04-06T08:00:34.386Z</dcterms:created>
  <dcterms:modified xsi:type="dcterms:W3CDTF">2026-04-06T08:00:34.387Z</dcterms:modified>
</cp:coreProperties>
</file>

<file path=docProps/custom.xml><?xml version="1.0" encoding="utf-8"?>
<Properties xmlns="http://schemas.openxmlformats.org/officeDocument/2006/custom-properties" xmlns:vt="http://schemas.openxmlformats.org/officeDocument/2006/docPropsVTypes"/>
</file>