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54F0B" w:sz="8"/>
              <w:left w:val="single" w:color="3C3489" w:sz="8"/>
              <w:bottom w:val="single" w:color="854F0B" w:sz="8"/>
              <w:right w:val="single" w:color="3C3489" w:sz="8"/>
            </w:tcBorders>
            <w:shd w:fill="3C3489" w:val="clear"/>
            <w:tcMar>
              <w:top w:type="dxa" w:w="480"/>
              <w:left w:type="dxa" w:w="480"/>
              <w:bottom w:type="dxa" w:w="480"/>
              <w:right w:type="dxa" w:w="480"/>
            </w:tcMar>
          </w:tcPr>
          <w:p>
            <w:pPr>
              <w:spacing w:before="0" w:after="80"/>
              <w:jc w:val="center"/>
            </w:pPr>
            <w:r>
              <w:rPr>
                <w:rFonts w:ascii="Arial" w:cs="Arial" w:eastAsia="Arial" w:hAnsi="Arial"/>
                <w:b/>
                <w:bCs/>
                <w:color w:val="CECBF6"/>
                <w:sz w:val="28"/>
                <w:szCs w:val="28"/>
              </w:rPr>
              <w:t xml:space="preserve">BODH PSYCHOMETRIC SOLUTIONS</w:t>
            </w:r>
          </w:p>
          <w:p>
            <w:pPr>
              <w:spacing w:before="0" w:after="60"/>
              <w:jc w:val="center"/>
            </w:pPr>
            <w:r>
              <w:rPr>
                <w:rFonts w:ascii="Arial" w:cs="Arial" w:eastAsia="Arial" w:hAnsi="Arial"/>
                <w:b/>
                <w:bCs/>
                <w:color w:val="FFFFFF"/>
                <w:sz w:val="72"/>
                <w:szCs w:val="72"/>
              </w:rPr>
              <w:t xml:space="preserve">BodhAssess</w:t>
            </w:r>
          </w:p>
          <w:p>
            <w:pPr>
              <w:spacing w:before="0" w:after="120"/>
              <w:jc w:val="center"/>
            </w:pPr>
            <w:r>
              <w:rPr>
                <w:rFonts w:ascii="Arial" w:cs="Arial" w:eastAsia="Arial" w:hAnsi="Arial"/>
                <w:color w:val="AFA9EC"/>
                <w:sz w:val="28"/>
                <w:szCs w:val="28"/>
              </w:rPr>
              <w:t xml:space="preserve">Complete Product Specification</w:t>
            </w:r>
          </w:p>
          <w:p>
            <w:pPr>
              <w:spacing w:before="0" w:after="80"/>
              <w:jc w:val="center"/>
            </w:pPr>
            <w:r>
              <w:rPr>
                <w:rFonts w:ascii="Arial" w:cs="Arial" w:eastAsia="Arial" w:hAnsi="Arial"/>
                <w:color w:val="7F77DD"/>
                <w:sz w:val="18"/>
                <w:szCs w:val="18"/>
              </w:rPr>
              <w:t xml:space="preserve">Phase 1  ·  Version 1.0  ·  2026</w:t>
            </w:r>
          </w:p>
        </w:tc>
      </w:tr>
    </w:tbl>
    <w:p>
      <w:pPr>
        <w:spacing w:before="3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0F6E56" w:sz="4"/>
              <w:left w:val="single" w:color="0F6E56" w:sz="4"/>
              <w:bottom w:val="single" w:color="0F6E56" w:sz="4"/>
              <w:right w:val="single" w:color="0F6E56" w:sz="4"/>
            </w:tcBorders>
            <w:shd w:fill="0F6E56"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Clinical Psychology</w:t>
            </w:r>
          </w:p>
        </w:tc>
        <w:tc>
          <w:tcPr>
            <w:tcW w:type="dxa" w:w="3008"/>
            <w:tcBorders>
              <w:top w:val="single" w:color="3C3489" w:sz="4"/>
              <w:left w:val="single" w:color="3C3489" w:sz="4"/>
              <w:bottom w:val="single" w:color="3C3489" w:sz="4"/>
              <w:right w:val="single" w:color="3C3489" w:sz="4"/>
            </w:tcBorders>
            <w:shd w:fill="3C3489"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Industrial Psychology</w:t>
            </w:r>
          </w:p>
        </w:tc>
        <w:tc>
          <w:tcPr>
            <w:tcW w:type="dxa" w:w="3008"/>
            <w:tcBorders>
              <w:top w:val="single" w:color="993C1D" w:sz="4"/>
              <w:left w:val="single" w:color="993C1D" w:sz="4"/>
              <w:bottom w:val="single" w:color="993C1D" w:sz="4"/>
              <w:right w:val="single" w:color="993C1D" w:sz="4"/>
            </w:tcBorders>
            <w:shd w:fill="993C1D"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Counselling &amp; Child</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54F0B" w:sz="6"/>
              <w:left w:val="single" w:color="854F0B" w:sz="6"/>
              <w:bottom w:val="single" w:color="854F0B" w:sz="6"/>
              <w:right w:val="single" w:color="854F0B" w:sz="6"/>
            </w:tcBorders>
            <w:shd w:fill="FAEEDA" w:val="clear"/>
            <w:tcMar>
              <w:top w:type="dxa" w:w="120"/>
              <w:left w:type="dxa" w:w="240"/>
              <w:bottom w:type="dxa" w:w="120"/>
              <w:right w:type="dxa" w:w="240"/>
            </w:tcMar>
          </w:tcPr>
          <w:p>
            <w:pPr>
              <w:jc w:val="center"/>
            </w:pPr>
            <w:r>
              <w:rPr>
                <w:rFonts w:ascii="Arial" w:cs="Arial" w:eastAsia="Arial" w:hAnsi="Arial"/>
                <w:color w:val="854F0B"/>
                <w:sz w:val="19"/>
                <w:szCs w:val="19"/>
              </w:rPr>
              <w:t xml:space="preserve">Understanding Humans Through the Lens of AI  ·  Understanding AI Through the Lens of Human Beings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1 — BodhAssess Product Overview</w:t>
            </w:r>
          </w:p>
        </w:tc>
      </w:tr>
    </w:tbl>
    <w:p>
      <w:pPr>
        <w:spacing w:before="160" w:after="0"/>
      </w:pPr>
      <w:r>
        <w:t xml:space="preserve"/>
      </w:r>
    </w:p>
    <w:p>
      <w:pPr>
        <w:pStyle w:val="Heading1"/>
      </w:pPr>
      <w:r>
        <w:rPr>
          <w:rFonts w:ascii="Arial" w:cs="Arial" w:eastAsia="Arial" w:hAnsi="Arial"/>
          <w:b/>
          <w:bCs/>
          <w:color w:val="3C3489"/>
          <w:sz w:val="36"/>
          <w:szCs w:val="36"/>
        </w:rPr>
        <w:t xml:space="preserve">1.1  What is BodhAssess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80"/>
              <w:left w:type="dxa" w:w="180"/>
              <w:bottom w:type="dxa" w:w="60"/>
              <w:right w:type="dxa" w:w="180"/>
            </w:tcMar>
          </w:tcPr>
          <w:p>
            <w:r>
              <w:rPr>
                <w:rFonts w:ascii="Arial" w:cs="Arial" w:eastAsia="Arial" w:hAnsi="Arial"/>
                <w:b/>
                <w:bCs/>
                <w:color w:val="FFFFFF"/>
                <w:sz w:val="18"/>
                <w:szCs w:val="18"/>
              </w:rPr>
              <w:t xml:space="preserve">PRODUCT DEFINITION</w:t>
            </w:r>
          </w:p>
        </w:tc>
      </w:tr>
      <w:tr>
        <w:tc>
          <w:tcPr>
            <w:tcBorders>
              <w:top w:val="single" w:color="3C3489" w:sz="4"/>
              <w:left w:val="single" w:color="3C3489" w:sz="8"/>
              <w:bottom w:val="single" w:color="3C3489" w:sz="4"/>
              <w:right w:val="single" w:color="3C3489" w:sz="4"/>
            </w:tcBorders>
            <w:shd w:fill="EEEDF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BodhAssess is the assessment delivery and instrument management engine at the core of the Bodh platform. It is the product through which all psychometric instruments — clinical screening tools, industrial competency assessments, and counselling instruments — are created, calibrated, delivered, scored, and reported. Every other Bodh product either feeds into BodhAssess or is powered by it. It is the first product to launch in Phase 1 and the primary revenue driver in the first 12 months of operation.</w:t>
            </w:r>
          </w:p>
        </w:tc>
      </w:tr>
    </w:tbl>
    <w:p>
      <w:pPr>
        <w:spacing w:before="120" w:after="0"/>
      </w:pPr>
      <w:r>
        <w:t xml:space="preserve"/>
      </w:r>
    </w:p>
    <w:p>
      <w:pPr>
        <w:spacing w:before="0" w:after="100"/>
      </w:pPr>
      <w:r>
        <w:rPr>
          <w:rFonts w:ascii="Arial" w:cs="Arial" w:eastAsia="Arial" w:hAnsi="Arial"/>
          <w:color w:val="1C1C1A"/>
          <w:sz w:val="20"/>
          <w:szCs w:val="20"/>
        </w:rPr>
        <w:t xml:space="preserve">BodhAssess sits at the top of the platform architecture — it is the user's first point of contact with Bodh. On login, a practitioner selects their vertical (Clinical Psychology, Industrial Psychology, or Counselling and Child Psychology) and the entire product experience adapts: instrument library, terminology, report templates, workflows, and default tier access all reflect the practitioner's professional context.</w:t>
      </w:r>
    </w:p>
    <w:p>
      <w:pPr>
        <w:spacing w:before="80" w:after="0"/>
      </w:pPr>
      <w:r>
        <w:t xml:space="preserve"/>
      </w:r>
    </w:p>
    <w:p>
      <w:pPr>
        <w:spacing w:before="0" w:after="100"/>
      </w:pPr>
      <w:r>
        <w:rPr>
          <w:rFonts w:ascii="Arial" w:cs="Arial" w:eastAsia="Arial" w:hAnsi="Arial"/>
          <w:color w:val="1C1C1A"/>
          <w:sz w:val="20"/>
          <w:szCs w:val="20"/>
        </w:rPr>
        <w:t xml:space="preserve">The same underlying assessment engine powers all three verticals. A clinical psychologist administering a GAD-7 and an HR manager administering an AI Adaptability Index are both using the BodhAssess CAT engine, the BodhAssess question bank, the BodhAssess scoring pipeline, and the BodhAssess report generator — the difference is entirely in the instrument, the norms, the terminology, and the report format presented to each user.</w:t>
      </w:r>
    </w:p>
    <w:p>
      <w:pPr>
        <w:spacing w:before="120" w:after="0"/>
      </w:pPr>
      <w:r>
        <w:t xml:space="preserve"/>
      </w:r>
    </w:p>
    <w:p>
      <w:pPr>
        <w:pStyle w:val="Heading2"/>
      </w:pPr>
      <w:r>
        <w:rPr>
          <w:rFonts w:ascii="Arial" w:cs="Arial" w:eastAsia="Arial" w:hAnsi="Arial"/>
          <w:b/>
          <w:bCs/>
          <w:color w:val="0F6E56"/>
          <w:sz w:val="28"/>
          <w:szCs w:val="28"/>
        </w:rPr>
        <w:t xml:space="preserve">1.2  Platform Position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8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BodhAssess Role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Products (Layer 1)</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is the entry product for all three verticals in Phase 1. It is the product users interact with.</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Verticals (Layer 2)</w:t>
            </w:r>
          </w:p>
        </w:tc>
        <w:tc>
          <w:tcPr>
            <w:tcW w:type="dxa" w:w="68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Adapts to Clinical, Industrial, or Counselling context — instrument library, language, terminology, report format all change per vertical.</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Tiers (Layer 3)</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five access tiers are available within BodhAssess: T1 (run library instruments) through T5 (full AI integration).</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Platform Capabilities (Layer 4)</w:t>
            </w:r>
          </w:p>
        </w:tc>
        <w:tc>
          <w:tcPr>
            <w:tcW w:type="dxa" w:w="68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Proctoring (BodhProctor), BodhLens analytics, DPDP compliance, and AI scoring (BodhScore) are all built into BodhAssess by default.</w:t>
            </w:r>
          </w:p>
        </w:tc>
      </w:tr>
    </w:tbl>
    <w:p>
      <w:pPr>
        <w:spacing w:before="120" w:after="0"/>
      </w:pPr>
      <w:r>
        <w:t xml:space="preserve"/>
      </w:r>
    </w:p>
    <w:p>
      <w:pPr>
        <w:pStyle w:val="Heading2"/>
      </w:pPr>
      <w:r>
        <w:rPr>
          <w:rFonts w:ascii="Arial" w:cs="Arial" w:eastAsia="Arial" w:hAnsi="Arial"/>
          <w:b/>
          <w:bCs/>
          <w:color w:val="0F6E56"/>
          <w:sz w:val="28"/>
          <w:szCs w:val="28"/>
        </w:rPr>
        <w:t xml:space="preserve">1.3  Phase 1 Scope</w:t>
      </w:r>
    </w:p>
    <w:p>
      <w:pPr>
        <w:spacing w:before="80" w:after="0"/>
      </w:pPr>
      <w:r>
        <w:t xml:space="preserve"/>
      </w:r>
    </w:p>
    <w:p>
      <w:pPr>
        <w:spacing w:before="0" w:after="100"/>
      </w:pPr>
      <w:r>
        <w:rPr>
          <w:rFonts w:ascii="Arial" w:cs="Arial" w:eastAsia="Arial" w:hAnsi="Arial"/>
          <w:color w:val="1C1C1A"/>
          <w:sz w:val="20"/>
          <w:szCs w:val="20"/>
        </w:rPr>
        <w:t xml:space="preserve">In Phase 1 (Months 1–6), BodhAssess V1 delivers the following:</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Full question bank and IRT-calibrated item management system across all three verticals</w:t>
      </w:r>
    </w:p>
    <w:p>
      <w:pPr>
        <w:pStyle w:val="ListParagraph"/>
        <w:numPr>
          <w:ilvl w:val="0"/>
          <w:numId w:val="2"/>
        </w:numPr>
        <w:spacing w:before="50" w:after="50"/>
      </w:pPr>
      <w:r>
        <w:rPr>
          <w:rFonts w:ascii="Arial" w:cs="Arial" w:eastAsia="Arial" w:hAnsi="Arial"/>
          <w:color w:val="1C1C1A"/>
          <w:sz w:val="19"/>
          <w:szCs w:val="19"/>
        </w:rPr>
        <w:t xml:space="preserve">Computerised Adaptive Testing (CAT) engine using 3-parameter logistic IRT model</w:t>
      </w:r>
    </w:p>
    <w:p>
      <w:pPr>
        <w:pStyle w:val="ListParagraph"/>
        <w:numPr>
          <w:ilvl w:val="0"/>
          <w:numId w:val="2"/>
        </w:numPr>
        <w:spacing w:before="50" w:after="50"/>
      </w:pPr>
      <w:r>
        <w:rPr>
          <w:rFonts w:ascii="Arial" w:cs="Arial" w:eastAsia="Arial" w:hAnsi="Arial"/>
          <w:color w:val="1C1C1A"/>
          <w:sz w:val="19"/>
          <w:szCs w:val="19"/>
        </w:rPr>
        <w:t xml:space="preserve">18 question types including clinical instruments, psychometric scales, non-verbal items, and situational judgment</w:t>
      </w:r>
    </w:p>
    <w:p>
      <w:pPr>
        <w:pStyle w:val="ListParagraph"/>
        <w:numPr>
          <w:ilvl w:val="0"/>
          <w:numId w:val="2"/>
        </w:numPr>
        <w:spacing w:before="50" w:after="50"/>
      </w:pPr>
      <w:r>
        <w:rPr>
          <w:rFonts w:ascii="Arial" w:cs="Arial" w:eastAsia="Arial" w:hAnsi="Arial"/>
          <w:color w:val="1C1C1A"/>
          <w:sz w:val="19"/>
          <w:szCs w:val="19"/>
        </w:rPr>
        <w:t xml:space="preserve">Clinical instrument library with Indian population norms: PHQ-9, GAD-7, DASS-21, Beck Depression Inventory-II, Beck Anxiety Inventory, PCL-5, AUDIT</w:t>
      </w:r>
    </w:p>
    <w:p>
      <w:pPr>
        <w:pStyle w:val="ListParagraph"/>
        <w:numPr>
          <w:ilvl w:val="0"/>
          <w:numId w:val="2"/>
        </w:numPr>
        <w:spacing w:before="50" w:after="50"/>
      </w:pPr>
      <w:r>
        <w:rPr>
          <w:rFonts w:ascii="Arial" w:cs="Arial" w:eastAsia="Arial" w:hAnsi="Arial"/>
          <w:color w:val="1C1C1A"/>
          <w:sz w:val="19"/>
          <w:szCs w:val="19"/>
        </w:rPr>
        <w:t xml:space="preserve">Industrial instrument library: Big Five personality, learning agility, aptitude, situational judgment tests, AI Adaptability Index (7 dimensions)</w:t>
      </w:r>
    </w:p>
    <w:p>
      <w:pPr>
        <w:pStyle w:val="ListParagraph"/>
        <w:numPr>
          <w:ilvl w:val="0"/>
          <w:numId w:val="2"/>
        </w:numPr>
        <w:spacing w:before="50" w:after="50"/>
      </w:pPr>
      <w:r>
        <w:rPr>
          <w:rFonts w:ascii="Arial" w:cs="Arial" w:eastAsia="Arial" w:hAnsi="Arial"/>
          <w:color w:val="1C1C1A"/>
          <w:sz w:val="19"/>
          <w:szCs w:val="19"/>
        </w:rPr>
        <w:t xml:space="preserve">Counselling and Child library: age-normed developmental tools, child anxiety and depression screens, parent and teacher secondary-report instruments</w:t>
      </w:r>
    </w:p>
    <w:p>
      <w:pPr>
        <w:pStyle w:val="ListParagraph"/>
        <w:numPr>
          <w:ilvl w:val="0"/>
          <w:numId w:val="2"/>
        </w:numPr>
        <w:spacing w:before="50" w:after="50"/>
      </w:pPr>
      <w:r>
        <w:rPr>
          <w:rFonts w:ascii="Arial" w:cs="Arial" w:eastAsia="Arial" w:hAnsi="Arial"/>
          <w:color w:val="1C1C1A"/>
          <w:sz w:val="19"/>
          <w:szCs w:val="19"/>
        </w:rPr>
        <w:t xml:space="preserve">Full report generation engine with vertical-specific formats — detailed in Section 4</w:t>
      </w:r>
    </w:p>
    <w:p>
      <w:pPr>
        <w:pStyle w:val="ListParagraph"/>
        <w:numPr>
          <w:ilvl w:val="0"/>
          <w:numId w:val="2"/>
        </w:numPr>
        <w:spacing w:before="50" w:after="50"/>
      </w:pPr>
      <w:r>
        <w:rPr>
          <w:rFonts w:ascii="Arial" w:cs="Arial" w:eastAsia="Arial" w:hAnsi="Arial"/>
          <w:color w:val="1C1C1A"/>
          <w:sz w:val="19"/>
          <w:szCs w:val="19"/>
        </w:rPr>
        <w:t xml:space="preserve">AI Proctoring capability integrated — YOLOv8-nano, MediaPipe, Trust Score, Secure Browser — detailed in Section 5</w:t>
      </w:r>
    </w:p>
    <w:p>
      <w:pPr>
        <w:pStyle w:val="ListParagraph"/>
        <w:numPr>
          <w:ilvl w:val="0"/>
          <w:numId w:val="2"/>
        </w:numPr>
        <w:spacing w:before="50" w:after="50"/>
      </w:pPr>
      <w:r>
        <w:rPr>
          <w:rFonts w:ascii="Arial" w:cs="Arial" w:eastAsia="Arial" w:hAnsi="Arial"/>
          <w:color w:val="1C1C1A"/>
          <w:sz w:val="19"/>
          <w:szCs w:val="19"/>
        </w:rPr>
        <w:t xml:space="preserve">BodhLens analytics built into every dashboard — detailed in Section 6</w:t>
      </w:r>
    </w:p>
    <w:p>
      <w:pPr>
        <w:pStyle w:val="ListParagraph"/>
        <w:numPr>
          <w:ilvl w:val="0"/>
          <w:numId w:val="2"/>
        </w:numPr>
        <w:spacing w:before="50" w:after="50"/>
      </w:pPr>
      <w:r>
        <w:rPr>
          <w:rFonts w:ascii="Arial" w:cs="Arial" w:eastAsia="Arial" w:hAnsi="Arial"/>
          <w:color w:val="1C1C1A"/>
          <w:sz w:val="19"/>
          <w:szCs w:val="19"/>
        </w:rPr>
        <w:t xml:space="preserve">DPDP compliance layer across all data collection and storage — detailed in Section 7</w:t>
      </w:r>
    </w:p>
    <w:p>
      <w:pPr>
        <w:pStyle w:val="ListParagraph"/>
        <w:numPr>
          <w:ilvl w:val="0"/>
          <w:numId w:val="2"/>
        </w:numPr>
        <w:spacing w:before="50" w:after="50"/>
      </w:pPr>
      <w:r>
        <w:rPr>
          <w:rFonts w:ascii="Arial" w:cs="Arial" w:eastAsia="Arial" w:hAnsi="Arial"/>
          <w:color w:val="1C1C1A"/>
          <w:sz w:val="19"/>
          <w:szCs w:val="19"/>
        </w:rPr>
        <w:t xml:space="preserve">Tier 1, 2, and 3 access model live at launch. Tier 4 (standardisation partnership) workflow live at Month 3. Tier 5 (full AI) at Month 4.</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2 — BodhAssess Across Four Verticals</w:t>
            </w:r>
          </w:p>
        </w:tc>
      </w:tr>
    </w:tbl>
    <w:p>
      <w:pPr>
        <w:spacing w:before="160" w:after="0"/>
      </w:pPr>
      <w:r>
        <w:t xml:space="preserve"/>
      </w:r>
    </w:p>
    <w:p>
      <w:pPr>
        <w:pStyle w:val="Heading1"/>
      </w:pPr>
      <w:r>
        <w:rPr>
          <w:rFonts w:ascii="Arial" w:cs="Arial" w:eastAsia="Arial" w:hAnsi="Arial"/>
          <w:b/>
          <w:bCs/>
          <w:color w:val="3C3489"/>
          <w:sz w:val="36"/>
          <w:szCs w:val="36"/>
        </w:rPr>
        <w:t xml:space="preserve">2.1  Vertical Navigation Architecture</w:t>
      </w:r>
    </w:p>
    <w:p>
      <w:pPr>
        <w:spacing w:before="80" w:after="0"/>
      </w:pPr>
      <w:r>
        <w:t xml:space="preserve"/>
      </w:r>
    </w:p>
    <w:p>
      <w:pPr>
        <w:spacing w:before="0" w:after="100"/>
      </w:pPr>
      <w:r>
        <w:rPr>
          <w:rFonts w:ascii="Arial" w:cs="Arial" w:eastAsia="Arial" w:hAnsi="Arial"/>
          <w:color w:val="1C1C1A"/>
          <w:sz w:val="20"/>
          <w:szCs w:val="20"/>
        </w:rPr>
        <w:t xml:space="preserve">When a user logs into BodhAssess, they are presented with a vertical selection screen before entering the product. Four doors — Clinical Psychology, Industrial Psychology, Counselling and Child Psychology, and White-Label (for institutions running BodhAssess under their own brand). The selection is not a filter applied on top of a generic interface. It is a context switch that changes the underlying product experience completely. Every element — instrument library, terminology, report format, default tier, DPDP classification, and AI features — adapts to the chosen vertical.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206"/>
        <w:gridCol w:w="2206"/>
        <w:gridCol w:w="2208"/>
      </w:tblGrid>
      <w:tr>
        <w:tc>
          <w:tcPr>
            <w:tcW w:type="dxa" w:w="2206"/>
            <w:tcBorders>
              <w:top w:val="single" w:color="0F6E56" w:sz="4"/>
              <w:left w:val="single" w:color="0F6E56" w:sz="4"/>
              <w:bottom w:val="single" w:color="0F6E56" w:sz="4"/>
              <w:right w:val="single" w:color="0F6E56" w:sz="4"/>
            </w:tcBorders>
            <w:shd w:fill="0F6E56" w:val="clear"/>
            <w:tcMar>
              <w:top w:type="dxa" w:w="140"/>
              <w:left w:type="dxa" w:w="160"/>
              <w:bottom w:type="dxa" w:w="140"/>
              <w:right w:type="dxa" w:w="160"/>
            </w:tcMar>
          </w:tcPr>
          <w:p>
            <w:pPr>
              <w:spacing w:before="0" w:after="60"/>
              <w:jc w:val="center"/>
            </w:pPr>
            <w:r>
              <w:rPr>
                <w:rFonts w:ascii="Arial" w:cs="Arial" w:eastAsia="Arial" w:hAnsi="Arial"/>
                <w:b/>
                <w:bCs/>
                <w:color w:val="FFFFFF"/>
                <w:sz w:val="20"/>
                <w:szCs w:val="20"/>
              </w:rPr>
              <w:t xml:space="preserve">🏥  Clinical Psychology</w:t>
            </w:r>
          </w:p>
          <w:p>
            <w:pPr>
              <w:spacing w:before="0" w:after="0"/>
              <w:jc w:val="center"/>
            </w:pPr>
            <w:r>
              <w:rPr>
                <w:rFonts w:ascii="Arial" w:cs="Arial" w:eastAsia="Arial" w:hAnsi="Arial"/>
                <w:color w:val="FFFFFF"/>
                <w:sz w:val="16"/>
                <w:szCs w:val="16"/>
              </w:rPr>
              <w:t xml:space="preserve">For clinical psychologists, psychiatrists, and mental health practitioners.</w:t>
            </w:r>
          </w:p>
        </w:tc>
        <w:tc>
          <w:tcPr>
            <w:tcW w:type="dxa" w:w="2206"/>
            <w:tcBorders>
              <w:top w:val="single" w:color="3C3489" w:sz="4"/>
              <w:left w:val="single" w:color="3C3489" w:sz="4"/>
              <w:bottom w:val="single" w:color="3C3489" w:sz="4"/>
              <w:right w:val="single" w:color="3C3489" w:sz="4"/>
            </w:tcBorders>
            <w:shd w:fill="3C3489" w:val="clear"/>
            <w:tcMar>
              <w:top w:type="dxa" w:w="140"/>
              <w:left w:type="dxa" w:w="160"/>
              <w:bottom w:type="dxa" w:w="140"/>
              <w:right w:type="dxa" w:w="160"/>
            </w:tcMar>
          </w:tcPr>
          <w:p>
            <w:pPr>
              <w:spacing w:before="0" w:after="60"/>
              <w:jc w:val="center"/>
            </w:pPr>
            <w:r>
              <w:rPr>
                <w:rFonts w:ascii="Arial" w:cs="Arial" w:eastAsia="Arial" w:hAnsi="Arial"/>
                <w:b/>
                <w:bCs/>
                <w:color w:val="FFFFFF"/>
                <w:sz w:val="20"/>
                <w:szCs w:val="20"/>
              </w:rPr>
              <w:t xml:space="preserve">🏢  Industrial Psychology</w:t>
            </w:r>
          </w:p>
          <w:p>
            <w:pPr>
              <w:spacing w:before="0" w:after="0"/>
              <w:jc w:val="center"/>
            </w:pPr>
            <w:r>
              <w:rPr>
                <w:rFonts w:ascii="Arial" w:cs="Arial" w:eastAsia="Arial" w:hAnsi="Arial"/>
                <w:color w:val="FFFFFF"/>
                <w:sz w:val="16"/>
                <w:szCs w:val="16"/>
              </w:rPr>
              <w:t xml:space="preserve">For HR professionals, I/O psychologists, and people teams.</w:t>
            </w:r>
          </w:p>
        </w:tc>
        <w:tc>
          <w:tcPr>
            <w:tcW w:type="dxa" w:w="2206"/>
            <w:tcBorders>
              <w:top w:val="single" w:color="993C1D" w:sz="4"/>
              <w:left w:val="single" w:color="993C1D" w:sz="4"/>
              <w:bottom w:val="single" w:color="993C1D" w:sz="4"/>
              <w:right w:val="single" w:color="993C1D" w:sz="4"/>
            </w:tcBorders>
            <w:shd w:fill="993C1D" w:val="clear"/>
            <w:tcMar>
              <w:top w:type="dxa" w:w="140"/>
              <w:left w:type="dxa" w:w="160"/>
              <w:bottom w:type="dxa" w:w="140"/>
              <w:right w:type="dxa" w:w="160"/>
            </w:tcMar>
          </w:tcPr>
          <w:p>
            <w:pPr>
              <w:spacing w:before="0" w:after="60"/>
              <w:jc w:val="center"/>
            </w:pPr>
            <w:r>
              <w:rPr>
                <w:rFonts w:ascii="Arial" w:cs="Arial" w:eastAsia="Arial" w:hAnsi="Arial"/>
                <w:b/>
                <w:bCs/>
                <w:color w:val="FFFFFF"/>
                <w:sz w:val="20"/>
                <w:szCs w:val="20"/>
              </w:rPr>
              <w:t xml:space="preserve">🏫  Counselling &amp; Child</w:t>
            </w:r>
          </w:p>
          <w:p>
            <w:pPr>
              <w:spacing w:before="0" w:after="0"/>
              <w:jc w:val="center"/>
            </w:pPr>
            <w:r>
              <w:rPr>
                <w:rFonts w:ascii="Arial" w:cs="Arial" w:eastAsia="Arial" w:hAnsi="Arial"/>
                <w:color w:val="FFFFFF"/>
                <w:sz w:val="16"/>
                <w:szCs w:val="16"/>
              </w:rPr>
              <w:t xml:space="preserve">For school counsellors, child psychologists, and therapeutic practitioners.</w:t>
            </w:r>
          </w:p>
        </w:tc>
        <w:tc>
          <w:tcPr>
            <w:tcW w:type="dxa" w:w="2206"/>
            <w:tcBorders>
              <w:top w:val="single" w:color="185FA5" w:sz="4"/>
              <w:left w:val="single" w:color="185FA5" w:sz="4"/>
              <w:bottom w:val="single" w:color="185FA5" w:sz="4"/>
              <w:right w:val="single" w:color="185FA5" w:sz="4"/>
            </w:tcBorders>
            <w:shd w:fill="185FA5" w:val="clear"/>
            <w:tcMar>
              <w:top w:type="dxa" w:w="140"/>
              <w:left w:type="dxa" w:w="160"/>
              <w:bottom w:type="dxa" w:w="140"/>
              <w:right w:type="dxa" w:w="160"/>
            </w:tcMar>
          </w:tcPr>
          <w:p>
            <w:pPr>
              <w:spacing w:before="0" w:after="60"/>
              <w:jc w:val="center"/>
            </w:pPr>
            <w:r>
              <w:rPr>
                <w:rFonts w:ascii="Arial" w:cs="Arial" w:eastAsia="Arial" w:hAnsi="Arial"/>
                <w:b/>
                <w:bCs/>
                <w:color w:val="FFFFFF"/>
                <w:sz w:val="20"/>
                <w:szCs w:val="20"/>
              </w:rPr>
              <w:t xml:space="preserve">🏷️  White-Label</w:t>
            </w:r>
          </w:p>
          <w:p>
            <w:pPr>
              <w:spacing w:before="0" w:after="0"/>
              <w:jc w:val="center"/>
            </w:pPr>
            <w:r>
              <w:rPr>
                <w:rFonts w:ascii="Arial" w:cs="Arial" w:eastAsia="Arial" w:hAnsi="Arial"/>
                <w:color w:val="FFFFFF"/>
                <w:sz w:val="16"/>
                <w:szCs w:val="16"/>
              </w:rPr>
              <w:t xml:space="preserve">For institutions running BodhAssess under their own brand identity.</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2826"/>
      </w:tblGrid>
      <w:tr>
        <w:trPr>
          <w:tblHeader/>
        </w:trPr>
        <w:tc>
          <w:tcPr>
            <w:tcW w:type="dxa" w:w="17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What Changes Per Vertical</w:t>
            </w:r>
          </w:p>
        </w:tc>
        <w:tc>
          <w:tcPr>
            <w:tcW w:type="dxa" w:w="1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Clinical</w:t>
            </w:r>
          </w:p>
        </w:tc>
        <w:tc>
          <w:tcPr>
            <w:tcW w:type="dxa" w:w="1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Industrial</w:t>
            </w:r>
          </w:p>
        </w:tc>
        <w:tc>
          <w:tcPr>
            <w:tcW w:type="dxa" w:w="15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Counselling &amp; Child</w:t>
            </w:r>
          </w:p>
        </w:tc>
        <w:tc>
          <w:tcPr>
            <w:tcW w:type="dxa" w:w="28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White-Label</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 Library</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screening + diagnostic tools, Indian-normed clinical instruments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Psychometric batteries, aptitude, competency, AI Adaptability Index</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Developmental tools, child-specific scales, therapeutic tracking</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Inherits the selected vertical's library. Institution can add custom instruments via Tier 3/4.</w:t>
            </w:r>
          </w:p>
        </w:tc>
      </w:tr>
      <w:tr>
        <w:tc>
          <w:tcPr>
            <w:tcW w:type="dxa" w:w="17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Terminology</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Clients, practitioners, screening, diagnosis, MSE, disorder pathways</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Candidates, employees, competency, performance, selection</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Students, counsellors, developmental, therapeutic, age-normed</w:t>
            </w:r>
          </w:p>
        </w:tc>
        <w:tc>
          <w:tcPr>
            <w:tcW w:type="dxa" w:w="2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Fully customisable — institution sets its own labels. 'Students', 'Members', 'Patients' — any term.</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 Format</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report: DSM-aligned, symptom severity, risk indicators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Psychometric report: norm percentiles, competency profile, role fit</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report: developmental profile, parent summary, referral pathway</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Institution-branded report. Their logo, letterhead, psychologist name. Bodh not mentioned.</w:t>
            </w:r>
          </w:p>
        </w:tc>
      </w:tr>
      <w:tr>
        <w:tc>
          <w:tcPr>
            <w:tcW w:type="dxa" w:w="17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Default Tier</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 1 (run library instruments)</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 2–3 (upload logic or full engine)</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 1–2 (run library or upload own tool)</w:t>
            </w:r>
          </w:p>
        </w:tc>
        <w:tc>
          <w:tcPr>
            <w:tcW w:type="dxa" w:w="2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per institution at onboarding. Any tier available.</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DPDP Classification</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clinical mental health record</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 data — employment record</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(minor) — parental consent required</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Institution becomes data controller. Bodh is data processor. DPA mandatory.</w:t>
            </w:r>
          </w:p>
        </w:tc>
      </w:tr>
      <w:tr>
        <w:tc>
          <w:tcPr>
            <w:tcW w:type="dxa" w:w="17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Branding</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branding throughout</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branding throughout</w:t>
            </w:r>
          </w:p>
        </w:tc>
        <w:tc>
          <w:tcPr>
            <w:tcW w:type="dxa" w:w="15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branding throughout</w:t>
            </w:r>
          </w:p>
        </w:tc>
        <w:tc>
          <w:tcPr>
            <w:tcW w:type="dxa" w:w="2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Institution branding throughout. Custom domain. No Bodh identity visible to end users.</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Features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MSE upload, intervention plan generation, qualitative-to-quantitative</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Adaptability scoring, Digital Diet, culture diagnostics</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Age-adaptive delivery, multi-informant triangulation</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AI features of the selected vertical. White-label does not restrict AI access.</w:t>
            </w:r>
          </w:p>
        </w:tc>
      </w:tr>
    </w:tbl>
    <w:p>
      <w:pPr>
        <w:spacing w:before="80" w:after="0"/>
      </w:pPr>
      <w:r>
        <w:t xml:space="preserve"/>
      </w:r>
    </w:p>
    <w:p>
      <w:pPr>
        <w:spacing w:before="0" w:after="100"/>
      </w:pPr>
      <w:r>
        <w:rPr>
          <w:rFonts w:ascii="Arial" w:cs="Arial" w:eastAsia="Arial" w:hAnsi="Arial"/>
          <w:color w:val="1C1C1A"/>
          <w:sz w:val="20"/>
          <w:szCs w:val="20"/>
        </w:rPr>
        <w:t xml:space="preserve">The White-Label vertical is a meta-vertical — it wraps Clinical, Industrial, or Counselling in the institution's brand identity. When a school onboards as a white-label client on the Counselling vertical, their counsellors and students see a fully branded school assessment portal. When a hospital onboards on the Clinical vertical, their psychologists see a hospital-branded clinical assessment system. The underlying product — instruments, CAT engine, report pipeline, AI proctoring, BodhLens — is identical. Only the identity layer changes.</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0F6E56" w:val="clear"/>
            <w:tcMar>
              <w:top w:type="dxa" w:w="100"/>
              <w:left w:type="dxa" w:w="200"/>
              <w:bottom w:type="dxa" w:w="100"/>
              <w:right w:type="dxa" w:w="200"/>
            </w:tcMar>
          </w:tcPr>
          <w:p>
            <w:r>
              <w:rPr>
                <w:rFonts w:ascii="Arial" w:cs="Arial" w:eastAsia="Arial" w:hAnsi="Arial"/>
                <w:b/>
                <w:bCs/>
                <w:color w:val="FFFFFF"/>
                <w:sz w:val="22"/>
                <w:szCs w:val="22"/>
              </w:rPr>
              <w:t xml:space="preserve">2.2  Clinical Psychology Vertical</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0F6E56" w:val="clear"/>
            <w:tcMar>
              <w:top w:type="dxa" w:w="80"/>
              <w:left w:type="dxa" w:w="180"/>
              <w:bottom w:type="dxa" w:w="60"/>
              <w:right w:type="dxa" w:w="180"/>
            </w:tcMar>
          </w:tcPr>
          <w:p>
            <w:r>
              <w:rPr>
                <w:rFonts w:ascii="Arial" w:cs="Arial" w:eastAsia="Arial" w:hAnsi="Arial"/>
                <w:b/>
                <w:bCs/>
                <w:color w:val="FFFFFF"/>
                <w:sz w:val="18"/>
                <w:szCs w:val="18"/>
              </w:rPr>
              <w:t xml:space="preserve">VERTICAL PURPOSE</w:t>
            </w:r>
          </w:p>
        </w:tc>
      </w:tr>
      <w:tr>
        <w:tc>
          <w:tcPr>
            <w:tcBorders>
              <w:top w:val="single" w:color="0F6E56" w:sz="4"/>
              <w:left w:val="single" w:color="0F6E56" w:sz="8"/>
              <w:bottom w:val="single" w:color="0F6E56" w:sz="4"/>
              <w:right w:val="single" w:color="0F6E56" w:sz="4"/>
            </w:tcBorders>
            <w:shd w:fill="E1F5E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To provide clinical psychologists, psychiatrists, and mental health practitioners with scientifically validated, India-normed psychometric instruments for screening, diagnosis, and outcome monitoring — and the infrastructure to build, validate, and standardise their own clinical assessment tools.</w:t>
            </w:r>
          </w:p>
        </w:tc>
      </w:tr>
    </w:tbl>
    <w:p>
      <w:pPr>
        <w:spacing w:before="100" w:after="0"/>
      </w:pPr>
      <w:r>
        <w:t xml:space="preserve"/>
      </w:r>
    </w:p>
    <w:p>
      <w:pPr>
        <w:pStyle w:val="Heading3"/>
      </w:pPr>
      <w:r>
        <w:rPr>
          <w:rFonts w:ascii="Arial" w:cs="Arial" w:eastAsia="Arial" w:hAnsi="Arial"/>
          <w:b/>
          <w:bCs/>
          <w:color w:val="3C3489"/>
          <w:sz w:val="24"/>
          <w:szCs w:val="24"/>
        </w:rPr>
        <w:t xml:space="preserve">Instrument Library — Clinical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426"/>
      </w:tblGrid>
      <w:tr>
        <w:trPr>
          <w:tblHeader/>
        </w:trPr>
        <w:tc>
          <w:tcPr>
            <w:tcW w:type="dxa" w:w="1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1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Dimensions Measured</w:t>
            </w:r>
          </w:p>
        </w:tc>
        <w:tc>
          <w:tcPr>
            <w:tcW w:type="dxa" w:w="24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Indian Adaptation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PHQ-9</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Depression Screening</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9-item somatic and cognitive depression criteria (DSM-5 aligned)</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Validated Hindi + Tamil + Telugu + Marathi + Bengali + Gujarati</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PHQ-2</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Depression Ultra-brief Screen</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2-item screening gateway — triggers PHQ-9 if positive</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language coverage as PHQ-9</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GAD-7</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Generalised Anxiety Screening</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7-item GAD severity scale. Somatic and cognitive anxiety domains.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Validated Hindi + 5 regional languages. Indian severity cutoffs published.</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DASS-21</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Depression/Anxiety/Stress</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21 items across 3 subscales: Depression, Anxiety, Stress. Dimensional profile.</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adult population norms. Published Indian cutoff scores.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Beck Depression Inventory-II</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Depression Severity</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21-item cognitive and somatic depression severity. Weekly recall.</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 validation with Indian normative data. Clinical cutoffs for Indian population.</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Beck Anxiety Inventory</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Anxiety Severity</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21-item somatic anxiety severity. Distinguishes from depression.</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 validation. Clinical cutoffs calibrated for Indian adult population.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PCL-5</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PTSD Screening</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20-item DSM-5 PTSD checklist. 4-cluster profile: intrusion, avoidance, cognition, arousal.</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 + Tamil. Cutoff validation in Indian trauma survivor populations.</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AUDIT</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Alcohol Use</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10-item WHO alcohol use disorders identification. Hazardous/harmful/dependence stratification.</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cultural adaptation. Cross-validated on Indian clinical samples.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Conners CPT-3</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ADHD Assessment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Continuous performance task — attention, impulsivity, sustained attention. Objective performance measures.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paediatric normative database (Phase 3 — Tier 4 partnership in development)</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MSE-linked instruments</w:t>
            </w:r>
          </w:p>
        </w:tc>
        <w:tc>
          <w:tcPr>
            <w:tcW w:type="dxa" w:w="1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composite</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Uploads of Mental Status Examination trigger structured battery selection. AI maps MSE findings to relevant instruments.</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MSE-linked instruments available in Hindi + English at Phase 1 launch.</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Custom instruments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Practitioner-developed</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Any clinical construct — built via Tier 3 engine or Tier 4 standardisation partnership.</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Co-developed with Bodh psychometric team. Indian population norming included.</w:t>
            </w:r>
          </w:p>
        </w:tc>
      </w:tr>
    </w:tbl>
    <w:p>
      <w:pPr>
        <w:spacing w:before="100" w:after="0"/>
      </w:pPr>
      <w:r>
        <w:t xml:space="preserve"/>
      </w:r>
    </w:p>
    <w:p>
      <w:pPr>
        <w:pStyle w:val="Heading3"/>
      </w:pPr>
      <w:r>
        <w:rPr>
          <w:rFonts w:ascii="Arial" w:cs="Arial" w:eastAsia="Arial" w:hAnsi="Arial"/>
          <w:b/>
          <w:bCs/>
          <w:color w:val="3C3489"/>
          <w:sz w:val="24"/>
          <w:szCs w:val="24"/>
        </w:rPr>
        <w:t xml:space="preserve">Clinical Assessment Workflow</w:t>
      </w:r>
    </w:p>
    <w:p>
      <w:pPr>
        <w:spacing w:before="60" w:after="0"/>
      </w:pPr>
      <w:r>
        <w:t xml:space="preserve"/>
      </w:r>
    </w:p>
    <w:p>
      <w:pPr>
        <w:spacing w:before="0" w:after="100"/>
      </w:pPr>
      <w:r>
        <w:rPr>
          <w:rFonts w:ascii="Arial" w:cs="Arial" w:eastAsia="Arial" w:hAnsi="Arial"/>
          <w:color w:val="1C1C1A"/>
          <w:sz w:val="20"/>
          <w:szCs w:val="20"/>
        </w:rPr>
        <w:t xml:space="preserve">The clinical assessment workflow in BodhAssess follows a structured pathway that reflects actual clinical practice — not a generic digital form workflow:</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Practitioner creates a client record. Mandatory fields: date of birth, primary language, consent capture (purpose-specific: assessment, data storage, research if opted in). DPDP-compliant consent is recorded with timestamp before any data collection begins. — </w:t>
      </w:r>
      <w:r>
        <w:rPr>
          <w:rFonts w:ascii="Arial" w:cs="Arial" w:eastAsia="Arial" w:hAnsi="Arial"/>
          <w:color w:val="1C1C1A"/>
          <w:sz w:val="19"/>
          <w:szCs w:val="19"/>
        </w:rPr>
        <w:t xml:space="preserve">Step 1 — Client Registration</w:t>
      </w:r>
    </w:p>
    <w:p>
      <w:pPr>
        <w:pStyle w:val="ListParagraph"/>
        <w:numPr>
          <w:ilvl w:val="0"/>
          <w:numId w:val="2"/>
        </w:numPr>
        <w:spacing w:before="50" w:after="50"/>
      </w:pPr>
      <w:r>
        <w:rPr>
          <w:rFonts w:ascii="Arial" w:cs="Arial" w:eastAsia="Arial" w:hAnsi="Arial"/>
          <w:b/>
          <w:bCs/>
          <w:color w:val="3C3489"/>
          <w:sz w:val="19"/>
          <w:szCs w:val="19"/>
        </w:rPr>
        <w:t xml:space="preserve">Practitioner selects from the clinical instrument library or their own uploaded instruments. For Tier 5 clients: upload MSE + case history → AI suggests an appropriate battery based on clinical presentation. — </w:t>
      </w:r>
      <w:r>
        <w:rPr>
          <w:rFonts w:ascii="Arial" w:cs="Arial" w:eastAsia="Arial" w:hAnsi="Arial"/>
          <w:color w:val="1C1C1A"/>
          <w:sz w:val="19"/>
          <w:szCs w:val="19"/>
        </w:rPr>
        <w:t xml:space="preserve">Step 2 — Assessment Selection</w:t>
      </w:r>
    </w:p>
    <w:p>
      <w:pPr>
        <w:pStyle w:val="ListParagraph"/>
        <w:numPr>
          <w:ilvl w:val="0"/>
          <w:numId w:val="2"/>
        </w:numPr>
        <w:spacing w:before="50" w:after="50"/>
      </w:pPr>
      <w:r>
        <w:rPr>
          <w:rFonts w:ascii="Arial" w:cs="Arial" w:eastAsia="Arial" w:hAnsi="Arial"/>
          <w:b/>
          <w:bCs/>
          <w:color w:val="3C3489"/>
          <w:sz w:val="19"/>
          <w:szCs w:val="19"/>
        </w:rPr>
        <w:t xml:space="preserve">CAT engine delivers items adaptively (where the instrument supports adaptive delivery). Fixed-sequence instruments (PHQ-9, GAD-7, DASS-21) are delivered in their validated sequence — the IRT engine is used for scoring, not delivery modification, to preserve validated structure. — </w:t>
      </w:r>
      <w:r>
        <w:rPr>
          <w:rFonts w:ascii="Arial" w:cs="Arial" w:eastAsia="Arial" w:hAnsi="Arial"/>
          <w:color w:val="1C1C1A"/>
          <w:sz w:val="19"/>
          <w:szCs w:val="19"/>
        </w:rPr>
        <w:t xml:space="preserve">Step 3 — Adaptive Delivery</w:t>
      </w:r>
    </w:p>
    <w:p>
      <w:pPr>
        <w:pStyle w:val="ListParagraph"/>
        <w:numPr>
          <w:ilvl w:val="0"/>
          <w:numId w:val="2"/>
        </w:numPr>
        <w:spacing w:before="50" w:after="50"/>
      </w:pPr>
      <w:r>
        <w:rPr>
          <w:rFonts w:ascii="Arial" w:cs="Arial" w:eastAsia="Arial" w:hAnsi="Arial"/>
          <w:b/>
          <w:bCs/>
          <w:color w:val="3C3489"/>
          <w:sz w:val="19"/>
          <w:szCs w:val="19"/>
        </w:rPr>
        <w:t xml:space="preserve">Automated scoring against the best available Indian population norms (see Section 8.2 for Phase 1 norm status per instrument). T-scores, percentiles, and severity classifications computed in real time. Every score is accompanied by a norm disclosure statement specifying the comparison population. Risk flags (e.g., PHQ-9 Item 9 — suicidality) trigger immediate alert to practitioner dashboard. — </w:t>
      </w:r>
      <w:r>
        <w:rPr>
          <w:rFonts w:ascii="Arial" w:cs="Arial" w:eastAsia="Arial" w:hAnsi="Arial"/>
          <w:color w:val="1C1C1A"/>
          <w:sz w:val="19"/>
          <w:szCs w:val="19"/>
        </w:rPr>
        <w:t xml:space="preserve">Step 4 — Scoring</w:t>
      </w:r>
    </w:p>
    <w:p>
      <w:pPr>
        <w:pStyle w:val="ListParagraph"/>
        <w:numPr>
          <w:ilvl w:val="0"/>
          <w:numId w:val="2"/>
        </w:numPr>
        <w:spacing w:before="50" w:after="50"/>
      </w:pPr>
      <w:r>
        <w:rPr>
          <w:rFonts w:ascii="Arial" w:cs="Arial" w:eastAsia="Arial" w:hAnsi="Arial"/>
          <w:b/>
          <w:bCs/>
          <w:color w:val="3C3489"/>
          <w:sz w:val="19"/>
          <w:szCs w:val="19"/>
        </w:rPr>
        <w:t xml:space="preserve">Clinical report generated automatically. Format and content detailed in Section 4. Practitioner reviews, annotates if needed, and approves before the report is finalised. — </w:t>
      </w:r>
      <w:r>
        <w:rPr>
          <w:rFonts w:ascii="Arial" w:cs="Arial" w:eastAsia="Arial" w:hAnsi="Arial"/>
          <w:color w:val="1C1C1A"/>
          <w:sz w:val="19"/>
          <w:szCs w:val="19"/>
        </w:rPr>
        <w:t xml:space="preserve">Step 5 — Report Generation</w:t>
      </w:r>
    </w:p>
    <w:p>
      <w:pPr>
        <w:pStyle w:val="ListParagraph"/>
        <w:numPr>
          <w:ilvl w:val="0"/>
          <w:numId w:val="2"/>
        </w:numPr>
        <w:spacing w:before="50" w:after="50"/>
      </w:pPr>
      <w:r>
        <w:rPr>
          <w:rFonts w:ascii="Arial" w:cs="Arial" w:eastAsia="Arial" w:hAnsi="Arial"/>
          <w:b/>
          <w:bCs/>
          <w:color w:val="3C3489"/>
          <w:sz w:val="19"/>
          <w:szCs w:val="19"/>
        </w:rPr>
        <w:t xml:space="preserve">Repeated administrations of the same instrument stored in the client's longitudinal profile. Trajectory charts show score change over time. Clinician receives alert if deterioration exceeds configurable threshold. — </w:t>
      </w:r>
      <w:r>
        <w:rPr>
          <w:rFonts w:ascii="Arial" w:cs="Arial" w:eastAsia="Arial" w:hAnsi="Arial"/>
          <w:color w:val="1C1C1A"/>
          <w:sz w:val="19"/>
          <w:szCs w:val="19"/>
        </w:rPr>
        <w:t xml:space="preserve">Step 6 — Longitudinal Tracking</w:t>
      </w:r>
    </w:p>
    <w:p>
      <w:pPr>
        <w:spacing w:before="100" w:after="0"/>
      </w:pPr>
      <w:r>
        <w:t xml:space="preserve"/>
      </w:r>
    </w:p>
    <w:p>
      <w:pPr>
        <w:pStyle w:val="Heading3"/>
      </w:pPr>
      <w:r>
        <w:rPr>
          <w:rFonts w:ascii="Arial" w:cs="Arial" w:eastAsia="Arial" w:hAnsi="Arial"/>
          <w:b/>
          <w:bCs/>
          <w:color w:val="3C3489"/>
          <w:sz w:val="24"/>
          <w:szCs w:val="24"/>
        </w:rPr>
        <w:t xml:space="preserve">MSE Upload and AI Instrument Selection (Tier 5 — Clinical)</w:t>
      </w:r>
    </w:p>
    <w:p>
      <w:pPr>
        <w:spacing w:before="60" w:after="0"/>
      </w:pPr>
      <w:r>
        <w:t xml:space="preserve"/>
      </w:r>
    </w:p>
    <w:p>
      <w:pPr>
        <w:spacing w:before="0" w:after="100"/>
      </w:pPr>
      <w:r>
        <w:rPr>
          <w:rFonts w:ascii="Arial" w:cs="Arial" w:eastAsia="Arial" w:hAnsi="Arial"/>
          <w:color w:val="1C1C1A"/>
          <w:sz w:val="20"/>
          <w:szCs w:val="20"/>
        </w:rPr>
        <w:t xml:space="preserve">The MSE upload feature is available to Clinical vertical Tier 5 clients. A practitioner uploads the patient's Mental Status Examination report and case history in any supported format (PDF, Word, plain text) in English or Hindi. The AI Orchestration Service processes the document through indic-BERT NLP to extract:</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Presenting complaints and symptom profile</w:t>
      </w:r>
    </w:p>
    <w:p>
      <w:pPr>
        <w:pStyle w:val="ListParagraph"/>
        <w:numPr>
          <w:ilvl w:val="0"/>
          <w:numId w:val="2"/>
        </w:numPr>
        <w:spacing w:before="50" w:after="50"/>
      </w:pPr>
      <w:r>
        <w:rPr>
          <w:rFonts w:ascii="Arial" w:cs="Arial" w:eastAsia="Arial" w:hAnsi="Arial"/>
          <w:color w:val="1C1C1A"/>
          <w:sz w:val="19"/>
          <w:szCs w:val="19"/>
        </w:rPr>
        <w:t xml:space="preserve">Cognitive functioning indicators (orientation, memory, attention, insight, judgment)</w:t>
      </w:r>
    </w:p>
    <w:p>
      <w:pPr>
        <w:pStyle w:val="ListParagraph"/>
        <w:numPr>
          <w:ilvl w:val="0"/>
          <w:numId w:val="2"/>
        </w:numPr>
        <w:spacing w:before="50" w:after="50"/>
      </w:pPr>
      <w:r>
        <w:rPr>
          <w:rFonts w:ascii="Arial" w:cs="Arial" w:eastAsia="Arial" w:hAnsi="Arial"/>
          <w:color w:val="1C1C1A"/>
          <w:sz w:val="19"/>
          <w:szCs w:val="19"/>
        </w:rPr>
        <w:t xml:space="preserve">Mood and affect descriptors — mapped to dimensional severity estimates</w:t>
      </w:r>
    </w:p>
    <w:p>
      <w:pPr>
        <w:pStyle w:val="ListParagraph"/>
        <w:numPr>
          <w:ilvl w:val="0"/>
          <w:numId w:val="2"/>
        </w:numPr>
        <w:spacing w:before="50" w:after="50"/>
      </w:pPr>
      <w:r>
        <w:rPr>
          <w:rFonts w:ascii="Arial" w:cs="Arial" w:eastAsia="Arial" w:hAnsi="Arial"/>
          <w:color w:val="1C1C1A"/>
          <w:sz w:val="19"/>
          <w:szCs w:val="19"/>
        </w:rPr>
        <w:t xml:space="preserve">Thought content and form indicators — mapped to relevant diagnostic categories</w:t>
      </w:r>
    </w:p>
    <w:p>
      <w:pPr>
        <w:pStyle w:val="ListParagraph"/>
        <w:numPr>
          <w:ilvl w:val="0"/>
          <w:numId w:val="2"/>
        </w:numPr>
        <w:spacing w:before="50" w:after="50"/>
      </w:pPr>
      <w:r>
        <w:rPr>
          <w:rFonts w:ascii="Arial" w:cs="Arial" w:eastAsia="Arial" w:hAnsi="Arial"/>
          <w:color w:val="1C1C1A"/>
          <w:sz w:val="19"/>
          <w:szCs w:val="19"/>
        </w:rPr>
        <w:t xml:space="preserve">Risk indicators: suicidality, self-harm, harm to others</w:t>
      </w:r>
    </w:p>
    <w:p>
      <w:pPr>
        <w:spacing w:before="60" w:after="0"/>
      </w:pPr>
      <w:r>
        <w:t xml:space="preserve"/>
      </w:r>
    </w:p>
    <w:p>
      <w:pPr>
        <w:spacing w:before="0" w:after="100"/>
      </w:pPr>
      <w:r>
        <w:rPr>
          <w:rFonts w:ascii="Arial" w:cs="Arial" w:eastAsia="Arial" w:hAnsi="Arial"/>
          <w:color w:val="1C1C1A"/>
          <w:sz w:val="20"/>
          <w:szCs w:val="20"/>
        </w:rPr>
        <w:t xml:space="preserve">From this structured extraction, Claude API generates a recommended assessment battery — typically 2–4 instruments — matched to the clinical presentation. The practitioner reviews and approves the battery before administration. This feature does not make a diagnosis. It organises clinical information to support the practitioner's assessment planning.</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00"/>
              <w:left w:type="dxa" w:w="200"/>
              <w:bottom w:type="dxa" w:w="100"/>
              <w:right w:type="dxa" w:w="200"/>
            </w:tcMar>
          </w:tcPr>
          <w:p>
            <w:r>
              <w:rPr>
                <w:rFonts w:ascii="Arial" w:cs="Arial" w:eastAsia="Arial" w:hAnsi="Arial"/>
                <w:b/>
                <w:bCs/>
                <w:color w:val="FFFFFF"/>
                <w:sz w:val="22"/>
                <w:szCs w:val="22"/>
              </w:rPr>
              <w:t xml:space="preserve">2.3  Industrial Psychology Vertical</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80"/>
              <w:left w:type="dxa" w:w="180"/>
              <w:bottom w:type="dxa" w:w="60"/>
              <w:right w:type="dxa" w:w="180"/>
            </w:tcMar>
          </w:tcPr>
          <w:p>
            <w:r>
              <w:rPr>
                <w:rFonts w:ascii="Arial" w:cs="Arial" w:eastAsia="Arial" w:hAnsi="Arial"/>
                <w:b/>
                <w:bCs/>
                <w:color w:val="FFFFFF"/>
                <w:sz w:val="18"/>
                <w:szCs w:val="18"/>
              </w:rPr>
              <w:t xml:space="preserve">VERTICAL PURPOSE</w:t>
            </w:r>
          </w:p>
        </w:tc>
      </w:tr>
      <w:tr>
        <w:tc>
          <w:tcPr>
            <w:tcBorders>
              <w:top w:val="single" w:color="3C3489" w:sz="4"/>
              <w:left w:val="single" w:color="3C3489" w:sz="8"/>
              <w:bottom w:val="single" w:color="3C3489" w:sz="4"/>
              <w:right w:val="single" w:color="3C3489" w:sz="4"/>
            </w:tcBorders>
            <w:shd w:fill="EEEDF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To provide industrial and organisational psychologists, HR professionals, and people teams with validated psychometric instruments for talent selection, development diagnostics, culture assessment, and AI transformation readiness — and the infrastructure to build proprietary organisational assessment tools.</w:t>
            </w:r>
          </w:p>
        </w:tc>
      </w:tr>
    </w:tbl>
    <w:p>
      <w:pPr>
        <w:spacing w:before="100" w:after="0"/>
      </w:pPr>
      <w:r>
        <w:t xml:space="preserve"/>
      </w:r>
    </w:p>
    <w:p>
      <w:pPr>
        <w:pStyle w:val="Heading3"/>
      </w:pPr>
      <w:r>
        <w:rPr>
          <w:rFonts w:ascii="Arial" w:cs="Arial" w:eastAsia="Arial" w:hAnsi="Arial"/>
          <w:b/>
          <w:bCs/>
          <w:color w:val="3C3489"/>
          <w:sz w:val="24"/>
          <w:szCs w:val="24"/>
        </w:rPr>
        <w:t xml:space="preserve">Instrument Library — Industrial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226"/>
      </w:tblGrid>
      <w:tr>
        <w:trPr>
          <w:tblHeader/>
        </w:trPr>
        <w:tc>
          <w:tcPr>
            <w:tcW w:type="dxa" w:w="2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Instrument / Tool</w:t>
            </w:r>
          </w:p>
        </w:tc>
        <w:tc>
          <w:tcPr>
            <w:tcW w:type="dxa" w:w="16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Key Dimensions</w:t>
            </w:r>
          </w:p>
        </w:tc>
        <w:tc>
          <w:tcPr>
            <w:tcW w:type="dxa" w:w="22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Norming Status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Big Five Personality (IPIP-NEO-120)</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Personality</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Openness, Conscientiousness, Extraversion, Agreeableness, Neuroticism. Role-specific profiles.</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working population norms by industry sector and function.</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HEXACO Personality Inventory</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Personality</w:t>
            </w:r>
          </w:p>
        </w:tc>
        <w:tc>
          <w:tcPr>
            <w:tcW w:type="dxa" w:w="3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Six dimensions including Honesty-Humility — more predictive for integrity-critical roles.</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professional population norms. BFSI, government, healthcare sector norms.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Learning Agility Assessment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 potential</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Mental agility, people agility, change agility, results agility, self-awareness. Normed for leadership selection.</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managerial population norms. HiPo identification cutoffs by level.</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Situational Judgment Tests (SJTs)</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Behavioural</w:t>
            </w:r>
          </w:p>
        </w:tc>
        <w:tc>
          <w:tcPr>
            <w:tcW w:type="dxa" w:w="3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Role-specific: sales, customer service, people management, analytical roles. Behavioural tendency scoring.</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Industry-specific norms. Concurrent validity against job performance studies in progress.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Cognitive Aptitude Battery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Aptitude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Verbal reasoning, numerical reasoning, abstract reasoning, spatial reasoning, attention to detail.</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graduate and post-graduate population norms. Score bands by educational level.</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Adaptability Index</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readiness</w:t>
            </w:r>
          </w:p>
        </w:tc>
        <w:tc>
          <w:tcPr>
            <w:tcW w:type="dxa" w:w="3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7 dimensions: AI Trust Calibration, Cognitive Flexibility, Collaboration Orientation, AI Anxiety, Prompt Thinking, Critical Evaluation, Ethical AI Orientation.</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Validation study in progress — target n=5,000. Phase 3 full validation. Phase 1: pilot with early adopters.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Digital Diet Assessment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Workplace wellbeing</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 dimensions: Screen Time Volume, Problematic Use Patterns, Cognitive Impact, Social Displacement, Physical Impact.</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Initial norms from pilot organisations. CBT-based intervention trigger built in.</w:t>
            </w:r>
          </w:p>
        </w:tc>
      </w:tr>
      <w:tr>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Culture Diagnostic (custom)</w:t>
            </w:r>
          </w:p>
        </w:tc>
        <w:tc>
          <w:tcPr>
            <w:tcW w:type="dxa" w:w="1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Organisational</w:t>
            </w:r>
          </w:p>
        </w:tc>
        <w:tc>
          <w:tcPr>
            <w:tcW w:type="dxa" w:w="3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Organisation builds their own culture instrument via Tier 3 engine — Bodh provides the delivery and scoring infrastructure.</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Organisation-specific. BodhInsight cross-industry benchmarking available at Tier 4+.</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Performance Improvement Battery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Identifies barriers to performance: skill gaps, motivational deficits, environmental constraints, role clarity.</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population norms. Role-level benchmarks available.</w:t>
            </w:r>
          </w:p>
        </w:tc>
      </w:tr>
    </w:tbl>
    <w:p>
      <w:pPr>
        <w:spacing w:before="100" w:after="0"/>
      </w:pPr>
      <w:r>
        <w:t xml:space="preserve"/>
      </w:r>
    </w:p>
    <w:p>
      <w:pPr>
        <w:pStyle w:val="Heading3"/>
      </w:pPr>
      <w:r>
        <w:rPr>
          <w:rFonts w:ascii="Arial" w:cs="Arial" w:eastAsia="Arial" w:hAnsi="Arial"/>
          <w:b/>
          <w:bCs/>
          <w:color w:val="3C3489"/>
          <w:sz w:val="24"/>
          <w:szCs w:val="24"/>
        </w:rPr>
        <w:t xml:space="preserve">AI Adaptability Index — Special Feature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854F0B" w:val="clear"/>
            <w:tcMar>
              <w:top w:type="dxa" w:w="80"/>
              <w:left w:type="dxa" w:w="180"/>
              <w:bottom w:type="dxa" w:w="60"/>
              <w:right w:type="dxa" w:w="180"/>
            </w:tcMar>
          </w:tcPr>
          <w:p>
            <w:r>
              <w:rPr>
                <w:rFonts w:ascii="Arial" w:cs="Arial" w:eastAsia="Arial" w:hAnsi="Arial"/>
                <w:b/>
                <w:bCs/>
                <w:color w:val="FFFFFF"/>
                <w:sz w:val="18"/>
                <w:szCs w:val="18"/>
              </w:rPr>
              <w:t xml:space="preserve">WHY THIS INSTRUMENT MATTERS</w:t>
            </w:r>
          </w:p>
        </w:tc>
      </w:tr>
      <w:tr>
        <w:tc>
          <w:tcPr>
            <w:tcBorders>
              <w:top w:val="single" w:color="854F0B" w:sz="4"/>
              <w:left w:val="single" w:color="854F0B" w:sz="8"/>
              <w:bottom w:val="single" w:color="854F0B" w:sz="4"/>
              <w:right w:val="single" w:color="854F0B" w:sz="4"/>
            </w:tcBorders>
            <w:shd w:fill="FAEEDA"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The AI Adaptability Index is the only validated instrument in the world designed to measure an individual's psychological and cognitive readiness to work effectively alongside AI systems. It does not measure AI technical skills — it measures the human dimensions that predict success in AI-augmented work environments: trust calibration, cognitive flexibility, collaboration orientation, anxiety management, prompt thinking, critical evaluation, and ethical awareness. Phase 1 launches the instrument in pilot form with early adopter organisations. Full IRT validation and Indian population norming completes in Phase 3 via a Tier 4 standardisation partnership.</w:t>
            </w:r>
          </w:p>
        </w:tc>
      </w:tr>
    </w:tbl>
    <w:p>
      <w:pPr>
        <w:spacing w:before="100" w:after="0"/>
      </w:pPr>
      <w:r>
        <w:t xml:space="preserve"/>
      </w:r>
    </w:p>
    <w:p>
      <w:pPr>
        <w:pStyle w:val="Heading3"/>
      </w:pPr>
      <w:r>
        <w:rPr>
          <w:rFonts w:ascii="Arial" w:cs="Arial" w:eastAsia="Arial" w:hAnsi="Arial"/>
          <w:b/>
          <w:bCs/>
          <w:color w:val="3C3489"/>
          <w:sz w:val="24"/>
          <w:szCs w:val="24"/>
        </w:rPr>
        <w:t xml:space="preserve">Industrial Assessment Workflow</w:t>
      </w:r>
    </w:p>
    <w:p>
      <w:pPr>
        <w:spacing w:before="60" w:after="0"/>
      </w:pPr>
      <w:r>
        <w:t xml:space="preserve"/>
      </w:r>
    </w:p>
    <w:p>
      <w:pPr>
        <w:spacing w:before="0" w:after="100"/>
      </w:pPr>
      <w:r>
        <w:rPr>
          <w:rFonts w:ascii="Arial" w:cs="Arial" w:eastAsia="Arial" w:hAnsi="Arial"/>
          <w:color w:val="1C1C1A"/>
          <w:sz w:val="20"/>
          <w:szCs w:val="20"/>
        </w:rPr>
        <w:t xml:space="preserve">The industrial workflow is designed around hiring and development use cases. It integrates with HRMS and ATS systems and supports bulk candidate management:</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HR sends assessment invitations to candidate cohorts via email, WhatsApp, or ATS integration. Each invitation is a unique authenticated link. Tracking: sent, opened, started, completed, timed out. — </w:t>
      </w:r>
      <w:r>
        <w:rPr>
          <w:rFonts w:ascii="Arial" w:cs="Arial" w:eastAsia="Arial" w:hAnsi="Arial"/>
          <w:color w:val="1C1C1A"/>
          <w:sz w:val="19"/>
          <w:szCs w:val="19"/>
        </w:rPr>
        <w:t xml:space="preserve">Batch Invitation</w:t>
      </w:r>
    </w:p>
    <w:p>
      <w:pPr>
        <w:pStyle w:val="ListParagraph"/>
        <w:numPr>
          <w:ilvl w:val="0"/>
          <w:numId w:val="2"/>
        </w:numPr>
        <w:spacing w:before="50" w:after="50"/>
      </w:pPr>
      <w:r>
        <w:rPr>
          <w:rFonts w:ascii="Arial" w:cs="Arial" w:eastAsia="Arial" w:hAnsi="Arial"/>
          <w:b/>
          <w:bCs/>
          <w:color w:val="3C3489"/>
          <w:sz w:val="19"/>
          <w:szCs w:val="19"/>
        </w:rPr>
        <w:t xml:space="preserve">Industrial assessments are proctored by default for selection use cases. Tier 1 and Tier 2 clients have standard browser-based proctoring. Tier 3+ clients have Secure Browser proctoring with full YOLOv8 + MediaPipe monitoring. — </w:t>
      </w:r>
      <w:r>
        <w:rPr>
          <w:rFonts w:ascii="Arial" w:cs="Arial" w:eastAsia="Arial" w:hAnsi="Arial"/>
          <w:color w:val="1C1C1A"/>
          <w:sz w:val="19"/>
          <w:szCs w:val="19"/>
        </w:rPr>
        <w:t xml:space="preserve">Proctored Delivery</w:t>
      </w:r>
    </w:p>
    <w:p>
      <w:pPr>
        <w:pStyle w:val="ListParagraph"/>
        <w:numPr>
          <w:ilvl w:val="0"/>
          <w:numId w:val="2"/>
        </w:numPr>
        <w:spacing w:before="50" w:after="50"/>
      </w:pPr>
      <w:r>
        <w:rPr>
          <w:rFonts w:ascii="Arial" w:cs="Arial" w:eastAsia="Arial" w:hAnsi="Arial"/>
          <w:b/>
          <w:bCs/>
          <w:color w:val="3C3489"/>
          <w:sz w:val="19"/>
          <w:szCs w:val="19"/>
        </w:rPr>
        <w:t xml:space="preserve">Every score is reported as a T-score (mean=50, SD=10) and percentile rank against the relevant Indian population norm group — industry, function, level, and educational qualification. — </w:t>
      </w:r>
      <w:r>
        <w:rPr>
          <w:rFonts w:ascii="Arial" w:cs="Arial" w:eastAsia="Arial" w:hAnsi="Arial"/>
          <w:color w:val="1C1C1A"/>
          <w:sz w:val="19"/>
          <w:szCs w:val="19"/>
        </w:rPr>
        <w:t xml:space="preserve">Norm-Referenced Scoring</w:t>
      </w:r>
    </w:p>
    <w:p>
      <w:pPr>
        <w:pStyle w:val="ListParagraph"/>
        <w:numPr>
          <w:ilvl w:val="0"/>
          <w:numId w:val="2"/>
        </w:numPr>
        <w:spacing w:before="50" w:after="50"/>
      </w:pPr>
      <w:r>
        <w:rPr>
          <w:rFonts w:ascii="Arial" w:cs="Arial" w:eastAsia="Arial" w:hAnsi="Arial"/>
          <w:b/>
          <w:bCs/>
          <w:color w:val="3C3489"/>
          <w:sz w:val="19"/>
          <w:szCs w:val="19"/>
        </w:rPr>
        <w:t xml:space="preserve">For clients who have uploaded their competency framework (Tier 3+), each candidate receives a role-fit score — a weighted composite of their psychometric profile against the competency requirements of the target role. — </w:t>
      </w:r>
      <w:r>
        <w:rPr>
          <w:rFonts w:ascii="Arial" w:cs="Arial" w:eastAsia="Arial" w:hAnsi="Arial"/>
          <w:color w:val="1C1C1A"/>
          <w:sz w:val="19"/>
          <w:szCs w:val="19"/>
        </w:rPr>
        <w:t xml:space="preserve">Competency Fit Scoring</w:t>
      </w:r>
    </w:p>
    <w:p>
      <w:pPr>
        <w:pStyle w:val="ListParagraph"/>
        <w:numPr>
          <w:ilvl w:val="0"/>
          <w:numId w:val="2"/>
        </w:numPr>
        <w:spacing w:before="50" w:after="50"/>
      </w:pPr>
      <w:r>
        <w:rPr>
          <w:rFonts w:ascii="Arial" w:cs="Arial" w:eastAsia="Arial" w:hAnsi="Arial"/>
          <w:b/>
          <w:bCs/>
          <w:color w:val="3C3489"/>
          <w:sz w:val="19"/>
          <w:szCs w:val="19"/>
        </w:rPr>
        <w:t xml:space="preserve">HR downloads a consolidated ranked candidate list with individual scores, percentile ranks, and role-fit scores. Full individual reports available for shortlisted candidates. — </w:t>
      </w:r>
      <w:r>
        <w:rPr>
          <w:rFonts w:ascii="Arial" w:cs="Arial" w:eastAsia="Arial" w:hAnsi="Arial"/>
          <w:color w:val="1C1C1A"/>
          <w:sz w:val="19"/>
          <w:szCs w:val="19"/>
        </w:rPr>
        <w:t xml:space="preserve">Batch Reports</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993C1D" w:val="clear"/>
            <w:tcMar>
              <w:top w:type="dxa" w:w="100"/>
              <w:left w:type="dxa" w:w="200"/>
              <w:bottom w:type="dxa" w:w="100"/>
              <w:right w:type="dxa" w:w="200"/>
            </w:tcMar>
          </w:tcPr>
          <w:p>
            <w:r>
              <w:rPr>
                <w:rFonts w:ascii="Arial" w:cs="Arial" w:eastAsia="Arial" w:hAnsi="Arial"/>
                <w:b/>
                <w:bCs/>
                <w:color w:val="FFFFFF"/>
                <w:sz w:val="22"/>
                <w:szCs w:val="22"/>
              </w:rPr>
              <w:t xml:space="preserve">2.4  Counselling and Child Psychology Vertical</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993C1D" w:val="clear"/>
            <w:tcMar>
              <w:top w:type="dxa" w:w="80"/>
              <w:left w:type="dxa" w:w="180"/>
              <w:bottom w:type="dxa" w:w="60"/>
              <w:right w:type="dxa" w:w="180"/>
            </w:tcMar>
          </w:tcPr>
          <w:p>
            <w:r>
              <w:rPr>
                <w:rFonts w:ascii="Arial" w:cs="Arial" w:eastAsia="Arial" w:hAnsi="Arial"/>
                <w:b/>
                <w:bCs/>
                <w:color w:val="FFFFFF"/>
                <w:sz w:val="18"/>
                <w:szCs w:val="18"/>
              </w:rPr>
              <w:t xml:space="preserve">VERTICAL PURPOSE</w:t>
            </w:r>
          </w:p>
        </w:tc>
      </w:tr>
      <w:tr>
        <w:tc>
          <w:tcPr>
            <w:tcBorders>
              <w:top w:val="single" w:color="993C1D" w:sz="4"/>
              <w:left w:val="single" w:color="993C1D" w:sz="8"/>
              <w:bottom w:val="single" w:color="993C1D" w:sz="4"/>
              <w:right w:val="single" w:color="993C1D" w:sz="4"/>
            </w:tcBorders>
            <w:shd w:fill="FAECE7"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To provide school counsellors, child and developmental psychologists, and therapeutic practitioners with age-appropriate, India-normed assessment tools — and a platform to host, customise, and standardise their existing assessment work in therapeutic and developmental contexts.</w:t>
            </w:r>
          </w:p>
        </w:tc>
      </w:tr>
    </w:tbl>
    <w:p>
      <w:pPr>
        <w:spacing w:before="100" w:after="0"/>
      </w:pPr>
      <w:r>
        <w:t xml:space="preserve"/>
      </w:r>
    </w:p>
    <w:p>
      <w:pPr>
        <w:pStyle w:val="Heading3"/>
      </w:pPr>
      <w:r>
        <w:rPr>
          <w:rFonts w:ascii="Arial" w:cs="Arial" w:eastAsia="Arial" w:hAnsi="Arial"/>
          <w:b/>
          <w:bCs/>
          <w:color w:val="3C3489"/>
          <w:sz w:val="24"/>
          <w:szCs w:val="24"/>
        </w:rPr>
        <w:t xml:space="preserve">Instrument Library — Counselling and Child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826"/>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Age Range</w:t>
            </w:r>
          </w:p>
        </w:tc>
        <w:tc>
          <w:tcPr>
            <w:tcW w:type="dxa" w:w="1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8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Indian Adaptation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Spence Children's Anxiety Scale (SCAS)</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6–18 years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Anxiety screening</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 + 4 regional language versions. Age-band Indian norms: 6–9, 10–13, 14–18.</w:t>
            </w:r>
          </w:p>
        </w:tc>
      </w:tr>
      <w:tr>
        <w:tc>
          <w:tcPr>
            <w:tcW w:type="dxa" w:w="2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Children's Depression Inventory-2 (CDI-2)</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7–17 years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Depression screening</w:t>
            </w:r>
          </w:p>
        </w:tc>
        <w:tc>
          <w:tcPr>
            <w:tcW w:type="dxa" w:w="38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 standardisation. Indian normative sample by age band and gender.</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ADHD Rating Scale-5</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5–17 years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ADHD symptom severity</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 and teacher forms. Indian school population norms. CBSE and state board school samples.</w:t>
            </w:r>
          </w:p>
        </w:tc>
      </w:tr>
      <w:tr>
        <w:tc>
          <w:tcPr>
            <w:tcW w:type="dxa" w:w="2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Developmental Milestones Tracker</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0–6 years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Developmental screening</w:t>
            </w:r>
          </w:p>
        </w:tc>
        <w:tc>
          <w:tcPr>
            <w:tcW w:type="dxa" w:w="38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WHO growth standard-aligned. Covers gross motor, fine motor, language, social, cognitive domains.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Adjustment Scale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6–18 years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Adjustment and wellbeing</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Academic adjustment, peer relations, teacher relationship, family-school interface. Indian school norms.</w:t>
            </w:r>
          </w:p>
        </w:tc>
      </w:tr>
      <w:tr>
        <w:tc>
          <w:tcPr>
            <w:tcW w:type="dxa" w:w="2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Academic Stress Inventory</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10–18 years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Stress and burnout</w:t>
            </w:r>
          </w:p>
        </w:tc>
        <w:tc>
          <w:tcPr>
            <w:tcW w:type="dxa" w:w="38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Academic pressure, exam anxiety, parental expectations, peer competition. Board exam season norms.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 Behaviour Checklist (CBCL)</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6–18 years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Broad-spectrum behavioural</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Parent-report form. Teacher Report Form (TRF) parallel version. Triangulation report built in.</w:t>
            </w:r>
          </w:p>
        </w:tc>
      </w:tr>
      <w:tr>
        <w:tc>
          <w:tcPr>
            <w:tcW w:type="dxa" w:w="2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Therapeutic Progress Tracker</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Any age</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Outcome monitoring</w:t>
            </w:r>
          </w:p>
        </w:tc>
        <w:tc>
          <w:tcPr>
            <w:tcW w:type="dxa" w:w="38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Practitioner-defined dimensions. Repeated measures design. Visual progress chart for parents and children.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Custom instruments</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Any</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Practitioner-developed</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Upload via Tier 2 (one instrument) or build via Tier 3 engine. Child-specific scoring logic supported.</w:t>
            </w:r>
          </w:p>
        </w:tc>
      </w:tr>
    </w:tbl>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B6D11" w:val="clear"/>
            <w:tcMar>
              <w:top w:type="dxa" w:w="100"/>
              <w:left w:type="dxa" w:w="200"/>
              <w:bottom w:type="dxa" w:w="100"/>
              <w:right w:type="dxa" w:w="200"/>
            </w:tcMar>
          </w:tcPr>
          <w:p>
            <w:r>
              <w:rPr>
                <w:rFonts w:ascii="Arial" w:cs="Arial" w:eastAsia="Arial" w:hAnsi="Arial"/>
                <w:b/>
                <w:bCs/>
                <w:color w:val="FFFFFF"/>
                <w:sz w:val="22"/>
                <w:szCs w:val="22"/>
              </w:rPr>
              <w:t xml:space="preserve">2.5  Designing Experiments Vertical</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B6D11" w:val="clear"/>
            <w:tcMar>
              <w:top w:type="dxa" w:w="80"/>
              <w:left w:type="dxa" w:w="180"/>
              <w:bottom w:type="dxa" w:w="60"/>
              <w:right w:type="dxa" w:w="180"/>
            </w:tcMar>
          </w:tcPr>
          <w:p>
            <w:r>
              <w:rPr>
                <w:rFonts w:ascii="Arial" w:cs="Arial" w:eastAsia="Arial" w:hAnsi="Arial"/>
                <w:b/>
                <w:bCs/>
                <w:color w:val="FFFFFF"/>
                <w:sz w:val="18"/>
                <w:szCs w:val="18"/>
              </w:rPr>
              <w:t xml:space="preserve">VERTICAL PURPOSE</w:t>
            </w:r>
          </w:p>
        </w:tc>
      </w:tr>
      <w:tr>
        <w:tc>
          <w:tcPr>
            <w:tcBorders>
              <w:top w:val="single" w:color="3B6D11" w:sz="4"/>
              <w:left w:val="single" w:color="3B6D11" w:sz="8"/>
              <w:bottom w:val="single" w:color="3B6D11" w:sz="4"/>
              <w:right w:val="single" w:color="3B6D11" w:sz="4"/>
            </w:tcBorders>
            <w:shd w:fill="EAF3D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The Designing Experiments vertical provides researchers, clinical scientists, and organisational psychologists with the infrastructure to run controlled psychological experiments — including implicit and non-verbal paradigms — directly within BodhAssess. Rather than delivering self-report questionnaires, this vertical delivers timed, stimulus-controlled experimental tasks that measure cognitive, affective, and behavioural responses that participants cannot consciously manipulate. It serves academic researchers, clinical researchers validating new instruments, and organisations wanting to measure implicit attitudes alongside explicit assessments.</w:t>
            </w:r>
          </w:p>
        </w:tc>
      </w:tr>
    </w:tbl>
    <w:p>
      <w:pPr>
        <w:spacing w:before="100" w:after="0"/>
      </w:pPr>
      <w:r>
        <w:t xml:space="preserve"/>
      </w:r>
    </w:p>
    <w:p>
      <w:pPr>
        <w:pStyle w:val="Heading3"/>
      </w:pPr>
      <w:r>
        <w:rPr>
          <w:rFonts w:ascii="Arial" w:cs="Arial" w:eastAsia="Arial" w:hAnsi="Arial"/>
          <w:b/>
          <w:bCs/>
          <w:color w:val="3C3489"/>
          <w:sz w:val="24"/>
          <w:szCs w:val="24"/>
        </w:rPr>
        <w:t xml:space="preserve">What Designing Experiments Means</w:t>
      </w:r>
    </w:p>
    <w:p>
      <w:pPr>
        <w:spacing w:before="60" w:after="0"/>
      </w:pPr>
      <w:r>
        <w:t xml:space="preserve"/>
      </w:r>
    </w:p>
    <w:p>
      <w:pPr>
        <w:spacing w:before="0" w:after="100"/>
      </w:pPr>
      <w:r>
        <w:rPr>
          <w:rFonts w:ascii="Arial" w:cs="Arial" w:eastAsia="Arial" w:hAnsi="Arial"/>
          <w:color w:val="1C1C1A"/>
          <w:sz w:val="20"/>
          <w:szCs w:val="20"/>
        </w:rPr>
        <w:t xml:space="preserve">Traditional psychometric instruments ask people what they think, feel, or believe — self-report. Experimental paradigms measure what people actually do when presented with controlled stimuli under controlled conditions. This distinction matters because self-report is subject to social desirability bias, demand characteristics, and limited introspective access. Experimental paradigms bypass these limitations by measuring response latency, accuracy, and decision behaviour directly. The Designing Experiments vertical brings this capability into BodhAssess — allowing it to deliver both explicit instruments and implicit paradigms within a single assessment session.</w:t>
      </w:r>
    </w:p>
    <w:p>
      <w:pPr>
        <w:spacing w:before="100" w:after="0"/>
      </w:pPr>
      <w:r>
        <w:t xml:space="preserve"/>
      </w:r>
    </w:p>
    <w:p>
      <w:pPr>
        <w:pStyle w:val="Heading3"/>
      </w:pPr>
      <w:r>
        <w:rPr>
          <w:rFonts w:ascii="Arial" w:cs="Arial" w:eastAsia="Arial" w:hAnsi="Arial"/>
          <w:b/>
          <w:bCs/>
          <w:color w:val="3C3489"/>
          <w:sz w:val="24"/>
          <w:szCs w:val="24"/>
        </w:rPr>
        <w:t xml:space="preserve">Supported Experimental Paradigms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400"/>
        <w:gridCol w:w="2626"/>
      </w:tblGrid>
      <w:tr>
        <w:trPr>
          <w:tblHeader/>
        </w:trPr>
        <w:tc>
          <w:tcPr>
            <w:tcW w:type="dxa" w:w="17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Paradigm</w:t>
            </w:r>
          </w:p>
        </w:tc>
        <w:tc>
          <w:tcPr>
            <w:tcW w:type="dxa" w:w="23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2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Clinical Use</w:t>
            </w:r>
          </w:p>
        </w:tc>
        <w:tc>
          <w:tcPr>
            <w:tcW w:type="dxa" w:w="26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Industrial Use</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Association Test (IAT)</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attitudes — automatic association strength between concepts measured via response latency differences between congruent and incongruent pairings.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self-esteem in depression. Implicit suicidality (life-death IAT). Implicit attitudes toward substances in addiction screening.</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bias in hiring decisions. Implicit attitude toward AI (component of AI Adaptability Index).</w:t>
            </w:r>
          </w:p>
        </w:tc>
      </w:tr>
      <w:tr>
        <w:tc>
          <w:tcPr>
            <w:tcW w:type="dxa" w:w="17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Red Dot / Dot Probe Task</w:t>
            </w:r>
          </w:p>
        </w:tc>
        <w:tc>
          <w:tcPr>
            <w:tcW w:type="dxa" w:w="23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Attentional bias — which stimuli automatically capture attention. Faster probe detection behind threatening stimuli indicates attentional bias toward threat.</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Attentional bias toward threat in anxiety disorders. Disorder-relevant stimulus bias in eating disorders and addiction.</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Attentional bias toward high-risk stimuli in safety-critical roles. Attentional bias toward negative feedback in leadership.</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Stroop / Emotional Stroop</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Interference effects — conflict between automatic and deliberate processing. Slower colour-naming of emotionally salient words indicates automatic processing.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Emotional Stroop for disorder-relevant words. Classic Stroop for executive function and inhibitory control assessment.</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Executive function under cognitive load. Selective attention capacity for multi-tasking roles.</w:t>
            </w:r>
          </w:p>
        </w:tc>
      </w:tr>
      <w:tr>
        <w:tc>
          <w:tcPr>
            <w:tcW w:type="dxa" w:w="17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Go/No-Go Task</w:t>
            </w:r>
          </w:p>
        </w:tc>
        <w:tc>
          <w:tcPr>
            <w:tcW w:type="dxa" w:w="23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Inhibitory control — ability to withhold a prepotent response. Measures impulsivity and response inhibition.</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Impulsivity assessment in ADHD, addiction, bipolar disorder. Inhibitory control deficit screening.</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Impulsivity screening for high-risk roles. Safety-critical role suitability assessment.</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N-Back Task</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Working memory capacity — ability to maintain and update information in working memory. N-back level indicates working memory span.</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Cognitive impairment screening in dementia, depression, ADHD. Treatment outcome measurement for cognitive interventions.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Cognitive capacity for analytical roles. Working memory benchmarking in selection.</w:t>
            </w:r>
          </w:p>
        </w:tc>
      </w:tr>
      <w:tr>
        <w:tc>
          <w:tcPr>
            <w:tcW w:type="dxa" w:w="17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Affective Priming</w:t>
            </w:r>
          </w:p>
        </w:tc>
        <w:tc>
          <w:tcPr>
            <w:tcW w:type="dxa" w:w="23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Automatic affective evaluation — how positive/negative stimuli influence evaluation of subsequent targets. Measures automatic spread of affect.</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Automatic negative affect in depression. Automatic fear responses in anxiety and PTSD.</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Implicit brand-product associations. Implicit customer attitude measurement in market research.</w:t>
            </w:r>
          </w:p>
        </w:tc>
      </w:tr>
      <w:tr>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Visual Search Task</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Feature detection efficiency and selective attention. Time to detect a target among distractors.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Visual processing speed in neuropsychological screening. Attentional dysfunction in depression and ADHD.</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Attention to detail capacity. Visual inspection efficiency for manufacturing and quality control roles.</w:t>
            </w:r>
          </w:p>
        </w:tc>
      </w:tr>
      <w:tr>
        <w:tc>
          <w:tcPr>
            <w:tcW w:type="dxa" w:w="17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Delay Discounting Task</w:t>
            </w:r>
          </w:p>
        </w:tc>
        <w:tc>
          <w:tcPr>
            <w:tcW w:type="dxa" w:w="23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Intertemporal choice — preference for smaller immediate vs larger delayed rewards. Steeper discounting indicates impulsivity.</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Delay discounting in addiction, ADHD, gambling disorder. Impulsive decision-making clinical marker.</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Risk and reward decision-making profile. Financial planning aptitude for investment and strategy roles.</w:t>
            </w:r>
          </w:p>
        </w:tc>
      </w:tr>
    </w:tbl>
    <w:p>
      <w:pPr>
        <w:spacing w:before="100" w:after="0"/>
      </w:pPr>
      <w:r>
        <w:t xml:space="preserve"/>
      </w:r>
    </w:p>
    <w:p>
      <w:pPr>
        <w:pStyle w:val="Heading3"/>
      </w:pPr>
      <w:r>
        <w:rPr>
          <w:rFonts w:ascii="Arial" w:cs="Arial" w:eastAsia="Arial" w:hAnsi="Arial"/>
          <w:b/>
          <w:bCs/>
          <w:color w:val="3C3489"/>
          <w:sz w:val="24"/>
          <w:szCs w:val="24"/>
        </w:rPr>
        <w:t xml:space="preserve">Technical Architecture — Experimental Delivery</w:t>
      </w:r>
    </w:p>
    <w:p>
      <w:pPr>
        <w:spacing w:before="60" w:after="0"/>
      </w:pPr>
      <w:r>
        <w:t xml:space="preserve"/>
      </w:r>
    </w:p>
    <w:p>
      <w:pPr>
        <w:spacing w:before="0" w:after="100"/>
      </w:pPr>
      <w:r>
        <w:rPr>
          <w:rFonts w:ascii="Arial" w:cs="Arial" w:eastAsia="Arial" w:hAnsi="Arial"/>
          <w:color w:val="1C1C1A"/>
          <w:sz w:val="20"/>
          <w:szCs w:val="20"/>
        </w:rPr>
        <w:t xml:space="preserve">Experimental paradigms require millisecond-precision stimulus timing, controlled presentation, randomised trial order, and response latency recording — requirements that standard psychometric delivery does not have. BodhAssess implements these through a browser-based experimental runtime built on the jsPsych framework, rendered in enforced full-screen mode:</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jsPsych handles stimulus presentation and response recording with ~16ms precision (one browser frame at 60fps). All timing data recorded with high-resolution timestamps. — </w:t>
      </w:r>
      <w:r>
        <w:rPr>
          <w:rFonts w:ascii="Arial" w:cs="Arial" w:eastAsia="Arial" w:hAnsi="Arial"/>
          <w:color w:val="1C1C1A"/>
          <w:sz w:val="19"/>
          <w:szCs w:val="19"/>
        </w:rPr>
        <w:t xml:space="preserve">Stimulus timing precision</w:t>
      </w:r>
    </w:p>
    <w:p>
      <w:pPr>
        <w:pStyle w:val="ListParagraph"/>
        <w:numPr>
          <w:ilvl w:val="0"/>
          <w:numId w:val="2"/>
        </w:numPr>
        <w:spacing w:before="50" w:after="50"/>
      </w:pPr>
      <w:r>
        <w:rPr>
          <w:rFonts w:ascii="Arial" w:cs="Arial" w:eastAsia="Arial" w:hAnsi="Arial"/>
          <w:b/>
          <w:bCs/>
          <w:color w:val="3C3489"/>
          <w:sz w:val="19"/>
          <w:szCs w:val="19"/>
        </w:rPr>
        <w:t xml:space="preserve">Trial order, stimulus assignment to blocks, and category assignments randomised per participant using a cryptographically secure seed. Latin square counterbalancing supported for within-subject designs. — </w:t>
      </w:r>
      <w:r>
        <w:rPr>
          <w:rFonts w:ascii="Arial" w:cs="Arial" w:eastAsia="Arial" w:hAnsi="Arial"/>
          <w:color w:val="1C1C1A"/>
          <w:sz w:val="19"/>
          <w:szCs w:val="19"/>
        </w:rPr>
        <w:t xml:space="preserve">Randomisation and counterbalancing</w:t>
      </w:r>
    </w:p>
    <w:p>
      <w:pPr>
        <w:pStyle w:val="ListParagraph"/>
        <w:numPr>
          <w:ilvl w:val="0"/>
          <w:numId w:val="2"/>
        </w:numPr>
        <w:spacing w:before="50" w:after="50"/>
      </w:pPr>
      <w:r>
        <w:rPr>
          <w:rFonts w:ascii="Arial" w:cs="Arial" w:eastAsia="Arial" w:hAnsi="Arial"/>
          <w:b/>
          <w:bCs/>
          <w:color w:val="3C3489"/>
          <w:sz w:val="19"/>
          <w:szCs w:val="19"/>
        </w:rPr>
        <w:t xml:space="preserve">Text stimuli, image stimuli, audio stimuli, and video clips. Practitioners upload their own stimulus sets or use Bodh's curated research-validated libraries. — </w:t>
      </w:r>
      <w:r>
        <w:rPr>
          <w:rFonts w:ascii="Arial" w:cs="Arial" w:eastAsia="Arial" w:hAnsi="Arial"/>
          <w:color w:val="1C1C1A"/>
          <w:sz w:val="19"/>
          <w:szCs w:val="19"/>
        </w:rPr>
        <w:t xml:space="preserve">Stimulus library</w:t>
      </w:r>
    </w:p>
    <w:p>
      <w:pPr>
        <w:pStyle w:val="ListParagraph"/>
        <w:numPr>
          <w:ilvl w:val="0"/>
          <w:numId w:val="2"/>
        </w:numPr>
        <w:spacing w:before="50" w:after="50"/>
      </w:pPr>
      <w:r>
        <w:rPr>
          <w:rFonts w:ascii="Arial" w:cs="Arial" w:eastAsia="Arial" w:hAnsi="Arial"/>
          <w:b/>
          <w:bCs/>
          <w:color w:val="3C3489"/>
          <w:sz w:val="19"/>
          <w:szCs w:val="19"/>
        </w:rPr>
        <w:t xml:space="preserve">Keyboard responses (key + RT), mouse clicks (position + time), touch responses. Full trial-level raw data stored in MongoDB — not just summary scores. — </w:t>
      </w:r>
      <w:r>
        <w:rPr>
          <w:rFonts w:ascii="Arial" w:cs="Arial" w:eastAsia="Arial" w:hAnsi="Arial"/>
          <w:color w:val="1C1C1A"/>
          <w:sz w:val="19"/>
          <w:szCs w:val="19"/>
        </w:rPr>
        <w:t xml:space="preserve">Response recording</w:t>
      </w:r>
    </w:p>
    <w:p>
      <w:pPr>
        <w:pStyle w:val="ListParagraph"/>
        <w:numPr>
          <w:ilvl w:val="0"/>
          <w:numId w:val="2"/>
        </w:numPr>
        <w:spacing w:before="50" w:after="50"/>
      </w:pPr>
      <w:r>
        <w:rPr>
          <w:rFonts w:ascii="Arial" w:cs="Arial" w:eastAsia="Arial" w:hAnsi="Arial"/>
          <w:b/>
          <w:bCs/>
          <w:color w:val="3C3489"/>
          <w:sz w:val="19"/>
          <w:szCs w:val="19"/>
        </w:rPr>
        <w:t xml:space="preserve">Experimental tasks run in enforced full-screen. Exiting full-screen pauses the task and logs an interruption event. Ensures controlled stimulus presentation conditions. — </w:t>
      </w:r>
      <w:r>
        <w:rPr>
          <w:rFonts w:ascii="Arial" w:cs="Arial" w:eastAsia="Arial" w:hAnsi="Arial"/>
          <w:color w:val="1C1C1A"/>
          <w:sz w:val="19"/>
          <w:szCs w:val="19"/>
        </w:rPr>
        <w:t xml:space="preserve">Full-screen enforcement</w:t>
      </w:r>
    </w:p>
    <w:p>
      <w:pPr>
        <w:spacing w:before="100" w:after="0"/>
      </w:pPr>
      <w:r>
        <w:t xml:space="preserve"/>
      </w:r>
    </w:p>
    <w:p>
      <w:pPr>
        <w:pStyle w:val="Heading3"/>
      </w:pPr>
      <w:r>
        <w:rPr>
          <w:rFonts w:ascii="Arial" w:cs="Arial" w:eastAsia="Arial" w:hAnsi="Arial"/>
          <w:b/>
          <w:bCs/>
          <w:color w:val="3C3489"/>
          <w:sz w:val="24"/>
          <w:szCs w:val="24"/>
        </w:rPr>
        <w:t xml:space="preserve">Automatic Scoring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rPr>
          <w:tblHeader/>
        </w:trPr>
        <w:tc>
          <w:tcPr>
            <w:tcW w:type="dxa" w:w="1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Paradigm</w:t>
            </w:r>
          </w:p>
        </w:tc>
        <w:tc>
          <w:tcPr>
            <w:tcW w:type="dxa" w:w="3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Scoring Algorithm</w:t>
            </w:r>
          </w:p>
        </w:tc>
        <w:tc>
          <w:tcPr>
            <w:tcW w:type="dxa" w:w="42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IAT</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Greenwald et al. (2003) D-score: mean RT difference between incompatible and compatible blocks divided by pooled SD. Error trials: mean RT + 600ms penalty.</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D-score −2 to +2. Positive = stronger association with congruent pairing. Percentile vs BodhInsight research norm.</w:t>
            </w:r>
          </w:p>
        </w:tc>
      </w:tr>
      <w:tr>
        <w:tc>
          <w:tcPr>
            <w:tcW w:type="dxa" w:w="1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Dot Probe</w:t>
            </w:r>
          </w:p>
        </w:tc>
        <w:tc>
          <w:tcPr>
            <w:tcW w:type="dxa" w:w="3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Mean RT behind neutral − mean RT behind threat stimuli. Outliers excluded (&lt;150ms or &gt;2000ms).</w:t>
            </w:r>
          </w:p>
        </w:tc>
        <w:tc>
          <w:tcPr>
            <w:tcW w:type="dxa" w:w="42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Attentional bias index. Positive = bias toward threat. Percentile vs published clinical norms.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Stroop</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Mean incongruent RT − mean congruent RT. Interference score in milliseconds.</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Interference score. Larger = lower inhibitory control. Percentile vs Indian working adult norms.</w:t>
            </w:r>
          </w:p>
        </w:tc>
      </w:tr>
      <w:tr>
        <w:tc>
          <w:tcPr>
            <w:tcW w:type="dxa" w:w="1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Go/No-Go</w:t>
            </w:r>
          </w:p>
        </w:tc>
        <w:tc>
          <w:tcPr>
            <w:tcW w:type="dxa" w:w="3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Commission error rate (false alarms to No-Go) + omission error rate. Mean RT on Go trials.</w:t>
            </w:r>
          </w:p>
        </w:tc>
        <w:tc>
          <w:tcPr>
            <w:tcW w:type="dxa" w:w="42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Inhibitory control index. Error rates + RT combined. Clinical cutoffs for ADHD screening.</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N-Back</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Accuracy (d-prime) at each N level. Highest N level with d-prime &gt;1.5 as working memory span estimate.</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Working memory span estimate. Percentile vs age-matched Indian adult norms.</w:t>
            </w:r>
          </w:p>
        </w:tc>
      </w:tr>
      <w:tr>
        <w:tc>
          <w:tcPr>
            <w:tcW w:type="dxa" w:w="1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Delay Discounting</w:t>
            </w:r>
          </w:p>
        </w:tc>
        <w:tc>
          <w:tcPr>
            <w:tcW w:type="dxa" w:w="3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Hyperbolic discounting parameter k computed from indifference points across delay conditions.</w:t>
            </w:r>
          </w:p>
        </w:tc>
        <w:tc>
          <w:tcPr>
            <w:tcW w:type="dxa" w:w="42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Discounting rate k. Higher k = steeper discounting = higher impulsivity. Log-transformed for normality.</w:t>
            </w:r>
          </w:p>
        </w:tc>
      </w:tr>
    </w:tbl>
    <w:p>
      <w:pPr>
        <w:spacing w:before="100" w:after="0"/>
      </w:pPr>
      <w:r>
        <w:t xml:space="preserve"/>
      </w:r>
    </w:p>
    <w:p>
      <w:pPr>
        <w:pStyle w:val="Heading3"/>
      </w:pPr>
      <w:r>
        <w:rPr>
          <w:rFonts w:ascii="Arial" w:cs="Arial" w:eastAsia="Arial" w:hAnsi="Arial"/>
          <w:b/>
          <w:bCs/>
          <w:color w:val="3C3489"/>
          <w:sz w:val="24"/>
          <w:szCs w:val="24"/>
        </w:rPr>
        <w:t xml:space="preserve">Integration with Standard BodhAssess Sessions</w:t>
      </w:r>
    </w:p>
    <w:p>
      <w:pPr>
        <w:spacing w:before="60" w:after="0"/>
      </w:pPr>
      <w:r>
        <w:t xml:space="preserve"/>
      </w:r>
    </w:p>
    <w:p>
      <w:pPr>
        <w:spacing w:before="0" w:after="100"/>
      </w:pPr>
      <w:r>
        <w:rPr>
          <w:rFonts w:ascii="Arial" w:cs="Arial" w:eastAsia="Arial" w:hAnsi="Arial"/>
          <w:color w:val="1C1C1A"/>
          <w:sz w:val="20"/>
          <w:szCs w:val="20"/>
        </w:rPr>
        <w:t xml:space="preserve">Experimental paradigms can be combined with standard psychometric instruments in a single BodhAssess session. Example: GAD-7 (self-report anxiety) → Dot Probe Task (implicit attentional bias toward threat) → DASS-21 (depression/anxiety/stress) — all in one session, data unified in a single session record. Reports present explicit instrument scores and experimental paradigm scores side by side, allowing clinicians and researchers to examine convergence between implicit and explicit measures. This multi-method capability — self-report, performance-based, and experimental measures in one platform — is unique in the Indian psychometric market.</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100"/>
              <w:left w:type="dxa" w:w="200"/>
              <w:bottom w:type="dxa" w:w="100"/>
              <w:right w:type="dxa" w:w="200"/>
            </w:tcMar>
          </w:tcPr>
          <w:p>
            <w:r>
              <w:rPr>
                <w:rFonts w:ascii="Arial" w:cs="Arial" w:eastAsia="Arial" w:hAnsi="Arial"/>
                <w:b/>
                <w:bCs/>
                <w:color w:val="FFFFFF"/>
                <w:sz w:val="22"/>
                <w:szCs w:val="22"/>
              </w:rPr>
              <w:t xml:space="preserve">2.6  White-Label Vertical</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80"/>
              <w:left w:type="dxa" w:w="180"/>
              <w:bottom w:type="dxa" w:w="60"/>
              <w:right w:type="dxa" w:w="180"/>
            </w:tcMar>
          </w:tcPr>
          <w:p>
            <w:r>
              <w:rPr>
                <w:rFonts w:ascii="Arial" w:cs="Arial" w:eastAsia="Arial" w:hAnsi="Arial"/>
                <w:b/>
                <w:bCs/>
                <w:color w:val="FFFFFF"/>
                <w:sz w:val="18"/>
                <w:szCs w:val="18"/>
              </w:rPr>
              <w:t xml:space="preserve">VERTICAL PURPOSE</w:t>
            </w:r>
          </w:p>
        </w:tc>
      </w:tr>
      <w:tr>
        <w:tc>
          <w:tcPr>
            <w:tcBorders>
              <w:top w:val="single" w:color="185FA5" w:sz="4"/>
              <w:left w:val="single" w:color="185FA5" w:sz="8"/>
              <w:bottom w:val="single" w:color="185FA5" w:sz="4"/>
              <w:right w:val="single" w:color="185FA5" w:sz="4"/>
            </w:tcBorders>
            <w:shd w:fill="E6F1FB"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The White-Label vertical enables schools, hospitals, counselling centres, corporate L&amp;D teams, and assessment consultancies to run BodhAssess under their own brand identity — with their own domain, logo, report letterhead, and terminology. It is a meta-vertical: the institution selects which underlying vertical (Clinical, Industrial, or Counselling) their white-label instance runs on, and Bodh wraps it in the institution's complete brand identity. End users — students, patients, employees, candidates — never see the Bodh name.</w:t>
            </w:r>
          </w:p>
        </w:tc>
      </w:tr>
    </w:tbl>
    <w:p>
      <w:pPr>
        <w:spacing w:before="100" w:after="0"/>
      </w:pPr>
      <w:r>
        <w:t xml:space="preserve"/>
      </w:r>
    </w:p>
    <w:p>
      <w:pPr>
        <w:pStyle w:val="Heading3"/>
      </w:pPr>
      <w:r>
        <w:rPr>
          <w:rFonts w:ascii="Arial" w:cs="Arial" w:eastAsia="Arial" w:hAnsi="Arial"/>
          <w:b/>
          <w:bCs/>
          <w:color w:val="3C3489"/>
          <w:sz w:val="24"/>
          <w:szCs w:val="24"/>
        </w:rPr>
        <w:t xml:space="preserve">The Four Doors — How White-Label Fits</w:t>
      </w:r>
    </w:p>
    <w:p>
      <w:pPr>
        <w:spacing w:before="60" w:after="0"/>
      </w:pPr>
      <w:r>
        <w:t xml:space="preserve"/>
      </w:r>
    </w:p>
    <w:p>
      <w:pPr>
        <w:spacing w:before="0" w:after="100"/>
      </w:pPr>
      <w:r>
        <w:rPr>
          <w:rFonts w:ascii="Arial" w:cs="Arial" w:eastAsia="Arial" w:hAnsi="Arial"/>
          <w:color w:val="1C1C1A"/>
          <w:sz w:val="20"/>
          <w:szCs w:val="20"/>
        </w:rPr>
        <w:t xml:space="preserve">The vertical selection screen presents four doors at login. The White-Label door is the fourth. When a practitioner or administrator logs into a white-label account, they do not see the Bodh interface — they see their institution's branded portal. The four-door selection screen is Bodh's internal navigation. White-label clients bypass it: their login lands directly inside their branded vertical.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What the Institution Configures</w:t>
            </w:r>
          </w:p>
        </w:tc>
        <w:tc>
          <w:tcPr>
            <w:tcW w:type="dxa" w:w="2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42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Underlying vertical</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 Industrial · Counselling (choose one per white-label instance)</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 Mary's School → Counselling vertical. Apollo Hospital → Clinical vertical. Infosys L&amp;D → Industrial vertical.</w:t>
            </w:r>
          </w:p>
        </w:tc>
      </w:tr>
      <w:tr>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Domain</w:t>
            </w:r>
          </w:p>
        </w:tc>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Custom subdomain or full domain</w:t>
            </w:r>
          </w:p>
        </w:tc>
        <w:tc>
          <w:tcPr>
            <w:tcW w:type="dxa" w:w="4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assess.stmarys.edu.in · psych.apollohospitals.com · learn.infosys.com</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Brand identity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Logo, primary colour, secondary colour, font, favicon, email sender name</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 Mary's School logo + school colours + 'From: St. Mary's Wellness Team'</w:t>
            </w:r>
          </w:p>
        </w:tc>
      </w:tr>
      <w:tr>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Terminology</w:t>
            </w:r>
          </w:p>
        </w:tc>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platform labels configurable — roles, people, sessions, assessments</w:t>
            </w:r>
          </w:p>
        </w:tc>
        <w:tc>
          <w:tcPr>
            <w:tcW w:type="dxa" w:w="4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'Students' not 'Candidates' · 'Wellness Assessment' not 'Psychometric Test' · 'School Counsellor' not 'Practitioner'</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 branding</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report letterhead with institution details</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Dr. [Name], M.Sc. Psychology, St. Mary's School, CBSE Affiliation No. XXXXXX</w:t>
            </w:r>
          </w:p>
        </w:tc>
      </w:tr>
      <w:tr>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 library</w:t>
            </w:r>
          </w:p>
        </w:tc>
        <w:tc>
          <w:tcPr>
            <w:tcW w:type="dxa" w:w="2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Inherits underlying vertical's library + can add custom instruments via Tier 3/4</w:t>
            </w:r>
          </w:p>
        </w:tc>
        <w:tc>
          <w:tcPr>
            <w:tcW w:type="dxa" w:w="42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gets full Counselling library + can upload their own standardised developmental tool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Access tiers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Any tier available — configured at institution onboarding</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 Tier 1 + Tier 2. Hospital → Tier 2 + Tier 5. Consultancy → Tier 3 + Tier 4.</w:t>
            </w:r>
          </w:p>
        </w:tc>
      </w:tr>
    </w:tbl>
    <w:p>
      <w:pPr>
        <w:spacing w:before="100" w:after="0"/>
      </w:pPr>
      <w:r>
        <w:t xml:space="preserve"/>
      </w:r>
    </w:p>
    <w:p>
      <w:pPr>
        <w:pStyle w:val="Heading3"/>
      </w:pPr>
      <w:r>
        <w:rPr>
          <w:rFonts w:ascii="Arial" w:cs="Arial" w:eastAsia="Arial" w:hAnsi="Arial"/>
          <w:b/>
          <w:bCs/>
          <w:color w:val="3C3489"/>
          <w:sz w:val="24"/>
          <w:szCs w:val="24"/>
        </w:rPr>
        <w:t xml:space="preserve">White-Label Use Cases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3026"/>
      </w:tblGrid>
      <w:tr>
        <w:trPr>
          <w:tblHeader/>
        </w:trPr>
        <w:tc>
          <w:tcPr>
            <w:tcW w:type="dxa" w:w="20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Institution Type</w:t>
            </w:r>
          </w:p>
        </w:tc>
        <w:tc>
          <w:tcPr>
            <w:tcW w:type="dxa" w:w="1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Underlying Vertical</w:t>
            </w:r>
          </w:p>
        </w:tc>
        <w:tc>
          <w:tcPr>
            <w:tcW w:type="dxa" w:w="2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What They See</w:t>
            </w:r>
          </w:p>
        </w:tc>
        <w:tc>
          <w:tcPr>
            <w:tcW w:type="dxa" w:w="30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What Their Users See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CBSE School / School Group</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administrator dashboard with class-level wellness data, counsellor caseload, parent consent tracking</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 Mary's Wellness Portal' — branded assessment interface, school-coloured reports, school counsellor's name on reports</w:t>
            </w:r>
          </w:p>
        </w:tc>
      </w:tr>
      <w:tr>
        <w:tc>
          <w:tcPr>
            <w:tcW w:type="dxa" w:w="2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Private Hospital / Mental Health Clinic</w:t>
            </w:r>
          </w:p>
        </w:tc>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director dashboard with clinician caseload, outcome tracking, research data (if opted in)</w:t>
            </w:r>
          </w:p>
        </w:tc>
        <w:tc>
          <w:tcPr>
            <w:tcW w:type="dxa" w:w="3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'Apollo Mind Wellness Assessment' — hospital-branded clinical assessment, consultant psychiatrist's name, hospital letterhead reports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Corporate L&amp;D Team</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dashboard with competency profiles, assessment completion rates, learning plan briefs for BodhLearn</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'Infosys iAssess' — company-branded assessment portal, role-specific batteries, branded psychometric report</w:t>
            </w:r>
          </w:p>
        </w:tc>
      </w:tr>
      <w:tr>
        <w:tc>
          <w:tcPr>
            <w:tcW w:type="dxa" w:w="20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Consultancy</w:t>
            </w:r>
          </w:p>
        </w:tc>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 Industrial (separate instances)</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Multi-client management dashboard — see all their end-client organisations</w:t>
            </w:r>
          </w:p>
        </w:tc>
        <w:tc>
          <w:tcPr>
            <w:tcW w:type="dxa" w:w="3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End-client organisations each see the consultancy's brand, not Bodh — 'MindMetrics Assessment Platform'</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University Psychology Department</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 Counselling</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Research data dashboard, student practitioner management, IRB-compatible research tools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Students and research participants see university-branded interface — 'IIT Delhi Psychology Research Portal'</w:t>
            </w:r>
          </w:p>
        </w:tc>
      </w:tr>
    </w:tbl>
    <w:p>
      <w:pPr>
        <w:spacing w:before="100" w:after="0"/>
      </w:pPr>
      <w:r>
        <w:t xml:space="preserve"/>
      </w:r>
    </w:p>
    <w:p>
      <w:pPr>
        <w:pStyle w:val="Heading3"/>
      </w:pPr>
      <w:r>
        <w:rPr>
          <w:rFonts w:ascii="Arial" w:cs="Arial" w:eastAsia="Arial" w:hAnsi="Arial"/>
          <w:b/>
          <w:bCs/>
          <w:color w:val="3C3489"/>
          <w:sz w:val="24"/>
          <w:szCs w:val="24"/>
        </w:rPr>
        <w:t xml:space="preserve">White-Label — What Stays Bodh</w:t>
      </w:r>
    </w:p>
    <w:p>
      <w:pPr>
        <w:spacing w:before="60" w:after="0"/>
      </w:pPr>
      <w:r>
        <w:t xml:space="preserve"/>
      </w:r>
    </w:p>
    <w:p>
      <w:pPr>
        <w:spacing w:before="0" w:after="100"/>
      </w:pPr>
      <w:r>
        <w:rPr>
          <w:rFonts w:ascii="Arial" w:cs="Arial" w:eastAsia="Arial" w:hAnsi="Arial"/>
          <w:color w:val="1C1C1A"/>
          <w:sz w:val="20"/>
          <w:szCs w:val="20"/>
        </w:rPr>
        <w:t xml:space="preserve">White-labeling changes the identity layer. The underlying product infrastructure remains Bodh's. This is important both technically and legally:</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All white-label data is stored on Bodh's DigitalOcean BLR1/BOM1 infrastructure. The institution does not need their own servers. — </w:t>
      </w:r>
      <w:r>
        <w:rPr>
          <w:rFonts w:ascii="Arial" w:cs="Arial" w:eastAsia="Arial" w:hAnsi="Arial"/>
          <w:color w:val="1C1C1A"/>
          <w:sz w:val="19"/>
          <w:szCs w:val="19"/>
        </w:rPr>
        <w:t xml:space="preserve">Infrastructure</w:t>
      </w:r>
    </w:p>
    <w:p>
      <w:pPr>
        <w:pStyle w:val="ListParagraph"/>
        <w:numPr>
          <w:ilvl w:val="0"/>
          <w:numId w:val="2"/>
        </w:numPr>
        <w:spacing w:before="50" w:after="50"/>
      </w:pPr>
      <w:r>
        <w:rPr>
          <w:rFonts w:ascii="Arial" w:cs="Arial" w:eastAsia="Arial" w:hAnsi="Arial"/>
          <w:b/>
          <w:bCs/>
          <w:color w:val="3C3489"/>
          <w:sz w:val="19"/>
          <w:szCs w:val="19"/>
        </w:rPr>
        <w:t xml:space="preserve">The CAT engine, IRT model, BKT, BodhLens, AI proctoring, and Claude API integration are all Bodh's infrastructure — not replicated per institution. — </w:t>
      </w:r>
      <w:r>
        <w:rPr>
          <w:rFonts w:ascii="Arial" w:cs="Arial" w:eastAsia="Arial" w:hAnsi="Arial"/>
          <w:color w:val="1C1C1A"/>
          <w:sz w:val="19"/>
          <w:szCs w:val="19"/>
        </w:rPr>
        <w:t xml:space="preserve">Psychometric engine</w:t>
      </w:r>
    </w:p>
    <w:p>
      <w:pPr>
        <w:pStyle w:val="ListParagraph"/>
        <w:numPr>
          <w:ilvl w:val="0"/>
          <w:numId w:val="2"/>
        </w:numPr>
        <w:spacing w:before="50" w:after="50"/>
      </w:pPr>
      <w:r>
        <w:rPr>
          <w:rFonts w:ascii="Arial" w:cs="Arial" w:eastAsia="Arial" w:hAnsi="Arial"/>
          <w:b/>
          <w:bCs/>
          <w:color w:val="3C3489"/>
          <w:sz w:val="19"/>
          <w:szCs w:val="19"/>
        </w:rPr>
        <w:t xml:space="preserve">Even in white-label mode, Bodh maintains the DPDP audit trail. The institution is the data controller; Bodh is the data processor. The DPA specifies this relationship. — </w:t>
      </w:r>
      <w:r>
        <w:rPr>
          <w:rFonts w:ascii="Arial" w:cs="Arial" w:eastAsia="Arial" w:hAnsi="Arial"/>
          <w:color w:val="1C1C1A"/>
          <w:sz w:val="19"/>
          <w:szCs w:val="19"/>
        </w:rPr>
        <w:t xml:space="preserve">DPDP audit trail</w:t>
      </w:r>
    </w:p>
    <w:p>
      <w:pPr>
        <w:pStyle w:val="ListParagraph"/>
        <w:numPr>
          <w:ilvl w:val="0"/>
          <w:numId w:val="2"/>
        </w:numPr>
        <w:spacing w:before="50" w:after="50"/>
      </w:pPr>
      <w:r>
        <w:rPr>
          <w:rFonts w:ascii="Arial" w:cs="Arial" w:eastAsia="Arial" w:hAnsi="Arial"/>
          <w:b/>
          <w:bCs/>
          <w:color w:val="3C3489"/>
          <w:sz w:val="19"/>
          <w:szCs w:val="19"/>
        </w:rPr>
        <w:t xml:space="preserve">The report body and interface carry the institution's branding. The system-level footer (e.g., privacy policy link) discloses 'Powered by Bodh Psychometric Solutions' — required for DPDP processor transparency. This is the only place the Bodh name appears in the white-label interface. — </w:t>
      </w:r>
      <w:r>
        <w:rPr>
          <w:rFonts w:ascii="Arial" w:cs="Arial" w:eastAsia="Arial" w:hAnsi="Arial"/>
          <w:color w:val="1C1C1A"/>
          <w:sz w:val="19"/>
          <w:szCs w:val="19"/>
        </w:rPr>
        <w:t xml:space="preserve">System footer</w:t>
      </w:r>
    </w:p>
    <w:p>
      <w:pPr>
        <w:pStyle w:val="ListParagraph"/>
        <w:numPr>
          <w:ilvl w:val="0"/>
          <w:numId w:val="2"/>
        </w:numPr>
        <w:spacing w:before="50" w:after="50"/>
      </w:pPr>
      <w:r>
        <w:rPr>
          <w:rFonts w:ascii="Arial" w:cs="Arial" w:eastAsia="Arial" w:hAnsi="Arial"/>
          <w:b/>
          <w:bCs/>
          <w:color w:val="3C3489"/>
          <w:sz w:val="19"/>
          <w:szCs w:val="19"/>
        </w:rPr>
        <w:t xml:space="preserve">White-label clients can opt their anonymised data into BodhInsight cross-client benchmarking. This is always opt-in and disclosed in the DPA. The institution benefits from better norms; Bodh benefits from more data. — </w:t>
      </w:r>
      <w:r>
        <w:rPr>
          <w:rFonts w:ascii="Arial" w:cs="Arial" w:eastAsia="Arial" w:hAnsi="Arial"/>
          <w:color w:val="1C1C1A"/>
          <w:sz w:val="19"/>
          <w:szCs w:val="19"/>
        </w:rPr>
        <w:t xml:space="preserve">BodhInsight contribution</w:t>
      </w:r>
    </w:p>
    <w:p>
      <w:pPr>
        <w:spacing w:before="100" w:after="0"/>
      </w:pPr>
      <w:r>
        <w:t xml:space="preserve"/>
      </w:r>
    </w:p>
    <w:p>
      <w:pPr>
        <w:pStyle w:val="Heading3"/>
      </w:pPr>
      <w:r>
        <w:rPr>
          <w:rFonts w:ascii="Arial" w:cs="Arial" w:eastAsia="Arial" w:hAnsi="Arial"/>
          <w:b/>
          <w:bCs/>
          <w:color w:val="3C3489"/>
          <w:sz w:val="24"/>
          <w:szCs w:val="24"/>
        </w:rPr>
        <w:t xml:space="preserve">White-Label — Multi-Counsellor and Multi-Administrator Access</w:t>
      </w:r>
    </w:p>
    <w:p>
      <w:pPr>
        <w:spacing w:before="60" w:after="0"/>
      </w:pPr>
      <w:r>
        <w:t xml:space="preserve"/>
      </w:r>
    </w:p>
    <w:p>
      <w:pPr>
        <w:spacing w:before="0" w:after="100"/>
      </w:pPr>
      <w:r>
        <w:rPr>
          <w:rFonts w:ascii="Arial" w:cs="Arial" w:eastAsia="Arial" w:hAnsi="Arial"/>
          <w:color w:val="1C1C1A"/>
          <w:sz w:val="20"/>
          <w:szCs w:val="20"/>
        </w:rPr>
        <w:t xml:space="preserve">White-label accounts support hierarchical access within the institution — mirroring real organisational structures: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36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Platform Administrator (Institution)</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account management — add/remove practitioners, configure instrument library, view aggregate dashboards, manage billing</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Head of Psychology Dept. / School Principal / HR Director</w:t>
            </w:r>
          </w:p>
        </w:tc>
      </w:tr>
      <w:tr>
        <w:tc>
          <w:tcPr>
            <w:tcW w:type="dxa" w:w="2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Senior Practitioner / Supervisor</w:t>
            </w:r>
          </w:p>
        </w:tc>
        <w:tc>
          <w:tcPr>
            <w:tcW w:type="dxa" w:w="3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Own caseload + can view supervisee caseloads with their permission. Approve junior practitioners' reports before finalisation.</w:t>
            </w:r>
          </w:p>
        </w:tc>
        <w:tc>
          <w:tcPr>
            <w:tcW w:type="dxa" w:w="3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Senior School Counsellor / Consultant Psychiatrist / Senior HR Business Partner</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Own caseload only. Cannot see other practitioners' data.</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Counsellor / Clinical Psychologist / HR Generalist</w:t>
            </w:r>
          </w:p>
        </w:tc>
      </w:tr>
      <w:tr>
        <w:tc>
          <w:tcPr>
            <w:tcW w:type="dxa" w:w="2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BodhLens Viewer (Read-only)</w:t>
            </w:r>
          </w:p>
        </w:tc>
        <w:tc>
          <w:tcPr>
            <w:tcW w:type="dxa" w:w="3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Aggregate dashboards and analytics only. No individual assessment records.</w:t>
            </w:r>
          </w:p>
        </w:tc>
        <w:tc>
          <w:tcPr>
            <w:tcW w:type="dxa" w:w="3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Principal / Hospital Medical Director / CHRO</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Respondent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their own assessment interface. Cannot see any other data.</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Student / Patient / Employee / Candidate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3 — Question Bank and Adaptive Delivery Engine</w:t>
            </w:r>
          </w:p>
        </w:tc>
      </w:tr>
    </w:tbl>
    <w:p>
      <w:pPr>
        <w:spacing w:before="160" w:after="0"/>
      </w:pPr>
      <w:r>
        <w:t xml:space="preserve"/>
      </w:r>
    </w:p>
    <w:p>
      <w:pPr>
        <w:pStyle w:val="Heading1"/>
      </w:pPr>
      <w:r>
        <w:rPr>
          <w:rFonts w:ascii="Arial" w:cs="Arial" w:eastAsia="Arial" w:hAnsi="Arial"/>
          <w:b/>
          <w:bCs/>
          <w:color w:val="3C3489"/>
          <w:sz w:val="36"/>
          <w:szCs w:val="36"/>
        </w:rPr>
        <w:t xml:space="preserve">3.1  Question Bank Architecture</w:t>
      </w:r>
    </w:p>
    <w:p>
      <w:pPr>
        <w:spacing w:before="80" w:after="0"/>
      </w:pPr>
      <w:r>
        <w:t xml:space="preserve"/>
      </w:r>
    </w:p>
    <w:p>
      <w:pPr>
        <w:spacing w:before="0" w:after="100"/>
      </w:pPr>
      <w:r>
        <w:rPr>
          <w:rFonts w:ascii="Arial" w:cs="Arial" w:eastAsia="Arial" w:hAnsi="Arial"/>
          <w:color w:val="1C1C1A"/>
          <w:sz w:val="20"/>
          <w:szCs w:val="20"/>
        </w:rPr>
        <w:t xml:space="preserve">The BodhAssess question bank is the central repository of all psychometric items across all three verticals. At Phase 1 launch, the bank contains 100,000+ calibrated items. The bank is not a flat database of questions — it is a psychometrically structured item pool where every item carries a full set of IRT parameters, metadata tags, and validation status indicators.</w:t>
      </w:r>
    </w:p>
    <w:p>
      <w:pPr>
        <w:spacing w:before="80" w:after="0"/>
      </w:pPr>
      <w:r>
        <w:t xml:space="preserve"/>
      </w:r>
    </w:p>
    <w:p>
      <w:pPr>
        <w:pStyle w:val="Heading3"/>
      </w:pPr>
      <w:r>
        <w:rPr>
          <w:rFonts w:ascii="Arial" w:cs="Arial" w:eastAsia="Arial" w:hAnsi="Arial"/>
          <w:b/>
          <w:bCs/>
          <w:color w:val="3C3489"/>
          <w:sz w:val="24"/>
          <w:szCs w:val="24"/>
        </w:rPr>
        <w:t xml:space="preserve">Item Metadata Schema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2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0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item_id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UUID</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Unique identifier — immutable once published. Items are never deleted, only deprecated.</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vertical</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Enum</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 INDUSTRIAL | COUNSELLING — the primary vertical this item belongs to.</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sub_domain</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String</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Specific construct: e.g. 'GAD-7:Item3' or 'Big5:Conscientiousness:Orderliness'</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item_format</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Enum</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MCQ | RATING_SCALE | MATRIX | LIKERT | SJT | FREE_TEXT | AUDIO | IMAGE_CHOICE | RANKING</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irt_a</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Float</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Discrimination parameter (a-value). Higher = item better differentiates between θ levels. Typical range: 0.5–2.5</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irt_b</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Float</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Difficulty parameter (b-value). The θ at which P(correct) = 0.5 (for dichotomous) or inflection point for polytomous.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irt_c</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Float</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Pseudo-guessing parameter (c-value). For MCQ items. Probability of correct response by chance.</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languages</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Array</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Languages in which this item has been validated. e.g. ['en','hi','ta','te','mr']</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norm_group</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JSON</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Normative data: mean, SD, percentile table, by relevant subgroup (age, gender, sector, education).</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validation_status</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Enum</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DRAFT | PILOTING | CALIBRATED | VALIDATED | DEPRECATED</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clinical_risk_flag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Boolean</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If true, a specific response triggers a clinical alert to the practitioner dashboard.</w:t>
            </w:r>
          </w:p>
        </w:tc>
      </w:tr>
      <w:tr>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author_id</w:t>
            </w:r>
          </w:p>
        </w:tc>
        <w:tc>
          <w:tcPr>
            <w:tcW w:type="dxa" w:w="12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UUID</w:t>
            </w:r>
          </w:p>
        </w:tc>
        <w:tc>
          <w:tcPr>
            <w:tcW w:type="dxa" w:w="6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References the practitioner or Bodh team member who created this item.</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created_at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Timestamp</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Creation date — preserved for instrument versioning.</w:t>
            </w:r>
          </w:p>
        </w:tc>
      </w:tr>
    </w:tbl>
    <w:p>
      <w:pPr>
        <w:spacing w:before="120" w:after="0"/>
      </w:pPr>
      <w:r>
        <w:t xml:space="preserve"/>
      </w:r>
    </w:p>
    <w:p>
      <w:pPr>
        <w:pStyle w:val="Heading2"/>
      </w:pPr>
      <w:r>
        <w:rPr>
          <w:rFonts w:ascii="Arial" w:cs="Arial" w:eastAsia="Arial" w:hAnsi="Arial"/>
          <w:b/>
          <w:bCs/>
          <w:color w:val="0F6E56"/>
          <w:sz w:val="28"/>
          <w:szCs w:val="28"/>
        </w:rPr>
        <w:t xml:space="preserve">3.2  Computerised Adaptive Testing Engine</w:t>
      </w:r>
    </w:p>
    <w:p>
      <w:pPr>
        <w:spacing w:before="80" w:after="0"/>
      </w:pPr>
      <w:r>
        <w:t xml:space="preserve"/>
      </w:r>
    </w:p>
    <w:p>
      <w:pPr>
        <w:spacing w:before="0" w:after="100"/>
      </w:pPr>
      <w:r>
        <w:rPr>
          <w:rFonts w:ascii="Arial" w:cs="Arial" w:eastAsia="Arial" w:hAnsi="Arial"/>
          <w:color w:val="1C1C1A"/>
          <w:sz w:val="20"/>
          <w:szCs w:val="20"/>
        </w:rPr>
        <w:t xml:space="preserve">BodhAssess implements the 3-Parameter Logistic (3PL) IRT model for adaptive test delivery. The 3PL model specifies the probability of a correct response as a function of the respondent's latent trait (θ), item difficulty (b), item discrimination (a), and pseudo-guessing (c):</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C3489" w:sz="4"/>
              <w:left w:val="single" w:color="3C3489" w:sz="4"/>
              <w:bottom w:val="single" w:color="3C3489" w:sz="4"/>
              <w:right w:val="single" w:color="3C3489" w:sz="4"/>
            </w:tcBorders>
            <w:shd w:fill="EEEDFE" w:val="clear"/>
            <w:tcMar>
              <w:top w:type="dxa" w:w="120"/>
              <w:left w:type="dxa" w:w="200"/>
              <w:bottom w:type="dxa" w:w="120"/>
              <w:right w:type="dxa" w:w="200"/>
            </w:tcMar>
          </w:tcPr>
          <w:p>
            <w:pPr>
              <w:jc w:val="center"/>
            </w:pPr>
            <w:r>
              <w:rPr>
                <w:rFonts w:ascii="Courier New" w:cs="Courier New" w:eastAsia="Courier New" w:hAnsi="Courier New"/>
                <w:b/>
                <w:bCs/>
                <w:color w:val="3C3489"/>
                <w:sz w:val="24"/>
                <w:szCs w:val="24"/>
              </w:rPr>
              <w:t xml:space="preserve">P(θ) = c + (1−c) · [1 / (1 + e^(−1.7a(θ−b)))]</w:t>
            </w:r>
          </w:p>
          <w:p>
            <w:pPr>
              <w:spacing w:before="60" w:after="0"/>
              <w:jc w:val="center"/>
            </w:pPr>
            <w:r>
              <w:rPr>
                <w:rFonts w:ascii="Arial" w:cs="Arial" w:eastAsia="Arial" w:hAnsi="Arial"/>
                <w:color w:val="666666"/>
                <w:sz w:val="17"/>
                <w:szCs w:val="17"/>
              </w:rPr>
              <w:t xml:space="preserve">where θ = latent trait, a = discrimination, b = difficulty, c = pseudo-guessing</w:t>
            </w:r>
          </w:p>
        </w:tc>
      </w:tr>
    </w:tbl>
    <w:p>
      <w:pPr>
        <w:spacing w:before="80" w:after="0"/>
      </w:pPr>
      <w:r>
        <w:t xml:space="preserve"/>
      </w:r>
    </w:p>
    <w:p>
      <w:pPr>
        <w:pStyle w:val="Heading3"/>
      </w:pPr>
      <w:r>
        <w:rPr>
          <w:rFonts w:ascii="Arial" w:cs="Arial" w:eastAsia="Arial" w:hAnsi="Arial"/>
          <w:b/>
          <w:bCs/>
          <w:color w:val="3C3489"/>
          <w:sz w:val="24"/>
          <w:szCs w:val="24"/>
        </w:rPr>
        <w:t xml:space="preserve">CAT Algorithm — Step by Step</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θ is initialised at 0 (population mean). Starting item: b-value closest to θ=0 with highest a-value among items in the target construct domain. — </w:t>
      </w:r>
      <w:r>
        <w:rPr>
          <w:rFonts w:ascii="Arial" w:cs="Arial" w:eastAsia="Arial" w:hAnsi="Arial"/>
          <w:color w:val="1C1C1A"/>
          <w:sz w:val="19"/>
          <w:szCs w:val="19"/>
        </w:rPr>
        <w:t xml:space="preserve">Initialisation</w:t>
      </w:r>
    </w:p>
    <w:p>
      <w:pPr>
        <w:pStyle w:val="ListParagraph"/>
        <w:numPr>
          <w:ilvl w:val="0"/>
          <w:numId w:val="2"/>
        </w:numPr>
        <w:spacing w:before="50" w:after="50"/>
      </w:pPr>
      <w:r>
        <w:rPr>
          <w:rFonts w:ascii="Arial" w:cs="Arial" w:eastAsia="Arial" w:hAnsi="Arial"/>
          <w:b/>
          <w:bCs/>
          <w:color w:val="3C3489"/>
          <w:sz w:val="19"/>
          <w:szCs w:val="19"/>
        </w:rPr>
        <w:t xml:space="preserve">Maximum Fisher Information criterion — select the item with highest information I(θ) at the current θ estimate. I(θ) = a²·P(θ)·(1−P(θ)) for 3PL. Items already administered are excluded. Content balancing constraints: no more than 30% of items from any single sub-domain. — </w:t>
      </w:r>
      <w:r>
        <w:rPr>
          <w:rFonts w:ascii="Arial" w:cs="Arial" w:eastAsia="Arial" w:hAnsi="Arial"/>
          <w:color w:val="1C1C1A"/>
          <w:sz w:val="19"/>
          <w:szCs w:val="19"/>
        </w:rPr>
        <w:t xml:space="preserve">Item Selection</w:t>
      </w:r>
    </w:p>
    <w:p>
      <w:pPr>
        <w:pStyle w:val="ListParagraph"/>
        <w:numPr>
          <w:ilvl w:val="0"/>
          <w:numId w:val="2"/>
        </w:numPr>
        <w:spacing w:before="50" w:after="50"/>
      </w:pPr>
      <w:r>
        <w:rPr>
          <w:rFonts w:ascii="Arial" w:cs="Arial" w:eastAsia="Arial" w:hAnsi="Arial"/>
          <w:b/>
          <w:bCs/>
          <w:color w:val="3C3489"/>
          <w:sz w:val="19"/>
          <w:szCs w:val="19"/>
        </w:rPr>
        <w:t xml:space="preserve">Maximum Likelihood Estimation (MLE) after each response. Weighted Likelihood Estimation (WLE) for short test lengths (n&lt;10) to reduce bias at extreme trait levels. — </w:t>
      </w:r>
      <w:r>
        <w:rPr>
          <w:rFonts w:ascii="Arial" w:cs="Arial" w:eastAsia="Arial" w:hAnsi="Arial"/>
          <w:color w:val="1C1C1A"/>
          <w:sz w:val="19"/>
          <w:szCs w:val="19"/>
        </w:rPr>
        <w:t xml:space="preserve">θ Estimation</w:t>
      </w:r>
    </w:p>
    <w:p>
      <w:pPr>
        <w:pStyle w:val="ListParagraph"/>
        <w:numPr>
          <w:ilvl w:val="0"/>
          <w:numId w:val="2"/>
        </w:numPr>
        <w:spacing w:before="50" w:after="50"/>
      </w:pPr>
      <w:r>
        <w:rPr>
          <w:rFonts w:ascii="Arial" w:cs="Arial" w:eastAsia="Arial" w:hAnsi="Arial"/>
          <w:b/>
          <w:bCs/>
          <w:color w:val="3C3489"/>
          <w:sz w:val="19"/>
          <w:szCs w:val="19"/>
        </w:rPr>
        <w:t xml:space="preserve">Test ends when: (a) Standard Error of Measurement (SEM) &lt; 0.30 (configurable per instrument), or (b) maximum item count reached (configurable, default 40 items), or (c) time limit expired. — </w:t>
      </w:r>
      <w:r>
        <w:rPr>
          <w:rFonts w:ascii="Arial" w:cs="Arial" w:eastAsia="Arial" w:hAnsi="Arial"/>
          <w:color w:val="1C1C1A"/>
          <w:sz w:val="19"/>
          <w:szCs w:val="19"/>
        </w:rPr>
        <w:t xml:space="preserve">Termination</w:t>
      </w:r>
    </w:p>
    <w:p>
      <w:pPr>
        <w:pStyle w:val="ListParagraph"/>
        <w:numPr>
          <w:ilvl w:val="0"/>
          <w:numId w:val="2"/>
        </w:numPr>
        <w:spacing w:before="50" w:after="50"/>
      </w:pPr>
      <w:r>
        <w:rPr>
          <w:rFonts w:ascii="Arial" w:cs="Arial" w:eastAsia="Arial" w:hAnsi="Arial"/>
          <w:b/>
          <w:bCs/>
          <w:color w:val="3C3489"/>
          <w:sz w:val="19"/>
          <w:szCs w:val="19"/>
        </w:rPr>
        <w:t xml:space="preserve">Final θ estimate converted to T-score (T = 10θ + 50) and percentile rank against the relevant norm group. Confidence interval (θ ± 1.96·SEM) reported alongside point estimate. — </w:t>
      </w:r>
      <w:r>
        <w:rPr>
          <w:rFonts w:ascii="Arial" w:cs="Arial" w:eastAsia="Arial" w:hAnsi="Arial"/>
          <w:color w:val="1C1C1A"/>
          <w:sz w:val="19"/>
          <w:szCs w:val="19"/>
        </w:rPr>
        <w:t xml:space="preserve">Score Reporting</w:t>
      </w:r>
    </w:p>
    <w:p>
      <w:pPr>
        <w:spacing w:before="80" w:after="0"/>
      </w:pPr>
      <w:r>
        <w:t xml:space="preserve"/>
      </w:r>
    </w:p>
    <w:p>
      <w:pPr>
        <w:pStyle w:val="Heading3"/>
      </w:pPr>
      <w:r>
        <w:rPr>
          <w:rFonts w:ascii="Arial" w:cs="Arial" w:eastAsia="Arial" w:hAnsi="Arial"/>
          <w:b/>
          <w:bCs/>
          <w:color w:val="3C3489"/>
          <w:sz w:val="24"/>
          <w:szCs w:val="24"/>
        </w:rPr>
        <w:t xml:space="preserve">Fixed-Sequence Instruments</w:t>
      </w:r>
    </w:p>
    <w:p>
      <w:pPr>
        <w:spacing w:before="60" w:after="0"/>
      </w:pPr>
      <w:r>
        <w:t xml:space="preserve"/>
      </w:r>
    </w:p>
    <w:p>
      <w:pPr>
        <w:spacing w:before="0" w:after="100"/>
      </w:pPr>
      <w:r>
        <w:rPr>
          <w:rFonts w:ascii="Arial" w:cs="Arial" w:eastAsia="Arial" w:hAnsi="Arial"/>
          <w:color w:val="1C1C1A"/>
          <w:sz w:val="20"/>
          <w:szCs w:val="20"/>
        </w:rPr>
        <w:t xml:space="preserve">Validated clinical instruments with standardised administration requirements (PHQ-9, GAD-7, DASS-21, Beck scales) are delivered in their validated fixed sequence — the IRT engine is not used to reorder items, as doing so would invalidate the instrument's psychometric properties. For these instruments, the IRT model is used for scoring accuracy and norm referencing only. The CAT engine applies to Bodh-developed and custom instruments where adaptive delivery is permitted.</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4 — Report Generation Engine</w:t>
            </w:r>
          </w:p>
        </w:tc>
      </w:tr>
    </w:tbl>
    <w:p>
      <w:pPr>
        <w:spacing w:before="160" w:after="0"/>
      </w:pPr>
      <w:r>
        <w:t xml:space="preserve"/>
      </w:r>
    </w:p>
    <w:p>
      <w:pPr>
        <w:pStyle w:val="Heading1"/>
      </w:pPr>
      <w:r>
        <w:rPr>
          <w:rFonts w:ascii="Arial" w:cs="Arial" w:eastAsia="Arial" w:hAnsi="Arial"/>
          <w:b/>
          <w:bCs/>
          <w:color w:val="3C3489"/>
          <w:sz w:val="36"/>
          <w:szCs w:val="36"/>
        </w:rPr>
        <w:t xml:space="preserve">4.1  Report Generation Architecture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80"/>
              <w:left w:type="dxa" w:w="180"/>
              <w:bottom w:type="dxa" w:w="60"/>
              <w:right w:type="dxa" w:w="180"/>
            </w:tcMar>
          </w:tcPr>
          <w:p>
            <w:r>
              <w:rPr>
                <w:rFonts w:ascii="Arial" w:cs="Arial" w:eastAsia="Arial" w:hAnsi="Arial"/>
                <w:b/>
                <w:bCs/>
                <w:color w:val="FFFFFF"/>
                <w:sz w:val="18"/>
                <w:szCs w:val="18"/>
              </w:rPr>
              <w:t xml:space="preserve">CORE PRINCIPLE</w:t>
            </w:r>
          </w:p>
        </w:tc>
      </w:tr>
      <w:tr>
        <w:tc>
          <w:tcPr>
            <w:tcBorders>
              <w:top w:val="single" w:color="3C3489" w:sz="4"/>
              <w:left w:val="single" w:color="3C3489" w:sz="8"/>
              <w:bottom w:val="single" w:color="3C3489" w:sz="4"/>
              <w:right w:val="single" w:color="3C3489" w:sz="4"/>
            </w:tcBorders>
            <w:shd w:fill="EEEDFE"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Every report generated by BodhAssess is structured, professionally formatted, and adapted to the vertical in which it is generated. A clinical report uses clinical language, clinical formatting conventions, and clinically appropriate interpretive guidance. An industrial report uses competency language, norm-referenced percentile comparisons, and development-oriented framing. A counselling report uses developmental language, parent-friendly formatting, and referral pathway guidance. The same scoring data produces three entirely different report experiences depending on the vertical.</w:t>
            </w:r>
          </w:p>
        </w:tc>
      </w:tr>
    </w:tbl>
    <w:p>
      <w:pPr>
        <w:spacing w:before="120" w:after="0"/>
      </w:pPr>
      <w:r>
        <w:t xml:space="preserve"/>
      </w:r>
    </w:p>
    <w:p>
      <w:pPr>
        <w:pStyle w:val="Heading2"/>
      </w:pPr>
      <w:r>
        <w:rPr>
          <w:rFonts w:ascii="Arial" w:cs="Arial" w:eastAsia="Arial" w:hAnsi="Arial"/>
          <w:b/>
          <w:bCs/>
          <w:color w:val="0F6E56"/>
          <w:sz w:val="28"/>
          <w:szCs w:val="28"/>
        </w:rPr>
        <w:t xml:space="preserve">4.2  Report Generation Pipeline</w:t>
      </w:r>
    </w:p>
    <w:p>
      <w:pPr>
        <w:spacing w:before="80" w:after="0"/>
      </w:pPr>
      <w:r>
        <w:t xml:space="preserve"/>
      </w:r>
    </w:p>
    <w:p>
      <w:pPr>
        <w:spacing w:before="0" w:after="100"/>
      </w:pPr>
      <w:r>
        <w:rPr>
          <w:rFonts w:ascii="Arial" w:cs="Arial" w:eastAsia="Arial" w:hAnsi="Arial"/>
          <w:color w:val="1C1C1A"/>
          <w:sz w:val="20"/>
          <w:szCs w:val="20"/>
        </w:rPr>
        <w:t xml:space="preserve">Every BodhAssess report is generated through a four-stage pipeline: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626"/>
      </w:tblGrid>
      <w:tr>
        <w:trPr>
          <w:tblHeader/>
        </w:trPr>
        <w:tc>
          <w:tcPr>
            <w:tcW w:type="dxa" w:w="14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Process</w:t>
            </w:r>
          </w:p>
        </w:tc>
        <w:tc>
          <w:tcPr>
            <w:tcW w:type="dxa" w:w="24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6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 Score Computation</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Raw responses scored against item keys. IRT scoring for adaptive tests. Classical Test Theory scoring for fixed-format instruments. Subscale scores computed. Risk flags evaluated.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Python scoring engine. IRT library (py-irt). PostgreSQL for item keys and norm tables.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Structured JSON: raw scores, scaled scores, T-scores, percentile ranks, risk flags, subscale profiles.</w:t>
            </w:r>
          </w:p>
        </w:tc>
      </w:tr>
      <w:tr>
        <w:tc>
          <w:tcPr>
            <w:tcW w:type="dxa" w:w="1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 Norm Referencing</w:t>
            </w:r>
          </w:p>
        </w:tc>
        <w:tc>
          <w:tcPr>
            <w:tcW w:type="dxa" w:w="2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Scores compared against relevant norm group stored in PostgreSQL norm tables. Norm group selected automatically based on: vertical, instrument, respondent demographics (age, gender, sector, education level).</w:t>
            </w:r>
          </w:p>
        </w:tc>
        <w:tc>
          <w:tcPr>
            <w:tcW w:type="dxa" w:w="2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PostgreSQL norm tables. Python norm lookup service.</w:t>
            </w:r>
          </w:p>
        </w:tc>
        <w:tc>
          <w:tcPr>
            <w:tcW w:type="dxa" w:w="26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Norm-referenced scores: T-score, percentile rank, confidence intervals, severity classification label.</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 Template Rendering</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Scores and interpretive text merged into the vertical-specific report template. Templates built in HTML/CSS with jinja2 templating. Interpretive text: static text blocks triggered by score ranges, or AI-generated narrative for Tier 5 clients.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jinja2 templating engine. Python FastAPI report service. Static interpretive text library per instrument.</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Rendered HTML report with all scores, charts, interpretive text, and practitioner annotations.</w:t>
            </w:r>
          </w:p>
        </w:tc>
      </w:tr>
      <w:tr>
        <w:tc>
          <w:tcPr>
            <w:tcW w:type="dxa" w:w="1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4. PDF Generation</w:t>
            </w:r>
          </w:p>
        </w:tc>
        <w:tc>
          <w:tcPr>
            <w:tcW w:type="dxa" w:w="2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HTML report converted to professional PDF. Charts rendered as SVG before PDF conversion. Branded with client's logo and colour scheme for BodhStudio clients.</w:t>
            </w:r>
          </w:p>
        </w:tc>
        <w:tc>
          <w:tcPr>
            <w:tcW w:type="dxa" w:w="2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wkhtmltopdf + reportlab fallback. MinIO for PDF storage. Keycloak-protected download link.</w:t>
            </w:r>
          </w:p>
        </w:tc>
        <w:tc>
          <w:tcPr>
            <w:tcW w:type="dxa" w:w="26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Signed PDF stored in MinIO (DPDP-compliant, India data residency). Unique download token. 90-day access link.</w:t>
            </w:r>
          </w:p>
        </w:tc>
      </w:tr>
    </w:tbl>
    <w:p>
      <w:pPr>
        <w:spacing w:before="120" w:after="0"/>
      </w:pPr>
      <w:r>
        <w:t xml:space="preserve"/>
      </w:r>
    </w:p>
    <w:p>
      <w:pPr>
        <w:pStyle w:val="Heading2"/>
      </w:pPr>
      <w:r>
        <w:rPr>
          <w:rFonts w:ascii="Arial" w:cs="Arial" w:eastAsia="Arial" w:hAnsi="Arial"/>
          <w:b/>
          <w:bCs/>
          <w:color w:val="0F6E56"/>
          <w:sz w:val="28"/>
          <w:szCs w:val="28"/>
        </w:rPr>
        <w:t xml:space="preserve">4.3  Clinical Report Format</w:t>
      </w:r>
    </w:p>
    <w:p>
      <w:pPr>
        <w:spacing w:before="80" w:after="0"/>
      </w:pPr>
      <w:r>
        <w:t xml:space="preserve"/>
      </w:r>
    </w:p>
    <w:p>
      <w:pPr>
        <w:spacing w:before="0" w:after="100"/>
      </w:pPr>
      <w:r>
        <w:rPr>
          <w:rFonts w:ascii="Arial" w:cs="Arial" w:eastAsia="Arial" w:hAnsi="Arial"/>
          <w:color w:val="1C1C1A"/>
          <w:sz w:val="20"/>
          <w:szCs w:val="20"/>
        </w:rPr>
        <w:t xml:space="preserve">The clinical report is designed to meet the documentation standards expected in clinical practice in India. It can serve as a clinical record, a referral letter, a diagnosis-support document, and a progress note. The format reflects conventions from clinical psychology practice rather than HR-style psychometric reports.</w:t>
      </w:r>
    </w:p>
    <w:p>
      <w:pPr>
        <w:spacing w:before="80" w:after="0"/>
      </w:pPr>
      <w:r>
        <w:t xml:space="preserve"/>
      </w:r>
    </w:p>
    <w:p>
      <w:pPr>
        <w:pStyle w:val="Heading3"/>
      </w:pPr>
      <w:r>
        <w:rPr>
          <w:rFonts w:ascii="Arial" w:cs="Arial" w:eastAsia="Arial" w:hAnsi="Arial"/>
          <w:b/>
          <w:bCs/>
          <w:color w:val="3C3489"/>
          <w:sz w:val="24"/>
          <w:szCs w:val="24"/>
        </w:rPr>
        <w:t xml:space="preserve">Clinical Report — Section Structure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Report Section</w:t>
            </w:r>
          </w:p>
        </w:tc>
        <w:tc>
          <w:tcPr>
            <w:tcW w:type="dxa" w:w="3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4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Format Notes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Cover Page</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 ID (not name — DPDP protection), date of assessment, administering practitioner, instrument(s) administered, report version number.</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ASSESS header. Practitioner's clinic/organisation name and registration number. Confidentiality statement.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Reason for Referral / Assessment Purpose</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Free-text field completed by practitioner before assessment. Describes the presenting complaint and reason for the assessment.</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Practitioner-entered. Not AI-generated. Verbatim as entered.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Instruments Administered</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listing: instrument name, version, language of administration, date, mode (in-person/remote), proctoring status.</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Structured table. Includes Indian adaptation reference for each instrument.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Behavioural Observations</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Optional free-text field for practitioner to note observations during assessment: cooperation, comprehension, effort, anxiety.</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Practitioner-entered. Not AI-generated.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Results Summary</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One-paragraph plain-language summary of the assessment findings. For Tier 5: Claude API generates this from the structured scores. For Tier 1–4: template-driven with score-range text substitution.</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Box-highlighted. 80–120 words. Written in accessible English (or Hindi for Hindi-medium reports). Avoid diagnostic labels in the summary.</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Score Profile — Detailed</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Instrument-by-instrument score table: raw score, T-score, percentile rank, severity classification, Indian population norm reference. Followed by subscale bar chart (SVG rendered in PDF).</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 bar chart for each instrument. T-score profile chart showing all subscales on a single normed scale.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Risk Indicators</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Flags for any items or subscale scores that exceed clinical risk thresholds: PHQ-9 Item 9 (suicidality), high PCL-5 intrusion cluster, AUDIT hazardous use range.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Red-highlighted box. Specific item response quoted. Recommended action stated: 'Discuss with client in session. Consider safety assessment.'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Interpretation</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Instrument-by-instrument interpretive paragraphs. Tier 1–4: pre-written interpretive text triggered by score range bands. Tier 5: Claude API narrative tailored to the full score profile.</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paragraph per instrument. Clinical language. References Indian population comparison explicitly: 'Scores in the moderate range relative to the Indian adult normative sample.'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Diagnostic Considerations</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For Tier 5 only: AI-generated differential diagnostic considerations based on score profile. Clearly labelled 'For practitioner consideration only — not a diagnosis.' Presented in both ICD-10 and ICD-11 coding frameworks alongside DSM-5 — giving practitioners the flexibility to document in whichever system their practice or institution requires.</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Yellow-highlighted advisory box. Maximum 3 diagnostic considerations. Both ICD-10 and ICD-11 codes listed alongside DSM-5 codes for each consideration. Explicit disclaimer on every report: 'These considerations are generated by AI to support clinical judgement — they do not constitute a diagnosis and must be evaluated by a qualified practitioner.'</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Recommendations</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Structured list of recommended next steps: further assessment, referral to psychiatry, intervention type, follow-up timeline.</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Tier 1–4: pre-written recommendations triggered by score pattern. Tier 5: Claude API generates personalised recommendations. Bulleted list, actionable language.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Follow-Up and Reassessment</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If the instrument has been administered before, a trajectory section is appended showing score change from previous administrations. Line chart showing score trajectory over time.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appears on second and subsequent administrations. Trend direction stated: 'PHQ-9 scores have decreased from 18 (severe) to 11 (moderate) over 8 weeks of treatment.'</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Signature Block</w:t>
            </w:r>
          </w:p>
        </w:tc>
        <w:tc>
          <w:tcPr>
            <w:tcW w:type="dxa" w:w="3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name, designation, RCI registration number (where applicable), date, signature line.</w:t>
            </w:r>
          </w:p>
        </w:tc>
        <w:tc>
          <w:tcPr>
            <w:tcW w:type="dxa" w:w="3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Footer of final page. Digital signature supported via DigiSign integration (Phase 3).</w:t>
            </w:r>
          </w:p>
        </w:tc>
      </w:tr>
    </w:tbl>
    <w:p>
      <w:pPr>
        <w:spacing w:before="100" w:after="0"/>
      </w:pPr>
      <w:r>
        <w:t xml:space="preserve"/>
      </w:r>
    </w:p>
    <w:p>
      <w:pPr>
        <w:pStyle w:val="Heading3"/>
      </w:pPr>
      <w:r>
        <w:rPr>
          <w:rFonts w:ascii="Arial" w:cs="Arial" w:eastAsia="Arial" w:hAnsi="Arial"/>
          <w:b/>
          <w:bCs/>
          <w:color w:val="3C3489"/>
          <w:sz w:val="24"/>
          <w:szCs w:val="24"/>
        </w:rPr>
        <w:t xml:space="preserve">Clinical Report — Language and Tone Guidelines</w:t>
      </w:r>
    </w:p>
    <w:p>
      <w:pPr>
        <w:spacing w:before="60" w:after="0"/>
      </w:pPr>
      <w:r>
        <w:t xml:space="preserve"/>
      </w:r>
    </w:p>
    <w:p>
      <w:pPr>
        <w:spacing w:before="0" w:after="100"/>
      </w:pPr>
      <w:r>
        <w:rPr>
          <w:rFonts w:ascii="Arial" w:cs="Arial" w:eastAsia="Arial" w:hAnsi="Arial"/>
          <w:color w:val="1C1C1A"/>
          <w:sz w:val="20"/>
          <w:szCs w:val="20"/>
        </w:rPr>
        <w:t xml:space="preserve">All clinical reports follow these language guidelines regardless of whether the text is template-driven or AI-generated:</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Write 'scores in the moderate range for depressive symptoms' not 'the patient has moderate depression' — </w:t>
      </w:r>
      <w:r>
        <w:rPr>
          <w:rFonts w:ascii="Arial" w:cs="Arial" w:eastAsia="Arial" w:hAnsi="Arial"/>
          <w:color w:val="1C1C1A"/>
          <w:sz w:val="19"/>
          <w:szCs w:val="19"/>
        </w:rPr>
        <w:t xml:space="preserve">Use dimensional language not categorical</w:t>
      </w:r>
    </w:p>
    <w:p>
      <w:pPr>
        <w:pStyle w:val="ListParagraph"/>
        <w:numPr>
          <w:ilvl w:val="0"/>
          <w:numId w:val="2"/>
        </w:numPr>
        <w:spacing w:before="50" w:after="50"/>
      </w:pPr>
      <w:r>
        <w:rPr>
          <w:rFonts w:ascii="Arial" w:cs="Arial" w:eastAsia="Arial" w:hAnsi="Arial"/>
          <w:b/>
          <w:bCs/>
          <w:color w:val="3C3489"/>
          <w:sz w:val="19"/>
          <w:szCs w:val="19"/>
        </w:rPr>
        <w:t xml:space="preserve">Every norm-referenced statement explicitly identifies the comparison group: 'relative to the Indian adult population norm' — </w:t>
      </w:r>
      <w:r>
        <w:rPr>
          <w:rFonts w:ascii="Arial" w:cs="Arial" w:eastAsia="Arial" w:hAnsi="Arial"/>
          <w:color w:val="1C1C1A"/>
          <w:sz w:val="19"/>
          <w:szCs w:val="19"/>
        </w:rPr>
        <w:t xml:space="preserve">Always reference the Indian norm group</w:t>
      </w:r>
    </w:p>
    <w:p>
      <w:pPr>
        <w:pStyle w:val="ListParagraph"/>
        <w:numPr>
          <w:ilvl w:val="0"/>
          <w:numId w:val="2"/>
        </w:numPr>
        <w:spacing w:before="50" w:after="50"/>
      </w:pPr>
      <w:r>
        <w:rPr>
          <w:rFonts w:ascii="Arial" w:cs="Arial" w:eastAsia="Arial" w:hAnsi="Arial"/>
          <w:b/>
          <w:bCs/>
          <w:color w:val="3C3489"/>
          <w:sz w:val="19"/>
          <w:szCs w:val="19"/>
        </w:rPr>
        <w:t xml:space="preserve">Diagnostic labels appear only in the Diagnostic Considerations section, clearly marked as considerations for the practitioner not conclusions — </w:t>
      </w:r>
      <w:r>
        <w:rPr>
          <w:rFonts w:ascii="Arial" w:cs="Arial" w:eastAsia="Arial" w:hAnsi="Arial"/>
          <w:color w:val="1C1C1A"/>
          <w:sz w:val="19"/>
          <w:szCs w:val="19"/>
        </w:rPr>
        <w:t xml:space="preserve">Avoid diagnostic labels in summaries</w:t>
      </w:r>
    </w:p>
    <w:p>
      <w:pPr>
        <w:pStyle w:val="ListParagraph"/>
        <w:numPr>
          <w:ilvl w:val="0"/>
          <w:numId w:val="2"/>
        </w:numPr>
        <w:spacing w:before="50" w:after="50"/>
      </w:pPr>
      <w:r>
        <w:rPr>
          <w:rFonts w:ascii="Arial" w:cs="Arial" w:eastAsia="Arial" w:hAnsi="Arial"/>
          <w:b/>
          <w:bCs/>
          <w:color w:val="3C3489"/>
          <w:sz w:val="19"/>
          <w:szCs w:val="19"/>
        </w:rPr>
        <w:t xml:space="preserve">Results Summary and Recommendations are written at a reading level accessible to educated non-specialists — these sections may be shared with clients or families — </w:t>
      </w:r>
      <w:r>
        <w:rPr>
          <w:rFonts w:ascii="Arial" w:cs="Arial" w:eastAsia="Arial" w:hAnsi="Arial"/>
          <w:color w:val="1C1C1A"/>
          <w:sz w:val="19"/>
          <w:szCs w:val="19"/>
        </w:rPr>
        <w:t xml:space="preserve">Accessible English (or Hindi)</w:t>
      </w:r>
    </w:p>
    <w:p>
      <w:pPr>
        <w:pStyle w:val="ListParagraph"/>
        <w:numPr>
          <w:ilvl w:val="0"/>
          <w:numId w:val="2"/>
        </w:numPr>
        <w:spacing w:before="50" w:after="50"/>
      </w:pPr>
      <w:r>
        <w:rPr>
          <w:rFonts w:ascii="Arial" w:cs="Arial" w:eastAsia="Arial" w:hAnsi="Arial"/>
          <w:b/>
          <w:bCs/>
          <w:color w:val="3C3489"/>
          <w:sz w:val="19"/>
          <w:szCs w:val="19"/>
        </w:rPr>
        <w:t xml:space="preserve">Score Profile and Clinical Interpretation use standard clinical and psychometric terminology appropriate for a qualified practitioner audience — </w:t>
      </w:r>
      <w:r>
        <w:rPr>
          <w:rFonts w:ascii="Arial" w:cs="Arial" w:eastAsia="Arial" w:hAnsi="Arial"/>
          <w:color w:val="1C1C1A"/>
          <w:sz w:val="19"/>
          <w:szCs w:val="19"/>
        </w:rPr>
        <w:t xml:space="preserve">Clinical sections in professional language</w:t>
      </w:r>
    </w:p>
    <w:p>
      <w:pPr>
        <w:spacing w:before="100" w:after="0"/>
      </w:pPr>
      <w:r>
        <w:t xml:space="preserve"/>
      </w:r>
    </w:p>
    <w:p>
      <w:pPr>
        <w:pStyle w:val="Heading3"/>
      </w:pPr>
      <w:r>
        <w:rPr>
          <w:rFonts w:ascii="Arial" w:cs="Arial" w:eastAsia="Arial" w:hAnsi="Arial"/>
          <w:b/>
          <w:bCs/>
          <w:color w:val="3C3489"/>
          <w:sz w:val="24"/>
          <w:szCs w:val="24"/>
        </w:rPr>
        <w:t xml:space="preserve">Clinical Report — Diagnostic Coding Framework (ICD-10 · ICD-11 · DSM-5)</w:t>
      </w:r>
    </w:p>
    <w:p>
      <w:pPr>
        <w:spacing w:before="60" w:after="0"/>
      </w:pPr>
      <w:r>
        <w:t xml:space="preserve"/>
      </w:r>
    </w:p>
    <w:p>
      <w:pPr>
        <w:spacing w:before="0" w:after="100"/>
      </w:pPr>
      <w:r>
        <w:rPr>
          <w:rFonts w:ascii="Arial" w:cs="Arial" w:eastAsia="Arial" w:hAnsi="Arial"/>
          <w:color w:val="1C1C1A"/>
          <w:sz w:val="20"/>
          <w:szCs w:val="20"/>
        </w:rPr>
        <w:t xml:space="preserve">The Diagnostic Considerations section of the clinical report (Tier 5 only) presents AI-generated differential considerations in three parallel coding frameworks. India uses ICD-10 as the official national diagnostic standard for clinical documentation and insurance purposes. ICD-11 is the WHO's current standard (released 2019, India transitioning). DSM-5 is widely used in clinical psychology research and training. BodhAssess supports all three — practitioners can select which framework(s) to display in their reports based on their institutional or insurance requirements.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rPr>
          <w:tblHeader/>
        </w:trPr>
        <w:tc>
          <w:tcPr>
            <w:tcW w:type="dxa" w:w="1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2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Status in India</w:t>
            </w:r>
          </w:p>
        </w:tc>
        <w:tc>
          <w:tcPr>
            <w:tcW w:type="dxa" w:w="2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Used By</w:t>
            </w:r>
          </w:p>
        </w:tc>
        <w:tc>
          <w:tcPr>
            <w:tcW w:type="dxa" w:w="24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BodhAssess Display</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ICD-10 (International Classification of Diseases, 10th Revision)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Official national standard. Mandated for clinical documentation, hospital records, insurance claims, and government statistics.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Hospitals, psychiatrists, insurance documentation, government mental health programmes, medico-legal reports.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Always shown. Primary coding framework in clinical reports. ICD-10 code displayed first alongside the diagnostic consideration.</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ICD-11 (International Classification of Diseases, 11th Revision)</w:t>
            </w:r>
          </w:p>
        </w:tc>
        <w:tc>
          <w:tcPr>
            <w:tcW w:type="dxa" w:w="2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Released 2019. India in transition — not yet fully adopted but increasingly used in academic and research settings.</w:t>
            </w:r>
          </w:p>
        </w:tc>
        <w:tc>
          <w:tcPr>
            <w:tcW w:type="dxa" w:w="2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Academic institutions, researchers, practitioners trained internationally, WHO-aligned programmes.</w:t>
            </w:r>
          </w:p>
        </w:tc>
        <w:tc>
          <w:tcPr>
            <w:tcW w:type="dxa" w:w="24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Shown alongside ICD-10. Particularly relevant for newer diagnostic categories (ICD-11 reorganised several mental health classifications). Where ICD-10 and ICD-11 codes differ meaningfully, both are shown with a note explaining the difference.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DSM-5 (Diagnostic and Statistical Manual, 5th Edition)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Not an official Indian standard but widely used in clinical psychology training and research.</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psychologists, counselling psychologists, researchers, practitioners trained in Western programmes.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Shown as a third column. Useful for practitioners whose training and supervision are DSM-oriented. Not shown by default — toggled on per practitioner preference in account settings.</w:t>
            </w:r>
          </w:p>
        </w:tc>
      </w:tr>
    </w:tbl>
    <w:p>
      <w:pPr>
        <w:spacing w:before="80" w:after="0"/>
      </w:pPr>
      <w:r>
        <w:t xml:space="preserve"/>
      </w:r>
    </w:p>
    <w:p>
      <w:pPr>
        <w:spacing w:before="0" w:after="100"/>
      </w:pPr>
      <w:r>
        <w:rPr>
          <w:rFonts w:ascii="Arial" w:cs="Arial" w:eastAsia="Arial" w:hAnsi="Arial"/>
          <w:color w:val="1C1C1A"/>
          <w:sz w:val="20"/>
          <w:szCs w:val="20"/>
        </w:rPr>
        <w:t xml:space="preserve">Example of how a Diagnostic Consideration appears in the report: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54F0B" w:sz="6"/>
              <w:left w:val="single" w:color="854F0B" w:sz="6"/>
              <w:bottom w:val="single" w:color="854F0B" w:sz="6"/>
              <w:right w:val="single" w:color="854F0B" w:sz="6"/>
            </w:tcBorders>
            <w:shd w:fill="FAEEDA" w:val="clear"/>
            <w:tcMar>
              <w:top w:type="dxa" w:w="140"/>
              <w:left w:type="dxa" w:w="200"/>
              <w:bottom w:type="dxa" w:w="140"/>
              <w:right w:type="dxa" w:w="200"/>
            </w:tcMar>
          </w:tcPr>
          <w:p>
            <w:pPr>
              <w:spacing w:before="0" w:after="60"/>
            </w:pPr>
            <w:r>
              <w:rPr>
                <w:rFonts w:ascii="Arial" w:cs="Arial" w:eastAsia="Arial" w:hAnsi="Arial"/>
                <w:b/>
                <w:bCs/>
                <w:color w:val="854F0B"/>
                <w:sz w:val="16"/>
                <w:szCs w:val="16"/>
              </w:rPr>
              <w:t xml:space="preserve">DIAGNOSTIC CONSIDERATION 1 OF 3  ·  FOR PRACTITIONER REVIEW ONLY  ·  NOT A DIAGNOSIS</w:t>
            </w:r>
          </w:p>
          <w:p>
            <w:pPr>
              <w:spacing w:before="0" w:after="60"/>
            </w:pPr>
            <w:r>
              <w:rPr>
                <w:rFonts w:ascii="Arial" w:cs="Arial" w:eastAsia="Arial" w:hAnsi="Arial"/>
                <w:b/>
                <w:bCs/>
                <w:color w:val="1C1C1A"/>
                <w:sz w:val="22"/>
                <w:szCs w:val="22"/>
              </w:rPr>
              <w:t xml:space="preserve">Generalised Anxiety Disorder</w:t>
            </w:r>
          </w:p>
          <w:p>
            <w:pPr>
              <w:spacing w:before="0" w:after="40"/>
            </w:pPr>
            <w:r>
              <w:rPr>
                <w:rFonts w:ascii="Arial" w:cs="Arial" w:eastAsia="Arial" w:hAnsi="Arial"/>
                <w:b/>
                <w:bCs/>
                <w:color w:val="0F6E56"/>
                <w:sz w:val="18"/>
                <w:szCs w:val="18"/>
              </w:rPr>
              <w:t xml:space="preserve">ICD-10: </w:t>
            </w:r>
            <w:r>
              <w:rPr>
                <w:rFonts w:ascii="Arial" w:cs="Arial" w:eastAsia="Arial" w:hAnsi="Arial"/>
                <w:color w:val="1C1C1A"/>
                <w:sz w:val="18"/>
                <w:szCs w:val="18"/>
              </w:rPr>
              <w:t xml:space="preserve">F41.1  |  </w:t>
            </w:r>
            <w:r>
              <w:rPr>
                <w:rFonts w:ascii="Arial" w:cs="Arial" w:eastAsia="Arial" w:hAnsi="Arial"/>
                <w:b/>
                <w:bCs/>
                <w:color w:val="0F6E56"/>
                <w:sz w:val="18"/>
                <w:szCs w:val="18"/>
              </w:rPr>
              <w:t xml:space="preserve">ICD-11: </w:t>
            </w:r>
            <w:r>
              <w:rPr>
                <w:rFonts w:ascii="Arial" w:cs="Arial" w:eastAsia="Arial" w:hAnsi="Arial"/>
                <w:color w:val="1C1C1A"/>
                <w:sz w:val="18"/>
                <w:szCs w:val="18"/>
              </w:rPr>
              <w:t xml:space="preserve">6B00  |  </w:t>
            </w:r>
            <w:r>
              <w:rPr>
                <w:rFonts w:ascii="Arial" w:cs="Arial" w:eastAsia="Arial" w:hAnsi="Arial"/>
                <w:b/>
                <w:bCs/>
                <w:color w:val="0F6E56"/>
                <w:sz w:val="18"/>
                <w:szCs w:val="18"/>
              </w:rPr>
              <w:t xml:space="preserve">DSM-5: </w:t>
            </w:r>
            <w:r>
              <w:rPr>
                <w:rFonts w:ascii="Arial" w:cs="Arial" w:eastAsia="Arial" w:hAnsi="Arial"/>
                <w:color w:val="1C1C1A"/>
                <w:sz w:val="18"/>
                <w:szCs w:val="18"/>
              </w:rPr>
              <w:t xml:space="preserve">300.02</w:t>
            </w:r>
          </w:p>
          <w:p>
            <w:pPr>
              <w:spacing w:before="0" w:after="0"/>
            </w:pPr>
            <w:r>
              <w:rPr>
                <w:rFonts w:ascii="Arial" w:cs="Arial" w:eastAsia="Arial" w:hAnsi="Arial"/>
                <w:color w:val="1C1C1A"/>
                <w:sz w:val="18"/>
                <w:szCs w:val="18"/>
              </w:rPr>
              <w:t xml:space="preserve">GAD-7 score of 16 (severe range relative to Indian adult norms) with elevated scores on Somatic Anxiety and Worry subscales of DASS-21 is consistent with a presentation warranting consideration of GAD. The chronicity of worry across multiple domains and the functional impairment indicated on the Recommendations scale supports this consideration.</w:t>
            </w:r>
          </w:p>
        </w:tc>
      </w:tr>
    </w:tbl>
    <w:p>
      <w:pPr>
        <w:spacing w:before="60" w:after="0"/>
      </w:pPr>
      <w:r>
        <w:t xml:space="preserve"/>
      </w:r>
    </w:p>
    <w:p>
      <w:pPr>
        <w:spacing w:before="0" w:after="0"/>
      </w:pPr>
      <w:r>
        <w:rPr>
          <w:rFonts w:ascii="Arial" w:cs="Arial" w:eastAsia="Arial" w:hAnsi="Arial"/>
          <w:color w:val="666666"/>
          <w:sz w:val="17"/>
          <w:szCs w:val="17"/>
        </w:rPr>
        <w:t xml:space="preserve">This AI-generated consideration is based on score patterns only. Differential diagnosis requires full clinical interview, history taking, and professional judgement. The practitioner must review and validate or reject this consideration before the report is finalised.</w:t>
      </w:r>
    </w:p>
    <w:p>
      <w:pPr>
        <w:spacing w:before="120" w:after="0"/>
      </w:pPr>
      <w:r>
        <w:t xml:space="preserve"/>
      </w:r>
    </w:p>
    <w:p>
      <w:pPr>
        <w:pStyle w:val="Heading2"/>
      </w:pPr>
      <w:r>
        <w:rPr>
          <w:rFonts w:ascii="Arial" w:cs="Arial" w:eastAsia="Arial" w:hAnsi="Arial"/>
          <w:b/>
          <w:bCs/>
          <w:color w:val="0F6E56"/>
          <w:sz w:val="28"/>
          <w:szCs w:val="28"/>
        </w:rPr>
        <w:t xml:space="preserve">4.4  Industrial Report Format</w:t>
      </w:r>
    </w:p>
    <w:p>
      <w:pPr>
        <w:spacing w:before="80" w:after="0"/>
      </w:pPr>
      <w:r>
        <w:t xml:space="preserve"/>
      </w:r>
    </w:p>
    <w:p>
      <w:pPr>
        <w:spacing w:before="0" w:after="100"/>
      </w:pPr>
      <w:r>
        <w:rPr>
          <w:rFonts w:ascii="Arial" w:cs="Arial" w:eastAsia="Arial" w:hAnsi="Arial"/>
          <w:color w:val="1C1C1A"/>
          <w:sz w:val="20"/>
          <w:szCs w:val="20"/>
        </w:rPr>
        <w:t xml:space="preserve">The industrial report is designed for HR professionals and hiring managers. It is norm-referenced, competency-oriented, and focuses on role fit and development priorities. It deliberately avoids clinical language — the framing is performance potential, not psychological pathology.</w:t>
      </w:r>
    </w:p>
    <w:p>
      <w:pPr>
        <w:spacing w:before="80" w:after="0"/>
      </w:pPr>
      <w:r>
        <w:t xml:space="preserve"/>
      </w:r>
    </w:p>
    <w:p>
      <w:pPr>
        <w:pStyle w:val="Heading3"/>
      </w:pPr>
      <w:r>
        <w:rPr>
          <w:rFonts w:ascii="Arial" w:cs="Arial" w:eastAsia="Arial" w:hAnsi="Arial"/>
          <w:b/>
          <w:bCs/>
          <w:color w:val="3C3489"/>
          <w:sz w:val="24"/>
          <w:szCs w:val="24"/>
        </w:rPr>
        <w:t xml:space="preserve">Industrial Report — Section Structure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Report Section</w:t>
            </w:r>
          </w:p>
        </w:tc>
        <w:tc>
          <w:tcPr>
            <w:tcW w:type="dxa" w:w="3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7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Format Notes</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Cover Page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Candidate ID / Name (as permitted by consent), assessment date, role applied for / development purpose, organisation name, assessment battery administered.</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Organisation logo if BodhStudio white-label. Assessment battery listed with version numbers.</w:t>
            </w:r>
          </w:p>
        </w:tc>
      </w:tr>
      <w:tr>
        <w:tc>
          <w:tcPr>
            <w:tcW w:type="dxa" w:w="1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Executive Summary</w:t>
            </w:r>
          </w:p>
        </w:tc>
        <w:tc>
          <w:tcPr>
            <w:tcW w:type="dxa" w:w="3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3–5 sentence overview of the candidate's key strengths, development areas, and overall role fit recommendation. Tier 5: Claude API generated. Tier 1–4: template-driven.</w:t>
            </w:r>
          </w:p>
        </w:tc>
        <w:tc>
          <w:tcPr>
            <w:tcW w:type="dxa" w:w="37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Box-highlighted at top of report. Designed to be the only section a hiring manager reads if time-pressed.</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Battery Administered</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instrument name, construct measured, Indian norm group used, date administered, proctoring status (proctored/unproctored), Trust Score if proctored.</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Includes proctoring Trust Score prominently. Scores from unproctored assessments flagged with advisory note.</w:t>
            </w:r>
          </w:p>
        </w:tc>
      </w:tr>
      <w:tr>
        <w:tc>
          <w:tcPr>
            <w:tcW w:type="dxa" w:w="1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Competency Profile</w:t>
            </w:r>
          </w:p>
        </w:tc>
        <w:tc>
          <w:tcPr>
            <w:tcW w:type="dxa" w:w="3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Radar chart showing T-score profile across all competencies measured. Table below chart: competency name, T-score, percentile rank, band label (Below Expectation / Meeting Expectation / Exceeding Expectation / Exceptional).</w:t>
            </w:r>
          </w:p>
        </w:tc>
        <w:tc>
          <w:tcPr>
            <w:tcW w:type="dxa" w:w="37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Radar chart (SVG). Band labels calibrated against the role's competency requirements if uploaded by client. Otherwise against Indian population norm for the relevant role level.</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Strength Areas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Top 3 scoring competency areas with 2–3 sentence interpretation each. Tier 5: AI-generated behavioural descriptors linked to specific item-response patterns.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Green-highlighted section. Specific, evidence-based language: 'Scores in the 84th percentile for Abstract Reasoning, suggesting strong capacity for complex analytical problem-solving.'</w:t>
            </w:r>
          </w:p>
        </w:tc>
      </w:tr>
      <w:tr>
        <w:tc>
          <w:tcPr>
            <w:tcW w:type="dxa" w:w="1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 Priorities</w:t>
            </w:r>
          </w:p>
        </w:tc>
        <w:tc>
          <w:tcPr>
            <w:tcW w:type="dxa" w:w="3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Bottom 2 scoring competency areas with development-framed interpretation. Never deficit-language. Always forward-looking.</w:t>
            </w:r>
          </w:p>
        </w:tc>
        <w:tc>
          <w:tcPr>
            <w:tcW w:type="dxa" w:w="37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Orange-highlighted section. Tier 5: Claude API links to BodhLearn development pathway recommendations.</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Norm Comparison</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Side-by-side comparison: candidate profile vs. Indian population norm for the relevant sector/function/level. Optional: comparison against organisation's internal norm if BodhInsight data available.</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comparison. Explicit norm group label on every comparison.</w:t>
            </w:r>
          </w:p>
        </w:tc>
      </w:tr>
      <w:tr>
        <w:tc>
          <w:tcPr>
            <w:tcW w:type="dxa" w:w="1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Adaptability Profile</w:t>
            </w:r>
          </w:p>
        </w:tc>
        <w:tc>
          <w:tcPr>
            <w:tcW w:type="dxa" w:w="3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For assessments including the AI Adaptability Index: spider diagram of 7 dimensions. Narrative interpretation of the candidate's AI readiness profile for AI-augmented roles.</w:t>
            </w:r>
          </w:p>
        </w:tc>
        <w:tc>
          <w:tcPr>
            <w:tcW w:type="dxa" w:w="37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appears if AI Adaptability Index was administered. Phase 3 full validation — Phase 1 marked 'pilot instrument'.</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Summary</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Trust Score (0–100). Alert count by category. Proctoring session summary with flagged timestamps if any alerts were raised.</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Appears only for proctored assessments. Flagged moments link to session recording clips for Tier 3+ clients.</w:t>
            </w:r>
          </w:p>
        </w:tc>
      </w:tr>
      <w:tr>
        <w:tc>
          <w:tcPr>
            <w:tcW w:type="dxa" w:w="19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Role Fit Score (Tier 3+)</w:t>
            </w:r>
          </w:p>
        </w:tc>
        <w:tc>
          <w:tcPr>
            <w:tcW w:type="dxa" w:w="3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Weighted composite of assessment scores against the competency requirements of the target role. Percentile rank against BodhInsight norms for that role.</w:t>
            </w:r>
          </w:p>
        </w:tc>
        <w:tc>
          <w:tcPr>
            <w:tcW w:type="dxa" w:w="37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appears if client has uploaded a role competency framework. Single number (0–100) plus visual gauge.</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Recommended Next Steps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For selection: recommend / hold / decline guidance with reasoning. For development: recommend specific BodhLearn pathways or BodhGrow interventions.</w:t>
            </w:r>
          </w:p>
        </w:tc>
        <w:tc>
          <w:tcPr>
            <w:tcW w:type="dxa" w:w="3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Action-oriented. Tier 5: AI-generated specific recommendations. Tier 1–4: template-driven by score pattern.</w:t>
            </w:r>
          </w:p>
        </w:tc>
      </w:tr>
    </w:tbl>
    <w:p>
      <w:pPr>
        <w:spacing w:before="120" w:after="0"/>
      </w:pPr>
      <w:r>
        <w:t xml:space="preserve"/>
      </w:r>
    </w:p>
    <w:p>
      <w:pPr>
        <w:pStyle w:val="Heading2"/>
      </w:pPr>
      <w:r>
        <w:rPr>
          <w:rFonts w:ascii="Arial" w:cs="Arial" w:eastAsia="Arial" w:hAnsi="Arial"/>
          <w:b/>
          <w:bCs/>
          <w:color w:val="0F6E56"/>
          <w:sz w:val="28"/>
          <w:szCs w:val="28"/>
        </w:rPr>
        <w:t xml:space="preserve">4.5  Counselling and Child Psychology Report Format</w:t>
      </w:r>
    </w:p>
    <w:p>
      <w:pPr>
        <w:spacing w:before="80" w:after="0"/>
      </w:pPr>
      <w:r>
        <w:t xml:space="preserve"/>
      </w:r>
    </w:p>
    <w:p>
      <w:pPr>
        <w:spacing w:before="0" w:after="100"/>
      </w:pPr>
      <w:r>
        <w:rPr>
          <w:rFonts w:ascii="Arial" w:cs="Arial" w:eastAsia="Arial" w:hAnsi="Arial"/>
          <w:color w:val="1C1C1A"/>
          <w:sz w:val="20"/>
          <w:szCs w:val="20"/>
        </w:rPr>
        <w:t xml:space="preserve">The counselling report has two audiences: the practitioner (full professional report) and the family (simplified parent-friendly summary). Both are generated simultaneously from the same assessment data. The report format reflects child and developmental psychology reporting conventions.</w:t>
      </w:r>
    </w:p>
    <w:p>
      <w:pPr>
        <w:spacing w:before="80" w:after="0"/>
      </w:pPr>
      <w:r>
        <w:t xml:space="preserve"/>
      </w:r>
    </w:p>
    <w:p>
      <w:pPr>
        <w:pStyle w:val="Heading3"/>
      </w:pPr>
      <w:r>
        <w:rPr>
          <w:rFonts w:ascii="Arial" w:cs="Arial" w:eastAsia="Arial" w:hAnsi="Arial"/>
          <w:b/>
          <w:bCs/>
          <w:color w:val="3C3489"/>
          <w:sz w:val="24"/>
          <w:szCs w:val="24"/>
        </w:rPr>
        <w:t xml:space="preserve">Counselling Report — Section Structure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026"/>
      </w:tblGrid>
      <w:tr>
        <w:trPr>
          <w:tblHeader/>
        </w:trPr>
        <w:tc>
          <w:tcPr>
            <w:tcW w:type="dxa" w:w="20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Report Section</w:t>
            </w:r>
          </w:p>
        </w:tc>
        <w:tc>
          <w:tcPr>
            <w:tcW w:type="dxa" w:w="2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2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30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Format Notes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Cover Page</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Child's first name only (DPDP — no full name in report file header), date of birth, age at assessment, school, class, assessing counsellor/psychologist.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logo if BodhStudio. 'Confidential — For Professional Use Only' watermark on practitioner version. Parent version: 'For [Child Name]'s Family'.</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Purpose</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Brief description of why the assessment was conducted: referral reason, parent concern, teacher observation.</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2–3 sentences. Simple language in parent version.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Instruments Administered</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instrument name, child or parent/teacher form, age-appropriateness confirmation, language administered.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 version: 'We used the following tools to understand [Child]...' — plain language instrument descriptions.</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Child's Behaviour During Assessment</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Observation notes: cooperation level, attention, anxiety, comprehension of instructions, effort.</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Practitioner-entered field. Appears in both versions. Parent version uses simpler language.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Results — Practitioner Version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norm-referenced scores: T-scores, percentile ranks by age band, Indian population comparison, severity classification, subscale profile chart.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only</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Detailed psychometric table. Bar chart of subscale scores. Technical language appropriate for qualified practitioner.</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Results — Parent Version</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Plain-language description of what was measured and what the scores mean. Avoids percentiles. Uses descriptive bands: 'in the typical range', 'higher than typical', 'needs attention'.</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 only</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 numbers except age-equivalent scores where helpful. Uses inclusive language. Positively framed where possible.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Multi-Informant Triangulation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Where parent and teacher forms were also administered: comparison table showing child self-report, parent-report, and teacher-report scores side by side. Highlighted areas of agreement and discrepancy.</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Only appears if multiple informant forms administered. Discrepancy analysis: where do views diverge and what might this mean clinically?</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Key Findings and Interpretation</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Instrument-by-instrument interpretation paragraphs. Indian age-band norms referenced explicitly.</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language. References specific Indian normative data: 'Compared to Indian children aged 10–13...'</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Areas of Strength</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Top areas where the child scored in the typical or above-typical range. Positively framed.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Green-highlighted. Parent version: warm, encouraging language. Practitioner version: clinical framing.</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Areas Needing Support</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Areas where scores indicate the child may benefit from additional support. Development-framed, not deficit-framed.</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Orange-highlighted. Parent version: 'Here are some areas where [Child] might benefit from extra support.' Practitioner version: clinical interpretation and differential considerations.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Recommendations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Specific, actionable recommendations. For parents: home strategies, activities, communication approaches. For practitioners: therapeutic interventions, further assessment, referral considerations.</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Separated into: Recommendations for Home (parent version) and Clinical/Educational Recommendations (practitioner version). Referral pathway clearly stated if indicated.</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Follow-Up Plan</w:t>
            </w:r>
          </w:p>
        </w:tc>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Reassessment timeline. Next steps. Who to contact if concerns increase before next appointment.</w:t>
            </w:r>
          </w:p>
        </w:tc>
        <w:tc>
          <w:tcPr>
            <w:tcW w:type="dxa" w:w="12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Both</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Simple bullet list. Emergency contact for clinical concerns.</w:t>
            </w:r>
          </w:p>
        </w:tc>
      </w:tr>
    </w:tbl>
    <w:p>
      <w:pPr>
        <w:spacing w:before="100" w:after="0"/>
      </w:pPr>
      <w:r>
        <w:t xml:space="preserve"/>
      </w:r>
    </w:p>
    <w:p>
      <w:pPr>
        <w:pStyle w:val="Heading3"/>
      </w:pPr>
      <w:r>
        <w:rPr>
          <w:rFonts w:ascii="Arial" w:cs="Arial" w:eastAsia="Arial" w:hAnsi="Arial"/>
          <w:b/>
          <w:bCs/>
          <w:color w:val="3C3489"/>
          <w:sz w:val="24"/>
          <w:szCs w:val="24"/>
        </w:rPr>
        <w:t xml:space="preserve">Report Delivery and Access Control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626"/>
      </w:tblGrid>
      <w:tr>
        <w:trPr>
          <w:tblHeader/>
        </w:trPr>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2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Delivery Method</w:t>
            </w:r>
          </w:p>
        </w:tc>
        <w:tc>
          <w:tcPr>
            <w:tcW w:type="dxa" w:w="26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Administering practitioner</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report — all sections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In-platform viewer + PDF download via authenticated link</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90 days hot access. Archived to MinIO for 7 years (clinical standard).</w:t>
            </w:r>
          </w:p>
        </w:tc>
      </w:tr>
      <w:tr>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Client/Patient (adult)</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report on request — after practitioner review</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 shares via in-platform secure link. Email delivery with Postal.</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 can download their own report at any time while account is active.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 (child assessment)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Parent-friendly summary version only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WhatsApp delivery via Gupshup OR email via Postal. PIN-protected PDF.</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 retains copy. Platform copy archived for 7 years.</w:t>
            </w:r>
          </w:p>
        </w:tc>
      </w:tr>
      <w:tr>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Teacher (school context)</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Aggregate class-level data only — not individual scores</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counsellor dashboard export. No individual report shared with teachers.</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Aggregate data only — no individual PII accessible to teachers.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HR Manager (industrial)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Full industrial report</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In-platform viewer + PDF download. ATS push for integrated clients.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90 days hot access. 3-year archival.</w:t>
            </w:r>
          </w:p>
        </w:tc>
      </w:tr>
      <w:tr>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Line Manager (industrial)</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Executive Summary section only — if practitioner permits</w:t>
            </w:r>
          </w:p>
        </w:tc>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Separate summary PDF generated. HR controls what is shared.</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Summary only — not full psychometric profile.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BodhStudio white-label client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practitioner — but branded with their identity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Reports carry white-label branding. Bodh watermark removed.</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retention policy as standard.</w:t>
            </w:r>
          </w:p>
        </w:tc>
      </w:tr>
    </w:tbl>
    <w:p>
      <w:pPr>
        <w:spacing w:before="100" w:after="0"/>
      </w:pPr>
      <w:r>
        <w:t xml:space="preserve"/>
      </w:r>
    </w:p>
    <w:p>
      <w:pPr>
        <w:pStyle w:val="Heading3"/>
      </w:pPr>
      <w:r>
        <w:rPr>
          <w:rFonts w:ascii="Arial" w:cs="Arial" w:eastAsia="Arial" w:hAnsi="Arial"/>
          <w:b/>
          <w:bCs/>
          <w:color w:val="3C3489"/>
          <w:sz w:val="24"/>
          <w:szCs w:val="24"/>
        </w:rPr>
        <w:t xml:space="preserve">Tier 5 — AI Narrative Report Generation</w:t>
      </w:r>
    </w:p>
    <w:p>
      <w:pPr>
        <w:spacing w:before="60" w:after="0"/>
      </w:pPr>
      <w:r>
        <w:t xml:space="preserve"/>
      </w:r>
    </w:p>
    <w:p>
      <w:pPr>
        <w:spacing w:before="0" w:after="100"/>
      </w:pPr>
      <w:r>
        <w:rPr>
          <w:rFonts w:ascii="Arial" w:cs="Arial" w:eastAsia="Arial" w:hAnsi="Arial"/>
          <w:color w:val="1C1C1A"/>
          <w:sz w:val="20"/>
          <w:szCs w:val="20"/>
        </w:rPr>
        <w:t xml:space="preserve">For Tier 5 clients, the static template-driven interpretive text is replaced by AI-generated narrative using the Claude API. The generation process is structured to ensure clinical and professional accuracy:</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Each report generation call to Claude API includes: the respondent's full score profile (JSON), the instrument's psychometric properties, the relevant Indian population norm context, the vertical (clinical/industrial/counselling), and strict output format instructions. — </w:t>
      </w:r>
      <w:r>
        <w:rPr>
          <w:rFonts w:ascii="Arial" w:cs="Arial" w:eastAsia="Arial" w:hAnsi="Arial"/>
          <w:color w:val="1C1C1A"/>
          <w:sz w:val="19"/>
          <w:szCs w:val="19"/>
        </w:rPr>
        <w:t xml:space="preserve">System prompt construction</w:t>
      </w:r>
    </w:p>
    <w:p>
      <w:pPr>
        <w:pStyle w:val="ListParagraph"/>
        <w:numPr>
          <w:ilvl w:val="0"/>
          <w:numId w:val="2"/>
        </w:numPr>
        <w:spacing w:before="50" w:after="50"/>
      </w:pPr>
      <w:r>
        <w:rPr>
          <w:rFonts w:ascii="Arial" w:cs="Arial" w:eastAsia="Arial" w:hAnsi="Arial"/>
          <w:b/>
          <w:bCs/>
          <w:color w:val="3C3489"/>
          <w:sz w:val="19"/>
          <w:szCs w:val="19"/>
        </w:rPr>
        <w:t xml:space="preserve">Claude generates text only for the designated narrative sections — Results Summary, Clinical Interpretation, Recommendations. It does not generate the score tables, charts, or structured data sections. These remain system-generated for accuracy. — </w:t>
      </w:r>
      <w:r>
        <w:rPr>
          <w:rFonts w:ascii="Arial" w:cs="Arial" w:eastAsia="Arial" w:hAnsi="Arial"/>
          <w:color w:val="1C1C1A"/>
          <w:sz w:val="19"/>
          <w:szCs w:val="19"/>
        </w:rPr>
        <w:t xml:space="preserve">Structured output sections</w:t>
      </w:r>
    </w:p>
    <w:p>
      <w:pPr>
        <w:pStyle w:val="ListParagraph"/>
        <w:numPr>
          <w:ilvl w:val="0"/>
          <w:numId w:val="2"/>
        </w:numPr>
        <w:spacing w:before="50" w:after="50"/>
      </w:pPr>
      <w:r>
        <w:rPr>
          <w:rFonts w:ascii="Arial" w:cs="Arial" w:eastAsia="Arial" w:hAnsi="Arial"/>
          <w:b/>
          <w:bCs/>
          <w:color w:val="3C3489"/>
          <w:sz w:val="19"/>
          <w:szCs w:val="19"/>
        </w:rPr>
        <w:t xml:space="preserve">The system prompt explicitly prohibits Claude from mentioning any score, percentile, or classification that is not present in the provided JSON. All numerical claims in the narrative must reference the provided data. — </w:t>
      </w:r>
      <w:r>
        <w:rPr>
          <w:rFonts w:ascii="Arial" w:cs="Arial" w:eastAsia="Arial" w:hAnsi="Arial"/>
          <w:color w:val="1C1C1A"/>
          <w:sz w:val="19"/>
          <w:szCs w:val="19"/>
        </w:rPr>
        <w:t xml:space="preserve">Hallucination prevention</w:t>
      </w:r>
    </w:p>
    <w:p>
      <w:pPr>
        <w:pStyle w:val="ListParagraph"/>
        <w:numPr>
          <w:ilvl w:val="0"/>
          <w:numId w:val="2"/>
        </w:numPr>
        <w:spacing w:before="50" w:after="50"/>
      </w:pPr>
      <w:r>
        <w:rPr>
          <w:rFonts w:ascii="Arial" w:cs="Arial" w:eastAsia="Arial" w:hAnsi="Arial"/>
          <w:b/>
          <w:bCs/>
          <w:color w:val="3C3489"/>
          <w:sz w:val="19"/>
          <w:szCs w:val="19"/>
        </w:rPr>
        <w:t xml:space="preserve">The system prompt specifies the exact tone requirements per vertical: clinical neutrality for clinical reports, development-oriented for industrial, accessible warmth for counselling parent summaries. — </w:t>
      </w:r>
      <w:r>
        <w:rPr>
          <w:rFonts w:ascii="Arial" w:cs="Arial" w:eastAsia="Arial" w:hAnsi="Arial"/>
          <w:color w:val="1C1C1A"/>
          <w:sz w:val="19"/>
          <w:szCs w:val="19"/>
        </w:rPr>
        <w:t xml:space="preserve">Tone and language constraints</w:t>
      </w:r>
    </w:p>
    <w:p>
      <w:pPr>
        <w:pStyle w:val="ListParagraph"/>
        <w:numPr>
          <w:ilvl w:val="0"/>
          <w:numId w:val="2"/>
        </w:numPr>
        <w:spacing w:before="50" w:after="50"/>
      </w:pPr>
      <w:r>
        <w:rPr>
          <w:rFonts w:ascii="Arial" w:cs="Arial" w:eastAsia="Arial" w:hAnsi="Arial"/>
          <w:b/>
          <w:bCs/>
          <w:color w:val="3C3489"/>
          <w:sz w:val="19"/>
          <w:szCs w:val="19"/>
        </w:rPr>
        <w:t xml:space="preserve">All AI-generated narrative is displayed to the practitioner with a 'Review AI Draft' label before the report is finalised. The practitioner can edit any section before approving. The final report is always practitioner-approved — never automatically distributed. — </w:t>
      </w:r>
      <w:r>
        <w:rPr>
          <w:rFonts w:ascii="Arial" w:cs="Arial" w:eastAsia="Arial" w:hAnsi="Arial"/>
          <w:color w:val="1C1C1A"/>
          <w:sz w:val="19"/>
          <w:szCs w:val="19"/>
        </w:rPr>
        <w:t xml:space="preserve">Human review gate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5 — AI Proctoring in BodhAssess</w:t>
            </w:r>
          </w:p>
        </w:tc>
      </w:tr>
    </w:tbl>
    <w:p>
      <w:pPr>
        <w:spacing w:before="160" w:after="0"/>
      </w:pPr>
      <w:r>
        <w:t xml:space="preserve"/>
      </w:r>
    </w:p>
    <w:p>
      <w:pPr>
        <w:pStyle w:val="Heading1"/>
      </w:pPr>
      <w:r>
        <w:rPr>
          <w:rFonts w:ascii="Arial" w:cs="Arial" w:eastAsia="Arial" w:hAnsi="Arial"/>
          <w:b/>
          <w:bCs/>
          <w:color w:val="3C3489"/>
          <w:sz w:val="36"/>
          <w:szCs w:val="36"/>
        </w:rPr>
        <w:t xml:space="preserve">5.1  Proctoring Architecture Overview</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993C1D" w:val="clear"/>
            <w:tcMar>
              <w:top w:type="dxa" w:w="80"/>
              <w:left w:type="dxa" w:w="180"/>
              <w:bottom w:type="dxa" w:w="60"/>
              <w:right w:type="dxa" w:w="180"/>
            </w:tcMar>
          </w:tcPr>
          <w:p>
            <w:r>
              <w:rPr>
                <w:rFonts w:ascii="Arial" w:cs="Arial" w:eastAsia="Arial" w:hAnsi="Arial"/>
                <w:b/>
                <w:bCs/>
                <w:color w:val="FFFFFF"/>
                <w:sz w:val="18"/>
                <w:szCs w:val="18"/>
              </w:rPr>
              <w:t xml:space="preserve">PLATFORM CAPABILITY — NOT A SEPARATE PRODUCT</w:t>
            </w:r>
          </w:p>
        </w:tc>
      </w:tr>
      <w:tr>
        <w:tc>
          <w:tcPr>
            <w:tcBorders>
              <w:top w:val="single" w:color="993C1D" w:sz="4"/>
              <w:left w:val="single" w:color="993C1D" w:sz="8"/>
              <w:bottom w:val="single" w:color="993C1D" w:sz="4"/>
              <w:right w:val="single" w:color="993C1D" w:sz="4"/>
            </w:tcBorders>
            <w:shd w:fill="FAECE7"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AI Proctoring is a platform capability built into BodhAssess — not a separate product the user needs to activate. Every BodhAssess session that requires it is proctored automatically. The proctoring layer is powered by the BodhProctor engine (YOLOv8-nano + MediaPipe + Trust Score + Secure Browser). For clients who need to offer their own proctoring service to third parties, BPaaS (Proctoring-as-a-Service) is available under BodhStudio.</w:t>
            </w:r>
          </w:p>
        </w:tc>
      </w:tr>
    </w:tbl>
    <w:p>
      <w:pPr>
        <w:spacing w:before="100" w:after="0"/>
      </w:pPr>
      <w:r>
        <w:t xml:space="preserve"/>
      </w:r>
    </w:p>
    <w:p>
      <w:pPr>
        <w:spacing w:before="0" w:after="100"/>
      </w:pPr>
      <w:r>
        <w:rPr>
          <w:rFonts w:ascii="Arial" w:cs="Arial" w:eastAsia="Arial" w:hAnsi="Arial"/>
          <w:color w:val="1C1C1A"/>
          <w:sz w:val="20"/>
          <w:szCs w:val="20"/>
        </w:rPr>
        <w:t xml:space="preserve">Proctoring is applied differently across the three verticals because the integrity requirements, legal implications, and respondent relationships are fundamentally different: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Default Proctoring Level</w:t>
            </w:r>
          </w:p>
        </w:tc>
        <w:tc>
          <w:tcPr>
            <w:tcW w:type="dxa" w:w="46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Psychology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None by default. Available as opt-in for research assessments.</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assessment is a therapeutic relationship. Proctoring would damage the practitioner-client alliance. Clinical instruments are not used for gatekeeping decisions where cheating is a concern.</w:t>
            </w:r>
          </w:p>
        </w:tc>
      </w:tr>
      <w:tr>
        <w:tc>
          <w:tcPr>
            <w:tcW w:type="dxa" w:w="2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Psychology</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browser proctoring (Tier 1–2). Secure Browser proctoring (Tier 3+). Mandatory for selection assessments.</w:t>
            </w:r>
          </w:p>
        </w:tc>
        <w:tc>
          <w:tcPr>
            <w:tcW w:type="dxa" w:w="46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High-stakes gatekeeping decisions require integrity assurance. Candidate consent is obtained at the start of the session. Proctoring is disclosed in the assessment invitation.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and Child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None for standard counselling instruments. Available as opt-in for scholarship and institutional assessments.</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Most counselling instruments are therapeutic tools, not selection instruments. Exception: when BodhAssess is used for school scholarship or placement assessments, proctoring is available.</w:t>
            </w:r>
          </w:p>
        </w:tc>
      </w:tr>
    </w:tbl>
    <w:p>
      <w:pPr>
        <w:spacing w:before="120" w:after="0"/>
      </w:pPr>
      <w:r>
        <w:t xml:space="preserve"/>
      </w:r>
    </w:p>
    <w:p>
      <w:pPr>
        <w:pStyle w:val="Heading2"/>
      </w:pPr>
      <w:r>
        <w:rPr>
          <w:rFonts w:ascii="Arial" w:cs="Arial" w:eastAsia="Arial" w:hAnsi="Arial"/>
          <w:b/>
          <w:bCs/>
          <w:color w:val="0F6E56"/>
          <w:sz w:val="28"/>
          <w:szCs w:val="28"/>
        </w:rPr>
        <w:t xml:space="preserve">5.2  Proctoring Components</w:t>
      </w:r>
    </w:p>
    <w:p>
      <w:pPr>
        <w:spacing w:before="80" w:after="0"/>
      </w:pPr>
      <w:r>
        <w:t xml:space="preserve"/>
      </w:r>
    </w:p>
    <w:p>
      <w:pPr>
        <w:pStyle w:val="Heading3"/>
      </w:pPr>
      <w:r>
        <w:rPr>
          <w:rFonts w:ascii="Arial" w:cs="Arial" w:eastAsia="Arial" w:hAnsi="Arial"/>
          <w:b/>
          <w:bCs/>
          <w:color w:val="3C3489"/>
          <w:sz w:val="24"/>
          <w:szCs w:val="24"/>
        </w:rPr>
        <w:t xml:space="preserve">Component 1 — Person and Object Detection (YOLOv8-nano)</w:t>
      </w:r>
    </w:p>
    <w:p>
      <w:pPr>
        <w:spacing w:before="60" w:after="0"/>
      </w:pPr>
      <w:r>
        <w:t xml:space="preserve"/>
      </w:r>
    </w:p>
    <w:p>
      <w:pPr>
        <w:spacing w:before="0" w:after="100"/>
      </w:pPr>
      <w:r>
        <w:rPr>
          <w:rFonts w:ascii="Arial" w:cs="Arial" w:eastAsia="Arial" w:hAnsi="Arial"/>
          <w:color w:val="1C1C1A"/>
          <w:sz w:val="20"/>
          <w:szCs w:val="20"/>
        </w:rPr>
        <w:t xml:space="preserve">YOLOv8-nano runs in two modes: client-side inference via ONNX Runtime Web (processes frames at 5fps in the candidate's browser without sending video to servers) and server-side validation (a 10% sample of frames sent to the server for independent validation). This dual architecture ensures: privacy (most processing local), resilience (server validation catches any client-side manipulation), and performance (no video stream bandwidth overhead).</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Alert if no person is detected in frame for &gt;5 seconds — </w:t>
      </w:r>
      <w:r>
        <w:rPr>
          <w:rFonts w:ascii="Arial" w:cs="Arial" w:eastAsia="Arial" w:hAnsi="Arial"/>
          <w:color w:val="1C1C1A"/>
          <w:sz w:val="19"/>
          <w:szCs w:val="19"/>
        </w:rPr>
        <w:t xml:space="preserve">Person absence detection</w:t>
      </w:r>
    </w:p>
    <w:p>
      <w:pPr>
        <w:pStyle w:val="ListParagraph"/>
        <w:numPr>
          <w:ilvl w:val="0"/>
          <w:numId w:val="2"/>
        </w:numPr>
        <w:spacing w:before="50" w:after="50"/>
      </w:pPr>
      <w:r>
        <w:rPr>
          <w:rFonts w:ascii="Arial" w:cs="Arial" w:eastAsia="Arial" w:hAnsi="Arial"/>
          <w:b/>
          <w:bCs/>
          <w:color w:val="3C3489"/>
          <w:sz w:val="19"/>
          <w:szCs w:val="19"/>
        </w:rPr>
        <w:t xml:space="preserve">Alert if more than one person detected in frame — </w:t>
      </w:r>
      <w:r>
        <w:rPr>
          <w:rFonts w:ascii="Arial" w:cs="Arial" w:eastAsia="Arial" w:hAnsi="Arial"/>
          <w:color w:val="1C1C1A"/>
          <w:sz w:val="19"/>
          <w:szCs w:val="19"/>
        </w:rPr>
        <w:t xml:space="preserve">Multiple person detection</w:t>
      </w:r>
    </w:p>
    <w:p>
      <w:pPr>
        <w:pStyle w:val="ListParagraph"/>
        <w:numPr>
          <w:ilvl w:val="0"/>
          <w:numId w:val="2"/>
        </w:numPr>
        <w:spacing w:before="50" w:after="50"/>
      </w:pPr>
      <w:r>
        <w:rPr>
          <w:rFonts w:ascii="Arial" w:cs="Arial" w:eastAsia="Arial" w:hAnsi="Arial"/>
          <w:b/>
          <w:bCs/>
          <w:color w:val="3C3489"/>
          <w:sz w:val="19"/>
          <w:szCs w:val="19"/>
        </w:rPr>
        <w:t xml:space="preserve">Phone, book, paper, earpiece, secondary screen — alert on detection with confidence &gt;0.75 — </w:t>
      </w:r>
      <w:r>
        <w:rPr>
          <w:rFonts w:ascii="Arial" w:cs="Arial" w:eastAsia="Arial" w:hAnsi="Arial"/>
          <w:color w:val="1C1C1A"/>
          <w:sz w:val="19"/>
          <w:szCs w:val="19"/>
        </w:rPr>
        <w:t xml:space="preserve">Prohibited object detection</w:t>
      </w:r>
    </w:p>
    <w:p>
      <w:pPr>
        <w:pStyle w:val="ListParagraph"/>
        <w:numPr>
          <w:ilvl w:val="0"/>
          <w:numId w:val="2"/>
        </w:numPr>
        <w:spacing w:before="50" w:after="50"/>
      </w:pPr>
      <w:r>
        <w:rPr>
          <w:rFonts w:ascii="Arial" w:cs="Arial" w:eastAsia="Arial" w:hAnsi="Arial"/>
          <w:b/>
          <w:bCs/>
          <w:color w:val="3C3489"/>
          <w:sz w:val="19"/>
          <w:szCs w:val="19"/>
        </w:rPr>
        <w:t xml:space="preserve">Periodic face embedding comparison to verify same person throughout session — </w:t>
      </w:r>
      <w:r>
        <w:rPr>
          <w:rFonts w:ascii="Arial" w:cs="Arial" w:eastAsia="Arial" w:hAnsi="Arial"/>
          <w:color w:val="1C1C1A"/>
          <w:sz w:val="19"/>
          <w:szCs w:val="19"/>
        </w:rPr>
        <w:t xml:space="preserve">Face substitution detection</w:t>
      </w:r>
    </w:p>
    <w:p>
      <w:pPr>
        <w:spacing w:before="80" w:after="0"/>
      </w:pPr>
      <w:r>
        <w:t xml:space="preserve"/>
      </w:r>
    </w:p>
    <w:p>
      <w:pPr>
        <w:pStyle w:val="Heading3"/>
      </w:pPr>
      <w:r>
        <w:rPr>
          <w:rFonts w:ascii="Arial" w:cs="Arial" w:eastAsia="Arial" w:hAnsi="Arial"/>
          <w:b/>
          <w:bCs/>
          <w:color w:val="3C3489"/>
          <w:sz w:val="24"/>
          <w:szCs w:val="24"/>
        </w:rPr>
        <w:t xml:space="preserve">Component 2 — Facial Landmark Analysis (MediaPipe Face Mesh)</w:t>
      </w:r>
    </w:p>
    <w:p>
      <w:pPr>
        <w:spacing w:before="60" w:after="0"/>
      </w:pPr>
      <w:r>
        <w:t xml:space="preserve"/>
      </w:r>
    </w:p>
    <w:p>
      <w:pPr>
        <w:spacing w:before="0" w:after="100"/>
      </w:pPr>
      <w:r>
        <w:rPr>
          <w:rFonts w:ascii="Arial" w:cs="Arial" w:eastAsia="Arial" w:hAnsi="Arial"/>
          <w:color w:val="1C1C1A"/>
          <w:sz w:val="20"/>
          <w:szCs w:val="20"/>
        </w:rPr>
        <w:t xml:space="preserve">MediaPipe Face Mesh runs entirely client-side (WASM). 468 3D facial landmarks are tracked at 30fps. From these landmarks, the system computes:</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Eye gaze vector estimated from iris landmarks. Alerts when candidate looks off-screen for &gt;3 continuous seconds — </w:t>
      </w:r>
      <w:r>
        <w:rPr>
          <w:rFonts w:ascii="Arial" w:cs="Arial" w:eastAsia="Arial" w:hAnsi="Arial"/>
          <w:color w:val="1C1C1A"/>
          <w:sz w:val="19"/>
          <w:szCs w:val="19"/>
        </w:rPr>
        <w:t xml:space="preserve">Gaze direction</w:t>
      </w:r>
    </w:p>
    <w:p>
      <w:pPr>
        <w:pStyle w:val="ListParagraph"/>
        <w:numPr>
          <w:ilvl w:val="0"/>
          <w:numId w:val="2"/>
        </w:numPr>
        <w:spacing w:before="50" w:after="50"/>
      </w:pPr>
      <w:r>
        <w:rPr>
          <w:rFonts w:ascii="Arial" w:cs="Arial" w:eastAsia="Arial" w:hAnsi="Arial"/>
          <w:b/>
          <w:bCs/>
          <w:color w:val="3C3489"/>
          <w:sz w:val="19"/>
          <w:szCs w:val="19"/>
        </w:rPr>
        <w:t xml:space="preserve">Pitch, yaw, roll angles. Alert when head is turned &gt;30° yaw (looking sideways) for &gt;3 seconds — </w:t>
      </w:r>
      <w:r>
        <w:rPr>
          <w:rFonts w:ascii="Arial" w:cs="Arial" w:eastAsia="Arial" w:hAnsi="Arial"/>
          <w:color w:val="1C1C1A"/>
          <w:sz w:val="19"/>
          <w:szCs w:val="19"/>
        </w:rPr>
        <w:t xml:space="preserve">Head pose</w:t>
      </w:r>
    </w:p>
    <w:p>
      <w:pPr>
        <w:pStyle w:val="ListParagraph"/>
        <w:numPr>
          <w:ilvl w:val="0"/>
          <w:numId w:val="2"/>
        </w:numPr>
        <w:spacing w:before="50" w:after="50"/>
      </w:pPr>
      <w:r>
        <w:rPr>
          <w:rFonts w:ascii="Arial" w:cs="Arial" w:eastAsia="Arial" w:hAnsi="Arial"/>
          <w:b/>
          <w:bCs/>
          <w:color w:val="3C3489"/>
          <w:sz w:val="19"/>
          <w:szCs w:val="19"/>
        </w:rPr>
        <w:t xml:space="preserve">Mouth aspect ratio tracking. Alert on sustained lip movement (&gt;2 seconds) — possible verbal communication with third party — </w:t>
      </w:r>
      <w:r>
        <w:rPr>
          <w:rFonts w:ascii="Arial" w:cs="Arial" w:eastAsia="Arial" w:hAnsi="Arial"/>
          <w:color w:val="1C1C1A"/>
          <w:sz w:val="19"/>
          <w:szCs w:val="19"/>
        </w:rPr>
        <w:t xml:space="preserve">Lip movement</w:t>
      </w:r>
    </w:p>
    <w:p>
      <w:pPr>
        <w:pStyle w:val="ListParagraph"/>
        <w:numPr>
          <w:ilvl w:val="0"/>
          <w:numId w:val="2"/>
        </w:numPr>
        <w:spacing w:before="50" w:after="50"/>
      </w:pPr>
      <w:r>
        <w:rPr>
          <w:rFonts w:ascii="Arial" w:cs="Arial" w:eastAsia="Arial" w:hAnsi="Arial"/>
          <w:b/>
          <w:bCs/>
          <w:color w:val="3C3489"/>
          <w:sz w:val="19"/>
          <w:szCs w:val="19"/>
        </w:rPr>
        <w:t xml:space="preserve">Prolonged eye closure (&gt;5 seconds) triggers alert — possible phone use under desk — </w:t>
      </w:r>
      <w:r>
        <w:rPr>
          <w:rFonts w:ascii="Arial" w:cs="Arial" w:eastAsia="Arial" w:hAnsi="Arial"/>
          <w:color w:val="1C1C1A"/>
          <w:sz w:val="19"/>
          <w:szCs w:val="19"/>
        </w:rPr>
        <w:t xml:space="preserve">Eye closure</w:t>
      </w:r>
    </w:p>
    <w:p>
      <w:pPr>
        <w:spacing w:before="80" w:after="0"/>
      </w:pPr>
      <w:r>
        <w:t xml:space="preserve"/>
      </w:r>
    </w:p>
    <w:p>
      <w:pPr>
        <w:pStyle w:val="Heading3"/>
      </w:pPr>
      <w:r>
        <w:rPr>
          <w:rFonts w:ascii="Arial" w:cs="Arial" w:eastAsia="Arial" w:hAnsi="Arial"/>
          <w:b/>
          <w:bCs/>
          <w:color w:val="3C3489"/>
          <w:sz w:val="24"/>
          <w:szCs w:val="24"/>
        </w:rPr>
        <w:t xml:space="preserve">Component 3 — Trust Score Engine</w:t>
      </w:r>
    </w:p>
    <w:p>
      <w:pPr>
        <w:spacing w:before="60" w:after="0"/>
      </w:pPr>
      <w:r>
        <w:t xml:space="preserve"/>
      </w:r>
    </w:p>
    <w:p>
      <w:pPr>
        <w:spacing w:before="0" w:after="100"/>
      </w:pPr>
      <w:r>
        <w:rPr>
          <w:rFonts w:ascii="Arial" w:cs="Arial" w:eastAsia="Arial" w:hAnsi="Arial"/>
          <w:color w:val="1C1C1A"/>
          <w:sz w:val="20"/>
          <w:szCs w:val="20"/>
        </w:rPr>
        <w:t xml:space="preserve">The Trust Score is a composite integrity score (0–100) computed at the end of every proctored session. It combines violation events across all detection components into a weighted score: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Violation Type</w:t>
            </w:r>
          </w:p>
        </w:tc>
        <w:tc>
          <w:tcPr>
            <w:tcW w:type="dxa" w:w="12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026"/>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 absence (&gt;15 sec cumulative)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0–15 point deduction depending on duration</w:t>
            </w:r>
          </w:p>
        </w:tc>
      </w:tr>
      <w:tr>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Multiple persons detected</w:t>
            </w:r>
          </w:p>
        </w:tc>
        <w:tc>
          <w:tcPr>
            <w:tcW w:type="dxa" w:w="1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w:t>
            </w:r>
          </w:p>
        </w:tc>
        <w:tc>
          <w:tcPr>
            <w:tcW w:type="dxa" w:w="50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 point deduction per confirmed incident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Prohibited object detected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10–15 point deduction depending on object type</w:t>
            </w:r>
          </w:p>
        </w:tc>
      </w:tr>
      <w:tr>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Gaze off-screen (&gt;10 sec cumulative)</w:t>
            </w:r>
          </w:p>
        </w:tc>
        <w:tc>
          <w:tcPr>
            <w:tcW w:type="dxa" w:w="1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Medium</w:t>
            </w:r>
          </w:p>
        </w:tc>
        <w:tc>
          <w:tcPr>
            <w:tcW w:type="dxa" w:w="50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5–10 point deduction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Head turned (&gt;10 sec cumulative)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Medium</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 point deduction</w:t>
            </w:r>
          </w:p>
        </w:tc>
      </w:tr>
      <w:tr>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Sustained lip movement</w:t>
            </w:r>
          </w:p>
        </w:tc>
        <w:tc>
          <w:tcPr>
            <w:tcW w:type="dxa" w:w="1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Medium</w:t>
            </w:r>
          </w:p>
        </w:tc>
        <w:tc>
          <w:tcPr>
            <w:tcW w:type="dxa" w:w="50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 point deduction per incident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 switch / window change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Medium</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5 point deduction per switch (Secure Browser mode only)</w:t>
            </w:r>
          </w:p>
        </w:tc>
      </w:tr>
      <w:tr>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Network interruption (&gt;3 occurrences)</w:t>
            </w:r>
          </w:p>
        </w:tc>
        <w:tc>
          <w:tcPr>
            <w:tcW w:type="dxa" w:w="12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Low</w:t>
            </w:r>
          </w:p>
        </w:tc>
        <w:tc>
          <w:tcPr>
            <w:tcW w:type="dxa" w:w="50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 point deduction — may indicate VPN or network manipulation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Statistical anomaly — response times</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Variable</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BodhGuard model score contributes to Trust Score if item response time pattern is anomalous</w:t>
            </w:r>
          </w:p>
        </w:tc>
      </w:tr>
    </w:tbl>
    <w:p>
      <w:pPr>
        <w:spacing w:before="80" w:after="0"/>
      </w:pPr>
      <w:r>
        <w:t xml:space="preserve"/>
      </w:r>
    </w:p>
    <w:p>
      <w:pPr>
        <w:spacing w:before="0" w:after="100"/>
      </w:pPr>
      <w:r>
        <w:rPr>
          <w:rFonts w:ascii="Arial" w:cs="Arial" w:eastAsia="Arial" w:hAnsi="Arial"/>
          <w:color w:val="1C1C1A"/>
          <w:sz w:val="20"/>
          <w:szCs w:val="20"/>
        </w:rPr>
        <w:t xml:space="preserve">Trust Score thresholds are configurable per assessment by the administrator: High integrity (&gt;85) — proceed normally; Medium integrity (60–85) — flag for human review; Low integrity (&lt;60) — escalate, potential integrity violation. The Trust Score and all underlying alert events are included in the industrial psychometric report's Proctoring Summary section.</w:t>
      </w:r>
    </w:p>
    <w:p>
      <w:pPr>
        <w:spacing w:before="80" w:after="0"/>
      </w:pPr>
      <w:r>
        <w:t xml:space="preserve"/>
      </w:r>
    </w:p>
    <w:p>
      <w:pPr>
        <w:pStyle w:val="Heading3"/>
      </w:pPr>
      <w:r>
        <w:rPr>
          <w:rFonts w:ascii="Arial" w:cs="Arial" w:eastAsia="Arial" w:hAnsi="Arial"/>
          <w:b/>
          <w:bCs/>
          <w:color w:val="3C3489"/>
          <w:sz w:val="24"/>
          <w:szCs w:val="24"/>
        </w:rPr>
        <w:t xml:space="preserve">Component 4 — Secure Browser</w:t>
      </w:r>
    </w:p>
    <w:p>
      <w:pPr>
        <w:spacing w:before="60" w:after="0"/>
      </w:pPr>
      <w:r>
        <w:t xml:space="preserve"/>
      </w:r>
    </w:p>
    <w:p>
      <w:pPr>
        <w:spacing w:before="0" w:after="100"/>
      </w:pPr>
      <w:r>
        <w:rPr>
          <w:rFonts w:ascii="Arial" w:cs="Arial" w:eastAsia="Arial" w:hAnsi="Arial"/>
          <w:color w:val="1C1C1A"/>
          <w:sz w:val="20"/>
          <w:szCs w:val="20"/>
        </w:rPr>
        <w:t xml:space="preserve">The Secure Browser is an Electron.js application that candidates download before a high-stakes assessment. It creates a locked environment at the OS level:</w:t>
      </w:r>
    </w:p>
    <w:p>
      <w:pPr>
        <w:spacing w:before="60" w:after="0"/>
      </w:pPr>
      <w:r>
        <w:t xml:space="preserve"/>
      </w:r>
    </w:p>
    <w:p>
      <w:pPr>
        <w:pStyle w:val="ListParagraph"/>
        <w:numPr>
          <w:ilvl w:val="0"/>
          <w:numId w:val="2"/>
        </w:numPr>
        <w:spacing w:before="50" w:after="50"/>
      </w:pPr>
      <w:r>
        <w:rPr>
          <w:rFonts w:ascii="Arial" w:cs="Arial" w:eastAsia="Arial" w:hAnsi="Arial"/>
          <w:color w:val="1C1C1A"/>
          <w:sz w:val="19"/>
          <w:szCs w:val="19"/>
        </w:rPr>
        <w:t xml:space="preserve">Blocks tab switching, window switching, and all application switching</w:t>
      </w:r>
    </w:p>
    <w:p>
      <w:pPr>
        <w:pStyle w:val="ListParagraph"/>
        <w:numPr>
          <w:ilvl w:val="0"/>
          <w:numId w:val="2"/>
        </w:numPr>
        <w:spacing w:before="50" w:after="50"/>
      </w:pPr>
      <w:r>
        <w:rPr>
          <w:rFonts w:ascii="Arial" w:cs="Arial" w:eastAsia="Arial" w:hAnsi="Arial"/>
          <w:color w:val="1C1C1A"/>
          <w:sz w:val="19"/>
          <w:szCs w:val="19"/>
        </w:rPr>
        <w:t xml:space="preserve">Disables clipboard access (copy-paste blocked)</w:t>
      </w:r>
    </w:p>
    <w:p>
      <w:pPr>
        <w:pStyle w:val="ListParagraph"/>
        <w:numPr>
          <w:ilvl w:val="0"/>
          <w:numId w:val="2"/>
        </w:numPr>
        <w:spacing w:before="50" w:after="50"/>
      </w:pPr>
      <w:r>
        <w:rPr>
          <w:rFonts w:ascii="Arial" w:cs="Arial" w:eastAsia="Arial" w:hAnsi="Arial"/>
          <w:color w:val="1C1C1A"/>
          <w:sz w:val="19"/>
          <w:szCs w:val="19"/>
        </w:rPr>
        <w:t xml:space="preserve">Blocks screen capture and screen recording</w:t>
      </w:r>
    </w:p>
    <w:p>
      <w:pPr>
        <w:pStyle w:val="ListParagraph"/>
        <w:numPr>
          <w:ilvl w:val="0"/>
          <w:numId w:val="2"/>
        </w:numPr>
        <w:spacing w:before="50" w:after="50"/>
      </w:pPr>
      <w:r>
        <w:rPr>
          <w:rFonts w:ascii="Arial" w:cs="Arial" w:eastAsia="Arial" w:hAnsi="Arial"/>
          <w:color w:val="1C1C1A"/>
          <w:sz w:val="19"/>
          <w:szCs w:val="19"/>
        </w:rPr>
        <w:t xml:space="preserve">Detects and blocks virtual machines (VMware, VirtualBox, Parallels)</w:t>
      </w:r>
    </w:p>
    <w:p>
      <w:pPr>
        <w:pStyle w:val="ListParagraph"/>
        <w:numPr>
          <w:ilvl w:val="0"/>
          <w:numId w:val="2"/>
        </w:numPr>
        <w:spacing w:before="50" w:after="50"/>
      </w:pPr>
      <w:r>
        <w:rPr>
          <w:rFonts w:ascii="Arial" w:cs="Arial" w:eastAsia="Arial" w:hAnsi="Arial"/>
          <w:color w:val="1C1C1A"/>
          <w:sz w:val="19"/>
          <w:szCs w:val="19"/>
        </w:rPr>
        <w:t xml:space="preserve">Intercepts and blocks all keyboard shortcuts that could launch other applications</w:t>
      </w:r>
    </w:p>
    <w:p>
      <w:pPr>
        <w:pStyle w:val="ListParagraph"/>
        <w:numPr>
          <w:ilvl w:val="0"/>
          <w:numId w:val="2"/>
        </w:numPr>
        <w:spacing w:before="50" w:after="50"/>
      </w:pPr>
      <w:r>
        <w:rPr>
          <w:rFonts w:ascii="Arial" w:cs="Arial" w:eastAsia="Arial" w:hAnsi="Arial"/>
          <w:color w:val="1C1C1A"/>
          <w:sz w:val="19"/>
          <w:szCs w:val="19"/>
        </w:rPr>
        <w:t xml:space="preserve">Restricts network access to Bodh's assessment domain only — all other domains blocked</w:t>
      </w:r>
    </w:p>
    <w:p>
      <w:pPr>
        <w:pStyle w:val="ListParagraph"/>
        <w:numPr>
          <w:ilvl w:val="0"/>
          <w:numId w:val="2"/>
        </w:numPr>
        <w:spacing w:before="50" w:after="50"/>
      </w:pPr>
      <w:r>
        <w:rPr>
          <w:rFonts w:ascii="Arial" w:cs="Arial" w:eastAsia="Arial" w:hAnsi="Arial"/>
          <w:color w:val="1C1C1A"/>
          <w:sz w:val="19"/>
          <w:szCs w:val="19"/>
        </w:rPr>
        <w:t xml:space="preserve">Detects browser developer tools and terminates the session if opened</w:t>
      </w:r>
    </w:p>
    <w:p>
      <w:pPr>
        <w:spacing w:before="80" w:after="0"/>
      </w:pPr>
      <w:r>
        <w:t xml:space="preserve"/>
      </w:r>
    </w:p>
    <w:p>
      <w:pPr>
        <w:pStyle w:val="Heading3"/>
      </w:pPr>
      <w:r>
        <w:rPr>
          <w:rFonts w:ascii="Arial" w:cs="Arial" w:eastAsia="Arial" w:hAnsi="Arial"/>
          <w:b/>
          <w:bCs/>
          <w:color w:val="3C3489"/>
          <w:sz w:val="24"/>
          <w:szCs w:val="24"/>
        </w:rPr>
        <w:t xml:space="preserve">Proctoring Consent and Disclosure</w:t>
      </w:r>
    </w:p>
    <w:p>
      <w:pPr>
        <w:spacing w:before="60" w:after="0"/>
      </w:pPr>
      <w:r>
        <w:t xml:space="preserve"/>
      </w:r>
    </w:p>
    <w:p>
      <w:pPr>
        <w:spacing w:before="0" w:after="100"/>
      </w:pPr>
      <w:r>
        <w:rPr>
          <w:rFonts w:ascii="Arial" w:cs="Arial" w:eastAsia="Arial" w:hAnsi="Arial"/>
          <w:color w:val="1C1C1A"/>
          <w:sz w:val="20"/>
          <w:szCs w:val="20"/>
        </w:rPr>
        <w:t xml:space="preserve">Informed consent is mandatory for all proctored sessions. The assessment invitation explicitly states that the session will be proctored and describes what data is captured. The consent screen at the start of the session lists: camera access, microphone access, screen activity, and browser behaviour monitoring. Candidates who do not consent cannot proceed with the proctored version. Administrators are informed of any candidates who declined proctoring.</w:t>
      </w:r>
    </w:p>
    <w:p>
      <w:pPr>
        <w:spacing w:before="80" w:after="0"/>
      </w:pPr>
      <w:r>
        <w:t xml:space="preserve"/>
      </w:r>
    </w:p>
    <w:p>
      <w:pPr>
        <w:pStyle w:val="Heading3"/>
      </w:pPr>
      <w:r>
        <w:rPr>
          <w:rFonts w:ascii="Arial" w:cs="Arial" w:eastAsia="Arial" w:hAnsi="Arial"/>
          <w:b/>
          <w:bCs/>
          <w:color w:val="3C3489"/>
          <w:sz w:val="24"/>
          <w:szCs w:val="24"/>
        </w:rPr>
        <w:t xml:space="preserve">BPaaS — Proctoring as a Service</w:t>
      </w:r>
    </w:p>
    <w:p>
      <w:pPr>
        <w:spacing w:before="60" w:after="0"/>
      </w:pPr>
      <w:r>
        <w:t xml:space="preserve"/>
      </w:r>
    </w:p>
    <w:p>
      <w:pPr>
        <w:spacing w:before="0" w:after="100"/>
      </w:pPr>
      <w:r>
        <w:rPr>
          <w:rFonts w:ascii="Arial" w:cs="Arial" w:eastAsia="Arial" w:hAnsi="Arial"/>
          <w:color w:val="1C1C1A"/>
          <w:sz w:val="20"/>
          <w:szCs w:val="20"/>
        </w:rPr>
        <w:t xml:space="preserve">Under BodhStudio, the proctoring engine is available as an API service for third-party exam platforms. Third-party platforms integrate via REST API + JavaScript SDK: submit a candidate session token and receive real-time WebSocket events (violation alerts, Trust Score updates) plus a post-session trust report. BPaaS is priced per session. This is the mechanism through which Bodh can generate proctoring revenue from the broader examination market without those candidates going through BodhAssess directly.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6 — BodhLens Analytics in BodhAssess</w:t>
            </w:r>
          </w:p>
        </w:tc>
      </w:tr>
    </w:tbl>
    <w:p>
      <w:pPr>
        <w:spacing w:before="160" w:after="0"/>
      </w:pPr>
      <w:r>
        <w:t xml:space="preserve"/>
      </w:r>
    </w:p>
    <w:p>
      <w:pPr>
        <w:pStyle w:val="Heading1"/>
      </w:pPr>
      <w:r>
        <w:rPr>
          <w:rFonts w:ascii="Arial" w:cs="Arial" w:eastAsia="Arial" w:hAnsi="Arial"/>
          <w:b/>
          <w:bCs/>
          <w:color w:val="3C3489"/>
          <w:sz w:val="36"/>
          <w:szCs w:val="36"/>
        </w:rPr>
        <w:t xml:space="preserve">6.1  What is BodhLens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80"/>
              <w:left w:type="dxa" w:w="180"/>
              <w:bottom w:type="dxa" w:w="60"/>
              <w:right w:type="dxa" w:w="180"/>
            </w:tcMar>
          </w:tcPr>
          <w:p>
            <w:r>
              <w:rPr>
                <w:rFonts w:ascii="Arial" w:cs="Arial" w:eastAsia="Arial" w:hAnsi="Arial"/>
                <w:b/>
                <w:bCs/>
                <w:color w:val="FFFFFF"/>
                <w:sz w:val="18"/>
                <w:szCs w:val="18"/>
              </w:rPr>
              <w:t xml:space="preserve">PLATFORM CAPABILITY</w:t>
            </w:r>
          </w:p>
        </w:tc>
      </w:tr>
      <w:tr>
        <w:tc>
          <w:tcPr>
            <w:tcBorders>
              <w:top w:val="single" w:color="185FA5" w:sz="4"/>
              <w:left w:val="single" w:color="185FA5" w:sz="8"/>
              <w:bottom w:val="single" w:color="185FA5" w:sz="4"/>
              <w:right w:val="single" w:color="185FA5" w:sz="4"/>
            </w:tcBorders>
            <w:shd w:fill="E6F1FB"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BodhLens is the AI analytics interface built into every Bodh product. In BodhAssess, it gives practitioners and HR administrators a natural language query interface on top of all their assessment data. Type a question in English or Hindi — BodhLens generates the correct ClickHouse query, executes it, picks the best chart type, and renders a live dashboard. No SQL. No BI tool. No data analyst needed.</w:t>
            </w:r>
          </w:p>
        </w:tc>
      </w:tr>
    </w:tbl>
    <w:p>
      <w:pPr>
        <w:spacing w:before="100" w:after="0"/>
      </w:pPr>
      <w:r>
        <w:t xml:space="preserve"/>
      </w:r>
    </w:p>
    <w:p>
      <w:pPr>
        <w:spacing w:before="0" w:after="100"/>
      </w:pPr>
      <w:r>
        <w:rPr>
          <w:rFonts w:ascii="Arial" w:cs="Arial" w:eastAsia="Arial" w:hAnsi="Arial"/>
          <w:color w:val="1C1C1A"/>
          <w:sz w:val="20"/>
          <w:szCs w:val="20"/>
        </w:rPr>
        <w:t xml:space="preserve">BodhLens is not a separate analytics product — it is a prompt bar that appears at the top of every BodhAssess analytics section. The CHRO, the clinical supervisor, the school principal — each sees a different BodhLens interface scoped to their data access permissions and relevant to their role.</w:t>
      </w:r>
    </w:p>
    <w:p>
      <w:pPr>
        <w:spacing w:before="120" w:after="0"/>
      </w:pPr>
      <w:r>
        <w:t xml:space="preserve"/>
      </w:r>
    </w:p>
    <w:p>
      <w:pPr>
        <w:pStyle w:val="Heading2"/>
      </w:pPr>
      <w:r>
        <w:rPr>
          <w:rFonts w:ascii="Arial" w:cs="Arial" w:eastAsia="Arial" w:hAnsi="Arial"/>
          <w:b/>
          <w:bCs/>
          <w:color w:val="0F6E56"/>
          <w:sz w:val="28"/>
          <w:szCs w:val="28"/>
        </w:rPr>
        <w:t xml:space="preserve">6.2  BodhLens in the Clinical Vertical</w:t>
      </w:r>
    </w:p>
    <w:p>
      <w:pPr>
        <w:spacing w:before="80" w:after="0"/>
      </w:pPr>
      <w:r>
        <w:t xml:space="preserve"/>
      </w:r>
    </w:p>
    <w:p>
      <w:pPr>
        <w:spacing w:before="0" w:after="100"/>
      </w:pPr>
      <w:r>
        <w:rPr>
          <w:rFonts w:ascii="Arial" w:cs="Arial" w:eastAsia="Arial" w:hAnsi="Arial"/>
          <w:color w:val="1C1C1A"/>
          <w:sz w:val="20"/>
          <w:szCs w:val="20"/>
        </w:rPr>
        <w:t xml:space="preserve">For clinical practitioners and clinical supervisors, BodhLens queries assessment outcome data, session progress, and population-level anonymised trends: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Example Prompt</w:t>
            </w:r>
          </w:p>
        </w:tc>
        <w:tc>
          <w:tcPr>
            <w:tcW w:type="dxa" w:w="34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What BodhLens Does</w:t>
            </w:r>
          </w:p>
        </w:tc>
        <w:tc>
          <w:tcPr>
            <w:tcW w:type="dxa" w:w="28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Chart Type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PHQ-9 score trajectory for all active clients over the past 12 weeks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assessment_results for all clients with active sessions, PHQ-9 instrument, past 84 days. Computes mean score per week.</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Line chart — week on x-axis, mean PHQ-9 on y-axis, individual client lines in lighter colour behind group mean</w:t>
            </w:r>
          </w:p>
        </w:tc>
      </w:tr>
      <w:tr>
        <w:tc>
          <w:tcPr>
            <w:tcW w:type="dxa" w:w="2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clients have shown deterioration on GAD-7 in the last 4 sessions?</w:t>
            </w:r>
          </w:p>
        </w:tc>
        <w:tc>
          <w:tcPr>
            <w:tcW w:type="dxa" w:w="3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last 4 GAD-7 results per client. Computes slope. Filters to positive slope &gt; threshold. Returns client IDs.</w:t>
            </w:r>
          </w:p>
        </w:tc>
        <w:tc>
          <w:tcPr>
            <w:tcW w:type="dxa" w:w="2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 client ID, GAD-7 score progression, change from baseline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How many clients were assessed this month versus last month?</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Aggregates assessment session counts by month for the practitioner's client list.</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month comparison</w:t>
            </w:r>
          </w:p>
        </w:tc>
      </w:tr>
      <w:tr>
        <w:tc>
          <w:tcPr>
            <w:tcW w:type="dxa" w:w="28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 is the most common PHQ-9 severity band among my clients?</w:t>
            </w:r>
          </w:p>
        </w:tc>
        <w:tc>
          <w:tcPr>
            <w:tcW w:type="dxa" w:w="34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PHQ-9 scores, applies severity classification, computes frequency distribution.</w:t>
            </w:r>
          </w:p>
        </w:tc>
        <w:tc>
          <w:tcPr>
            <w:tcW w:type="dxa" w:w="2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Donut chart — minimal/mild/moderate/moderately severe/severe proportions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 response to CBT versus DBT across clients tracked in BodhLearn</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Joins assessment_results with learning_plan table on client_id. Computes PHQ-9 change scores grouped by intervention type.</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mean PHQ-9 change by intervention type with error bars</w:t>
            </w:r>
          </w:p>
        </w:tc>
      </w:tr>
    </w:tbl>
    <w:p>
      <w:pPr>
        <w:spacing w:before="80" w:after="0"/>
      </w:pPr>
      <w:r>
        <w:t xml:space="preserve"/>
      </w:r>
    </w:p>
    <w:p>
      <w:pPr>
        <w:spacing w:before="0" w:after="100"/>
      </w:pPr>
      <w:r>
        <w:rPr>
          <w:rFonts w:ascii="Arial" w:cs="Arial" w:eastAsia="Arial" w:hAnsi="Arial"/>
          <w:color w:val="1C1C1A"/>
          <w:sz w:val="20"/>
          <w:szCs w:val="20"/>
        </w:rPr>
        <w:t xml:space="preserve">DPDP compliance is enforced at the BodhLens query layer — all clinical BodhLens queries return aggregate data only. Individual client scores are never returned in a BodhLens response (individual data is accessible through the client record view in the main assessment interface, not through BodhLens). For groups smaller than 5 clients, BodhLens returns 'Insufficient data to display — group size below minimum threshold.'</w:t>
      </w:r>
    </w:p>
    <w:p>
      <w:pPr>
        <w:spacing w:before="120" w:after="0"/>
      </w:pPr>
      <w:r>
        <w:t xml:space="preserve"/>
      </w:r>
    </w:p>
    <w:p>
      <w:pPr>
        <w:pStyle w:val="Heading2"/>
      </w:pPr>
      <w:r>
        <w:rPr>
          <w:rFonts w:ascii="Arial" w:cs="Arial" w:eastAsia="Arial" w:hAnsi="Arial"/>
          <w:b/>
          <w:bCs/>
          <w:color w:val="0F6E56"/>
          <w:sz w:val="28"/>
          <w:szCs w:val="28"/>
        </w:rPr>
        <w:t xml:space="preserve">6.3  BodhLens in the Industrial Vertical</w:t>
      </w:r>
    </w:p>
    <w:p>
      <w:pPr>
        <w:spacing w:before="80" w:after="0"/>
      </w:pPr>
      <w:r>
        <w:t xml:space="preserve"/>
      </w:r>
    </w:p>
    <w:p>
      <w:pPr>
        <w:spacing w:before="0" w:after="100"/>
      </w:pPr>
      <w:r>
        <w:rPr>
          <w:rFonts w:ascii="Arial" w:cs="Arial" w:eastAsia="Arial" w:hAnsi="Arial"/>
          <w:color w:val="1C1C1A"/>
          <w:sz w:val="20"/>
          <w:szCs w:val="20"/>
        </w:rPr>
        <w:t xml:space="preserve">For HR administrators and people analytics teams, BodhLens queries selection data, assessment quality metrics, and talent pipeline insights: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Example Prompt</w:t>
            </w:r>
          </w:p>
        </w:tc>
        <w:tc>
          <w:tcPr>
            <w:tcW w:type="dxa" w:w="3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What BodhLens Does</w:t>
            </w:r>
          </w:p>
        </w:tc>
        <w:tc>
          <w:tcPr>
            <w:tcW w:type="dxa" w:w="32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Chart Type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me pass rates by assessment battery for the last hiring cohort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assessment sessions for the cohort, groups by battery, computes pass/fail against configured cut score.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Stacked bar chart — battery on x-axis, pass/fail proportions</w:t>
            </w:r>
          </w:p>
        </w:tc>
      </w:tr>
      <w:tr>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colleges had the highest offer acceptance rates in campus hiring this year?</w:t>
            </w:r>
          </w:p>
        </w:tc>
        <w:tc>
          <w:tcPr>
            <w:tcW w:type="dxa" w:w="3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Joins candidate profiles with offer records. Groups by institution. Computes acceptance rate.</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institution on x-axis, acceptance rate on y-axis, ranked descending</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 AI Adaptability Index scores across department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AI Adaptability Index results, groups by department, computes mean T-score per dimension.</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Radar chart overlay — department profiles on same axes</w:t>
            </w:r>
          </w:p>
        </w:tc>
      </w:tr>
      <w:tr>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score distribution for the aptitude battery this quarter</w:t>
            </w:r>
          </w:p>
        </w:tc>
        <w:tc>
          <w:tcPr>
            <w:tcW w:type="dxa" w:w="3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all aptitude battery results for the quarter, computes frequency histogram.</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Histogram — score bands on x-axis, frequency on y-axis</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assessments have the highest drop-off rates?</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assessment sessions with started_at but no completed_at. Groups by assessment. Computes abandonment rate.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assessment on x-axis, abandonment rate on y-axis</w:t>
            </w:r>
          </w:p>
        </w:tc>
      </w:tr>
      <w:tr>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Flag any candidates whose Trust Score was below 70 in last month's assessment</w:t>
            </w:r>
          </w:p>
        </w:tc>
        <w:tc>
          <w:tcPr>
            <w:tcW w:type="dxa" w:w="3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proctoring_sessions, filters Trust Score &lt; 70, returns candidate IDs and assessment context.</w:t>
            </w:r>
          </w:p>
        </w:tc>
        <w:tc>
          <w:tcPr>
            <w:tcW w:type="dxa" w:w="3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 candidate ID, assessment, Trust Score, alert summary</w:t>
            </w:r>
          </w:p>
        </w:tc>
      </w:tr>
    </w:tbl>
    <w:p>
      <w:pPr>
        <w:spacing w:before="120" w:after="0"/>
      </w:pPr>
      <w:r>
        <w:t xml:space="preserve"/>
      </w:r>
    </w:p>
    <w:p>
      <w:pPr>
        <w:pStyle w:val="Heading2"/>
      </w:pPr>
      <w:r>
        <w:rPr>
          <w:rFonts w:ascii="Arial" w:cs="Arial" w:eastAsia="Arial" w:hAnsi="Arial"/>
          <w:b/>
          <w:bCs/>
          <w:color w:val="0F6E56"/>
          <w:sz w:val="28"/>
          <w:szCs w:val="28"/>
        </w:rPr>
        <w:t xml:space="preserve">6.4  BodhLens in the Counselling Vertical</w:t>
      </w:r>
    </w:p>
    <w:p>
      <w:pPr>
        <w:spacing w:before="80" w:after="0"/>
      </w:pPr>
      <w:r>
        <w:t xml:space="preserve"/>
      </w:r>
    </w:p>
    <w:p>
      <w:pPr>
        <w:spacing w:before="0" w:after="100"/>
      </w:pPr>
      <w:r>
        <w:rPr>
          <w:rFonts w:ascii="Arial" w:cs="Arial" w:eastAsia="Arial" w:hAnsi="Arial"/>
          <w:color w:val="1C1C1A"/>
          <w:sz w:val="20"/>
          <w:szCs w:val="20"/>
        </w:rPr>
        <w:t xml:space="preserve">For school counsellors and counselling supervisors, BodhLens provides class-level and school-level aggregate views — never individual student scores: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Example Prompt</w:t>
            </w:r>
          </w:p>
        </w:tc>
        <w:tc>
          <w:tcPr>
            <w:tcW w:type="dxa" w:w="3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What BodhLens Does</w:t>
            </w:r>
          </w:p>
        </w:tc>
        <w:tc>
          <w:tcPr>
            <w:tcW w:type="dxa" w:w="30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Chart Type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me the anxiety screening results by class for Grade 8</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SCAS results for Grade 8 students, groups by class section, computes proportion above threshold.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class section on x-axis, % above threshold on y-axis</w:t>
            </w:r>
          </w:p>
        </w:tc>
      </w:tr>
      <w:tr>
        <w:tc>
          <w:tcPr>
            <w:tcW w:type="dxa" w:w="26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How many students have been referred for further assessment this term?</w:t>
            </w:r>
          </w:p>
        </w:tc>
        <w:tc>
          <w:tcPr>
            <w:tcW w:type="dxa" w:w="3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Counts referral records created by the counsellor this term.</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Single stat card with trend vs last term</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age groups show the highest academic stress scores?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Groups Academic Stress Inventory results by age band. Computes mean score per band.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Line chart — age on x-axis, mean stress score on y-axis</w:t>
            </w:r>
          </w:p>
        </w:tc>
      </w:tr>
      <w:tr>
        <w:tc>
          <w:tcPr>
            <w:tcW w:type="dxa" w:w="26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parent consent completion rates for this term's screening programme</w:t>
            </w:r>
          </w:p>
        </w:tc>
        <w:tc>
          <w:tcPr>
            <w:tcW w:type="dxa" w:w="3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Queries consent records for the term's assessment batch. Computes consent completion rate by class.</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 class on x-axis, consent completion % on y-axis</w:t>
            </w:r>
          </w:p>
        </w:tc>
      </w:tr>
    </w:tbl>
    <w:p>
      <w:pPr>
        <w:spacing w:before="120" w:after="0"/>
      </w:pPr>
      <w:r>
        <w:t xml:space="preserve"/>
      </w:r>
    </w:p>
    <w:p>
      <w:pPr>
        <w:pStyle w:val="Heading2"/>
      </w:pPr>
      <w:r>
        <w:rPr>
          <w:rFonts w:ascii="Arial" w:cs="Arial" w:eastAsia="Arial" w:hAnsi="Arial"/>
          <w:b/>
          <w:bCs/>
          <w:color w:val="0F6E56"/>
          <w:sz w:val="28"/>
          <w:szCs w:val="28"/>
        </w:rPr>
        <w:t xml:space="preserve">6.5  BodhLens Technical Architecture in BodhAssess</w:t>
      </w:r>
    </w:p>
    <w:p>
      <w:pPr>
        <w:spacing w:before="80" w:after="0"/>
      </w:pPr>
      <w:r>
        <w:t xml:space="preserve"/>
      </w:r>
    </w:p>
    <w:p>
      <w:pPr>
        <w:spacing w:before="0" w:after="100"/>
      </w:pPr>
      <w:r>
        <w:rPr>
          <w:rFonts w:ascii="Arial" w:cs="Arial" w:eastAsia="Arial" w:hAnsi="Arial"/>
          <w:color w:val="1C1C1A"/>
          <w:sz w:val="20"/>
          <w:szCs w:val="20"/>
        </w:rPr>
        <w:t xml:space="preserve">BodhLens in BodhAssess queries the ClickHouse analytics warehouse exclusively — never the operational PostgreSQL database. The ClickHouse schema for assessment analytics contains pre-aggregated event tables:</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Session-level events: assessment ID, candidate/client ID (anonymised), vertical, instrument IDs, start time, completion time, completion status, proctoring Trust Score — </w:t>
      </w:r>
      <w:r>
        <w:rPr>
          <w:rFonts w:ascii="Arial" w:cs="Arial" w:eastAsia="Arial" w:hAnsi="Arial"/>
          <w:color w:val="1C1C1A"/>
          <w:sz w:val="19"/>
          <w:szCs w:val="19"/>
        </w:rPr>
        <w:t xml:space="preserve">assessment_sessions</w:t>
      </w:r>
    </w:p>
    <w:p>
      <w:pPr>
        <w:pStyle w:val="ListParagraph"/>
        <w:numPr>
          <w:ilvl w:val="0"/>
          <w:numId w:val="2"/>
        </w:numPr>
        <w:spacing w:before="50" w:after="50"/>
      </w:pPr>
      <w:r>
        <w:rPr>
          <w:rFonts w:ascii="Arial" w:cs="Arial" w:eastAsia="Arial" w:hAnsi="Arial"/>
          <w:b/>
          <w:bCs/>
          <w:color w:val="3C3489"/>
          <w:sz w:val="19"/>
          <w:szCs w:val="19"/>
        </w:rPr>
        <w:t xml:space="preserve">Item-level events: item ID, session ID, response value, response time, IRT scoring details — no PII — </w:t>
      </w:r>
      <w:r>
        <w:rPr>
          <w:rFonts w:ascii="Arial" w:cs="Arial" w:eastAsia="Arial" w:hAnsi="Arial"/>
          <w:color w:val="1C1C1A"/>
          <w:sz w:val="19"/>
          <w:szCs w:val="19"/>
        </w:rPr>
        <w:t xml:space="preserve">item_responses</w:t>
      </w:r>
    </w:p>
    <w:p>
      <w:pPr>
        <w:pStyle w:val="ListParagraph"/>
        <w:numPr>
          <w:ilvl w:val="0"/>
          <w:numId w:val="2"/>
        </w:numPr>
        <w:spacing w:before="50" w:after="50"/>
      </w:pPr>
      <w:r>
        <w:rPr>
          <w:rFonts w:ascii="Arial" w:cs="Arial" w:eastAsia="Arial" w:hAnsi="Arial"/>
          <w:b/>
          <w:bCs/>
          <w:color w:val="3C3489"/>
          <w:sz w:val="19"/>
          <w:szCs w:val="19"/>
        </w:rPr>
        <w:t xml:space="preserve">Score-level events: session ID, instrument ID, subscale scores, T-scores, percentile ranks, severity classifications, risk flags — </w:t>
      </w:r>
      <w:r>
        <w:rPr>
          <w:rFonts w:ascii="Arial" w:cs="Arial" w:eastAsia="Arial" w:hAnsi="Arial"/>
          <w:color w:val="1C1C1A"/>
          <w:sz w:val="19"/>
          <w:szCs w:val="19"/>
        </w:rPr>
        <w:t xml:space="preserve">score_results</w:t>
      </w:r>
    </w:p>
    <w:p>
      <w:pPr>
        <w:pStyle w:val="ListParagraph"/>
        <w:numPr>
          <w:ilvl w:val="0"/>
          <w:numId w:val="2"/>
        </w:numPr>
        <w:spacing w:before="50" w:after="50"/>
      </w:pPr>
      <w:r>
        <w:rPr>
          <w:rFonts w:ascii="Arial" w:cs="Arial" w:eastAsia="Arial" w:hAnsi="Arial"/>
          <w:b/>
          <w:bCs/>
          <w:color w:val="3C3489"/>
          <w:sz w:val="19"/>
          <w:szCs w:val="19"/>
        </w:rPr>
        <w:t xml:space="preserve">Proctoring violation events: session ID, event type, timestamp, confidence score, duration — </w:t>
      </w:r>
      <w:r>
        <w:rPr>
          <w:rFonts w:ascii="Arial" w:cs="Arial" w:eastAsia="Arial" w:hAnsi="Arial"/>
          <w:color w:val="1C1C1A"/>
          <w:sz w:val="19"/>
          <w:szCs w:val="19"/>
        </w:rPr>
        <w:t xml:space="preserve">proctoring_events</w:t>
      </w:r>
    </w:p>
    <w:p>
      <w:pPr>
        <w:spacing w:before="60" w:after="0"/>
      </w:pPr>
      <w:r>
        <w:t xml:space="preserve"/>
      </w:r>
    </w:p>
    <w:p>
      <w:pPr>
        <w:spacing w:before="0" w:after="100"/>
      </w:pPr>
      <w:r>
        <w:rPr>
          <w:rFonts w:ascii="Arial" w:cs="Arial" w:eastAsia="Arial" w:hAnsi="Arial"/>
          <w:color w:val="1C1C1A"/>
          <w:sz w:val="20"/>
          <w:szCs w:val="20"/>
        </w:rPr>
        <w:t xml:space="preserve">No PII fields (name, email, date of birth, Aadhaar) exist in ClickHouse. All individual identification is via anonymised session IDs and client IDs. The role-based permission system injected into Claude's system prompt ensures that a school counsellor can only query their own school's data, a clinical practitioner can only query their own client records (in aggregate), and an HR manager can only query their organisation's candidate data.</w:t>
      </w:r>
    </w:p>
    <w:p>
      <w:pPr>
        <w:spacing w:before="120" w:after="0"/>
      </w:pPr>
      <w:r>
        <w:t xml:space="preserve"/>
      </w:r>
    </w:p>
    <w:p>
      <w:pPr>
        <w:pStyle w:val="Heading2"/>
      </w:pPr>
      <w:r>
        <w:rPr>
          <w:rFonts w:ascii="Arial" w:cs="Arial" w:eastAsia="Arial" w:hAnsi="Arial"/>
          <w:b/>
          <w:bCs/>
          <w:color w:val="0F6E56"/>
          <w:sz w:val="28"/>
          <w:szCs w:val="28"/>
        </w:rPr>
        <w:t xml:space="preserve">6.6  BodhLens — Integrated Insights (Cross-Product Deep Dive)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80"/>
              <w:left w:type="dxa" w:w="180"/>
              <w:bottom w:type="dxa" w:w="60"/>
              <w:right w:type="dxa" w:w="180"/>
            </w:tcMar>
          </w:tcPr>
          <w:p>
            <w:r>
              <w:rPr>
                <w:rFonts w:ascii="Arial" w:cs="Arial" w:eastAsia="Arial" w:hAnsi="Arial"/>
                <w:b/>
                <w:bCs/>
                <w:color w:val="FFFFFF"/>
                <w:sz w:val="18"/>
                <w:szCs w:val="18"/>
              </w:rPr>
              <w:t xml:space="preserve">WHAT INTEGRATED INSIGHTS MEANS</w:t>
            </w:r>
          </w:p>
        </w:tc>
      </w:tr>
      <w:tr>
        <w:tc>
          <w:tcPr>
            <w:tcBorders>
              <w:top w:val="single" w:color="185FA5" w:sz="4"/>
              <w:left w:val="single" w:color="185FA5" w:sz="8"/>
              <w:bottom w:val="single" w:color="185FA5" w:sz="4"/>
              <w:right w:val="single" w:color="185FA5" w:sz="4"/>
            </w:tcBorders>
            <w:shd w:fill="E6F1FB"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The most powerful BodhLens queries are not single-product queries — they are cross-product queries that surface insights only visible when multiple data sources are combined. A CHRO who asks 'which departments have the widest gap between assessed skill levels and current performance ratings, and are those departments also showing elevated attrition risk?' is asking BodhAssess, BodhGrow, and BodhPeople to be queried together. BodhLens handles this automatically — a single natural language prompt can span multiple Bodh products in one query, join their ClickHouse event tables, and render a unified chart. No manual data export, no spreadsheet merging, no data analyst required.</w:t>
            </w:r>
          </w:p>
        </w:tc>
      </w:tr>
    </w:tbl>
    <w:p>
      <w:pPr>
        <w:spacing w:before="100" w:after="0"/>
      </w:pPr>
      <w:r>
        <w:t xml:space="preserve"/>
      </w:r>
    </w:p>
    <w:p>
      <w:pPr>
        <w:pStyle w:val="Heading3"/>
      </w:pPr>
      <w:r>
        <w:rPr>
          <w:rFonts w:ascii="Arial" w:cs="Arial" w:eastAsia="Arial" w:hAnsi="Arial"/>
          <w:b/>
          <w:bCs/>
          <w:color w:val="3C3489"/>
          <w:sz w:val="24"/>
          <w:szCs w:val="24"/>
        </w:rPr>
        <w:t xml:space="preserve">How Cross-Product Queries Work</w:t>
      </w:r>
    </w:p>
    <w:p>
      <w:pPr>
        <w:spacing w:before="60" w:after="0"/>
      </w:pPr>
      <w:r>
        <w:t xml:space="preserve"/>
      </w:r>
    </w:p>
    <w:p>
      <w:pPr>
        <w:spacing w:before="0" w:after="100"/>
      </w:pPr>
      <w:r>
        <w:rPr>
          <w:rFonts w:ascii="Arial" w:cs="Arial" w:eastAsia="Arial" w:hAnsi="Arial"/>
          <w:color w:val="1C1C1A"/>
          <w:sz w:val="20"/>
          <w:szCs w:val="20"/>
        </w:rPr>
        <w:t xml:space="preserve">Every Bodh product writes its events to the same ClickHouse analytics warehouse using a shared entity model. The common entity identifiers — employee_id, candidate_id, organisation_id, session_id — are consistent across all product event tables. When BodhLens generates a query, Claude API can JOIN across tables from multiple products because they share these common keys. The permission system ensures users only see data from products their organisation has activated.</w:t>
      </w:r>
    </w:p>
    <w:p>
      <w:pPr>
        <w:spacing w:before="80" w:after="0"/>
      </w:pPr>
      <w:r>
        <w:t xml:space="preserve"/>
      </w:r>
    </w:p>
    <w:p>
      <w:pPr>
        <w:pStyle w:val="Heading3"/>
      </w:pPr>
      <w:r>
        <w:rPr>
          <w:rFonts w:ascii="Arial" w:cs="Arial" w:eastAsia="Arial" w:hAnsi="Arial"/>
          <w:b/>
          <w:bCs/>
          <w:color w:val="3C3489"/>
          <w:sz w:val="24"/>
          <w:szCs w:val="24"/>
        </w:rPr>
        <w:t xml:space="preserve">Integrated Insight Examples — Clinical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Products Joined</w:t>
            </w:r>
          </w:p>
        </w:tc>
        <w:tc>
          <w:tcPr>
            <w:tcW w:type="dxa" w:w="2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Insight Generated</w:t>
            </w:r>
          </w:p>
        </w:tc>
        <w:tc>
          <w:tcPr>
            <w:tcW w:type="dxa" w:w="22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Clinical Value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clients whose PHQ-9 scores are improving but whose BodhLearn CBT session completion is below 50%</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(PHQ-9 scores) + BodhLearn (CBT session completion)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Scatter plot: PHQ-9 trajectory on Y-axis, session completion % on X-axis. Quadrant view: improving without engaging vs not improving despite engaging.</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Identifies clients who are recovering naturally (may need less intensive support) vs clients who are engaging but not improving (may need intervention adjustment).</w:t>
            </w:r>
          </w:p>
        </w:tc>
      </w:tr>
      <w:tr>
        <w:tc>
          <w:tcPr>
            <w:tcW w:type="dxa" w:w="26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CBT modules have the strongest correlation with PHQ-9 score reduction across all clients?</w:t>
            </w:r>
          </w:p>
        </w:tc>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BodhLearn (module completion events) + BodhAssess (PHQ-9 score changes)</w:t>
            </w:r>
          </w:p>
        </w:tc>
        <w:tc>
          <w:tcPr>
            <w:tcW w:type="dxa" w:w="2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module name on X-axis, mean PHQ-9 reduction in clients who completed that module on Y-axis.</w:t>
            </w:r>
          </w:p>
        </w:tc>
        <w:tc>
          <w:tcPr>
            <w:tcW w:type="dxa" w:w="22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Evidence-based content quality signal — identifies which psychoeducation and skill modules are most therapeutically effective in the practitioner's own client population.</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clients who completed the DASS-21 more than 3 months ago without a follow-up assessment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(session dates, instrument administered)</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Table: client IDs, last DASS-21 date, days since last assessment. Filterable by severity classification of last score.</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governance alert — identifies clients whose outcomes have not been monitored to standard. Supports supervision and audit requirements.</w:t>
            </w:r>
          </w:p>
        </w:tc>
      </w:tr>
    </w:tbl>
    <w:p>
      <w:pPr>
        <w:spacing w:before="100" w:after="0"/>
      </w:pPr>
      <w:r>
        <w:t xml:space="preserve"/>
      </w:r>
    </w:p>
    <w:p>
      <w:pPr>
        <w:pStyle w:val="Heading3"/>
      </w:pPr>
      <w:r>
        <w:rPr>
          <w:rFonts w:ascii="Arial" w:cs="Arial" w:eastAsia="Arial" w:hAnsi="Arial"/>
          <w:b/>
          <w:bCs/>
          <w:color w:val="3C3489"/>
          <w:sz w:val="24"/>
          <w:szCs w:val="24"/>
        </w:rPr>
        <w:t xml:space="preserve">Integrated Insight Examples — Industrial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rPr>
          <w:tblHeader/>
        </w:trPr>
        <w:tc>
          <w:tcPr>
            <w:tcW w:type="dxa" w:w="26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20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Products Joined</w:t>
            </w:r>
          </w:p>
        </w:tc>
        <w:tc>
          <w:tcPr>
            <w:tcW w:type="dxa" w:w="2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Insight Generated</w:t>
            </w:r>
          </w:p>
        </w:tc>
        <w:tc>
          <w:tcPr>
            <w:tcW w:type="dxa" w:w="22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Organisational Value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 attrition risk scores with AI Adaptability Index scores by department — which departments are both high attrition risk and low AI readiness?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(AI Adaptability Index scores) + BodhPeople (attrition risk scores)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2x2 quadrant chart: attrition risk on Y-axis, AI Adaptability on X-axis. Department bubbles sized by headcount.</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Identifies the most strategically vulnerable departments — high flight risk AND low AI readiness. Prioritises where to invest in both retention and AI upskilling simultaneously.</w:t>
            </w:r>
          </w:p>
        </w:tc>
      </w:tr>
      <w:tr>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candidates hired in the last 2 years with high aptitude scores also have high 360° ratings today?</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(aptitude battery scores at hire) + BodhGrow (360° ratings, current)</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Correlation scatter plot: aptitude score at hire on X-axis, 360° current rating on Y-axis. Regression line with R² value.</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Concurrent validity evidence — validates whether BodhAssess aptitude scores predict on-the-job performance in this organisation's specific context.</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departments where Digital Diet scores are high and BodhLearn completion rates are low</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(Digital Diet scores) + BodhLearn (module completion rates)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Dual-axis bar chart by department: Digital Diet score (bars) + BodhLearn completion rate (line).</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Identifies whether technology overuse is impairing learning engagement. Informs whether Digital Diet intervention should precede learning programme deployment.</w:t>
            </w:r>
          </w:p>
        </w:tc>
      </w:tr>
      <w:tr>
        <w:tc>
          <w:tcPr>
            <w:tcW w:type="dxa" w:w="26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employees who completed the leadership development programme have been identified as HiPo in the subsequent BodhGrow cycle?</w:t>
            </w:r>
          </w:p>
        </w:tc>
        <w:tc>
          <w:tcPr>
            <w:tcW w:type="dxa" w:w="20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BodhLearn (programme completion) + BodhGrow (HiPo identification)</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Venn diagram / table: programme completers, HiPo identifications, overlap count and percentage.</w:t>
            </w:r>
          </w:p>
        </w:tc>
        <w:tc>
          <w:tcPr>
            <w:tcW w:type="dxa" w:w="22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Programme ROI measurement — what proportion of leadership programme completers were subsequently identified as high potential? Validates the programme's effectiveness as a development intervention.</w:t>
            </w:r>
          </w:p>
        </w:tc>
      </w:tr>
    </w:tbl>
    <w:p>
      <w:pPr>
        <w:spacing w:before="100" w:after="0"/>
      </w:pPr>
      <w:r>
        <w:t xml:space="preserve"/>
      </w:r>
    </w:p>
    <w:p>
      <w:pPr>
        <w:pStyle w:val="Heading3"/>
      </w:pPr>
      <w:r>
        <w:rPr>
          <w:rFonts w:ascii="Arial" w:cs="Arial" w:eastAsia="Arial" w:hAnsi="Arial"/>
          <w:b/>
          <w:bCs/>
          <w:color w:val="3C3489"/>
          <w:sz w:val="24"/>
          <w:szCs w:val="24"/>
        </w:rPr>
        <w:t xml:space="preserve">Integrated Insight Examples — Designing Experiments Vertical</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26"/>
      </w:tblGrid>
      <w:tr>
        <w:trPr>
          <w:tblHeader/>
        </w:trPr>
        <w:tc>
          <w:tcPr>
            <w:tcW w:type="dxa" w:w="26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Products Joined</w:t>
            </w:r>
          </w:p>
        </w:tc>
        <w:tc>
          <w:tcPr>
            <w:tcW w:type="dxa" w:w="26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Insight Generated</w:t>
            </w:r>
          </w:p>
        </w:tc>
        <w:tc>
          <w:tcPr>
            <w:tcW w:type="dxa" w:w="18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Research Value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the correlation between IAT D-scores (implicit anxiety) and GAD-7 scores (explicit anxiety) across all research participants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Designing Experiments (IAT D-scores) + BodhAssess Clinical (GAD-7 scores)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Scatter plot with regression line: IAT D-score on X-axis, GAD-7 on Y-axis. R² and p-value displayed.</w:t>
            </w:r>
          </w:p>
        </w:tc>
        <w:tc>
          <w:tcPr>
            <w:tcW w:type="dxa" w:w="1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Convergent validity evidence — do implicit and explicit anxiety measures correlate? Core research question in anxiety research and instrument validation.</w:t>
            </w:r>
          </w:p>
        </w:tc>
      </w:tr>
      <w:tr>
        <w:tc>
          <w:tcPr>
            <w:tcW w:type="dxa" w:w="26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Dot Probe attentional bias scores predict treatment response to the CBT programme at 8 weeks?</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Designing Experiments (Dot Probe) + BodhLearn (CBT completion) + BodhAssess Clinical (PHQ-9 at 8 weeks)</w:t>
            </w:r>
          </w:p>
        </w:tc>
        <w:tc>
          <w:tcPr>
            <w:tcW w:type="dxa" w:w="26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Bar chart: high vs low attentional bias groups × PHQ-9 change at 8 weeks.</w:t>
            </w:r>
          </w:p>
        </w:tc>
        <w:tc>
          <w:tcPr>
            <w:tcW w:type="dxa" w:w="18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Moderator analysis — does baseline attentional bias predict who responds to CBT? Clinically actionable: could inform treatment selection.</w:t>
            </w:r>
          </w:p>
        </w:tc>
      </w:tr>
    </w:tbl>
    <w:p>
      <w:pPr>
        <w:spacing w:before="100" w:after="0"/>
      </w:pPr>
      <w:r>
        <w:t xml:space="preserve"/>
      </w:r>
    </w:p>
    <w:p>
      <w:pPr>
        <w:pStyle w:val="Heading3"/>
      </w:pPr>
      <w:r>
        <w:rPr>
          <w:rFonts w:ascii="Arial" w:cs="Arial" w:eastAsia="Arial" w:hAnsi="Arial"/>
          <w:b/>
          <w:bCs/>
          <w:color w:val="3C3489"/>
          <w:sz w:val="24"/>
          <w:szCs w:val="24"/>
        </w:rPr>
        <w:t xml:space="preserve">Integrated Insights — Technical Architecture</w:t>
      </w:r>
    </w:p>
    <w:p>
      <w:pPr>
        <w:spacing w:before="60" w:after="0"/>
      </w:pPr>
      <w:r>
        <w:t xml:space="preserve"/>
      </w:r>
    </w:p>
    <w:p>
      <w:pPr>
        <w:spacing w:before="0" w:after="100"/>
      </w:pPr>
      <w:r>
        <w:rPr>
          <w:rFonts w:ascii="Arial" w:cs="Arial" w:eastAsia="Arial" w:hAnsi="Arial"/>
          <w:color w:val="1C1C1A"/>
          <w:sz w:val="20"/>
          <w:szCs w:val="20"/>
        </w:rPr>
        <w:t xml:space="preserve">Cross-product queries are handled by BodhLens through a two-stage process:</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Claude API receives the user's prompt along with the full ClickHouse schema for all products the user's organisation has activated. Claude identifies which tables from which products are needed and generates a JOIN query across the relevant tables. — </w:t>
      </w:r>
      <w:r>
        <w:rPr>
          <w:rFonts w:ascii="Arial" w:cs="Arial" w:eastAsia="Arial" w:hAnsi="Arial"/>
          <w:color w:val="1C1C1A"/>
          <w:sz w:val="19"/>
          <w:szCs w:val="19"/>
        </w:rPr>
        <w:t xml:space="preserve">Stage 1 — Schema routing</w:t>
      </w:r>
    </w:p>
    <w:p>
      <w:pPr>
        <w:pStyle w:val="ListParagraph"/>
        <w:numPr>
          <w:ilvl w:val="0"/>
          <w:numId w:val="2"/>
        </w:numPr>
        <w:spacing w:before="50" w:after="50"/>
      </w:pPr>
      <w:r>
        <w:rPr>
          <w:rFonts w:ascii="Arial" w:cs="Arial" w:eastAsia="Arial" w:hAnsi="Arial"/>
          <w:b/>
          <w:bCs/>
          <w:color w:val="3C3489"/>
          <w:sz w:val="19"/>
          <w:szCs w:val="19"/>
        </w:rPr>
        <w:t xml:space="preserve">Before execution, the generated SQL is validated against the user's role and product access permissions. A clinical practitioner cannot execute a query that JOINs BodhPeople (industrial) tables — even if they phrase a prompt that would require it. The permission validator rewrites or rejects queries that exceed the user's data scope. — </w:t>
      </w:r>
      <w:r>
        <w:rPr>
          <w:rFonts w:ascii="Arial" w:cs="Arial" w:eastAsia="Arial" w:hAnsi="Arial"/>
          <w:color w:val="1C1C1A"/>
          <w:sz w:val="19"/>
          <w:szCs w:val="19"/>
        </w:rPr>
        <w:t xml:space="preserve">Stage 2 — Permission validation</w:t>
      </w:r>
    </w:p>
    <w:p>
      <w:pPr>
        <w:pStyle w:val="ListParagraph"/>
        <w:numPr>
          <w:ilvl w:val="0"/>
          <w:numId w:val="2"/>
        </w:numPr>
        <w:spacing w:before="50" w:after="50"/>
      </w:pPr>
      <w:r>
        <w:rPr>
          <w:rFonts w:ascii="Arial" w:cs="Arial" w:eastAsia="Arial" w:hAnsi="Arial"/>
          <w:b/>
          <w:bCs/>
          <w:color w:val="3C3489"/>
          <w:sz w:val="19"/>
          <w:szCs w:val="19"/>
        </w:rPr>
        <w:t xml:space="preserve">The validated JOIN query executes against ClickHouse. Results returned as a unified dataset. BodhLens selects the best chart type for multi-dimensional data (scatter for correlations, quadrant charts for 2×2 analysis, dual-axis charts for comparing different metric scales). — </w:t>
      </w:r>
      <w:r>
        <w:rPr>
          <w:rFonts w:ascii="Arial" w:cs="Arial" w:eastAsia="Arial" w:hAnsi="Arial"/>
          <w:color w:val="1C1C1A"/>
          <w:sz w:val="19"/>
          <w:szCs w:val="19"/>
        </w:rPr>
        <w:t xml:space="preserve">Stage 3 — Execution and rendering</w:t>
      </w:r>
    </w:p>
    <w:p>
      <w:pPr>
        <w:pStyle w:val="ListParagraph"/>
        <w:numPr>
          <w:ilvl w:val="0"/>
          <w:numId w:val="2"/>
        </w:numPr>
        <w:spacing w:before="50" w:after="50"/>
      </w:pPr>
      <w:r>
        <w:rPr>
          <w:rFonts w:ascii="Arial" w:cs="Arial" w:eastAsia="Arial" w:hAnsi="Arial"/>
          <w:b/>
          <w:bCs/>
          <w:color w:val="3C3489"/>
          <w:sz w:val="19"/>
          <w:szCs w:val="19"/>
        </w:rPr>
        <w:t xml:space="preserve">Cross-product queries apply the most restrictive DPDP classification of any table involved. A query joining clinical data with industrial data inherits clinical data's Sensitive Personal Data classification — minimum group size n=10, no individual-level output. — </w:t>
      </w:r>
      <w:r>
        <w:rPr>
          <w:rFonts w:ascii="Arial" w:cs="Arial" w:eastAsia="Arial" w:hAnsi="Arial"/>
          <w:color w:val="1C1C1A"/>
          <w:sz w:val="19"/>
          <w:szCs w:val="19"/>
        </w:rPr>
        <w:t xml:space="preserve">DPDP enforcement on cross-product data</w:t>
      </w:r>
    </w:p>
    <w:p>
      <w:pPr>
        <w:spacing w:before="80" w:after="0"/>
      </w:pPr>
      <w:r>
        <w:t xml:space="preserve"/>
      </w:r>
    </w:p>
    <w:p>
      <w:pPr>
        <w:pStyle w:val="Heading3"/>
      </w:pPr>
      <w:r>
        <w:rPr>
          <w:rFonts w:ascii="Arial" w:cs="Arial" w:eastAsia="Arial" w:hAnsi="Arial"/>
          <w:b/>
          <w:bCs/>
          <w:color w:val="3C3489"/>
          <w:sz w:val="24"/>
          <w:szCs w:val="24"/>
        </w:rPr>
        <w:t xml:space="preserve">Saving and Scheduling Integrated Insights</w:t>
      </w:r>
    </w:p>
    <w:p>
      <w:pPr>
        <w:spacing w:before="60" w:after="0"/>
      </w:pPr>
      <w:r>
        <w:t xml:space="preserve"/>
      </w:r>
    </w:p>
    <w:p>
      <w:pPr>
        <w:spacing w:before="0" w:after="100"/>
      </w:pPr>
      <w:r>
        <w:rPr>
          <w:rFonts w:ascii="Arial" w:cs="Arial" w:eastAsia="Arial" w:hAnsi="Arial"/>
          <w:color w:val="1C1C1A"/>
          <w:sz w:val="20"/>
          <w:szCs w:val="20"/>
        </w:rPr>
        <w:t xml:space="preserve">Any cross-product integrated insight can be saved as a named report, added to a scheduled digest (weekly email delivery via Postal), or pinned to the organisation's BodhLens home dashboard. Saved cross-product queries re-execute on load — always fresh data, no manual refresh required. The CHRO's weekly digest can include a set of integrated insights spanning all active Bodh products, delivered every Monday morning as a PDF or interactive email.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7 — DPDP Compliance in BodhAssess</w:t>
            </w:r>
          </w:p>
        </w:tc>
      </w:tr>
    </w:tbl>
    <w:p>
      <w:pPr>
        <w:spacing w:before="160" w:after="0"/>
      </w:pPr>
      <w:r>
        <w:t xml:space="preserve"/>
      </w:r>
    </w:p>
    <w:p>
      <w:pPr>
        <w:pStyle w:val="Heading1"/>
      </w:pPr>
      <w:r>
        <w:rPr>
          <w:rFonts w:ascii="Arial" w:cs="Arial" w:eastAsia="Arial" w:hAnsi="Arial"/>
          <w:b/>
          <w:bCs/>
          <w:color w:val="3C3489"/>
          <w:sz w:val="36"/>
          <w:szCs w:val="36"/>
        </w:rPr>
        <w:t xml:space="preserve">7.1  Why DPDP is Central to BodhAssess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993C1D" w:val="clear"/>
            <w:tcMar>
              <w:top w:type="dxa" w:w="80"/>
              <w:left w:type="dxa" w:w="180"/>
              <w:bottom w:type="dxa" w:w="60"/>
              <w:right w:type="dxa" w:w="180"/>
            </w:tcMar>
          </w:tcPr>
          <w:p>
            <w:r>
              <w:rPr>
                <w:rFonts w:ascii="Arial" w:cs="Arial" w:eastAsia="Arial" w:hAnsi="Arial"/>
                <w:b/>
                <w:bCs/>
                <w:color w:val="FFFFFF"/>
                <w:sz w:val="18"/>
                <w:szCs w:val="18"/>
              </w:rPr>
              <w:t xml:space="preserve">THE COMPLIANCE IMPERATIVE</w:t>
            </w:r>
          </w:p>
        </w:tc>
      </w:tr>
      <w:tr>
        <w:tc>
          <w:tcPr>
            <w:tcBorders>
              <w:top w:val="single" w:color="993C1D" w:sz="4"/>
              <w:left w:val="single" w:color="993C1D" w:sz="8"/>
              <w:bottom w:val="single" w:color="993C1D" w:sz="4"/>
              <w:right w:val="single" w:color="993C1D" w:sz="4"/>
            </w:tcBorders>
            <w:shd w:fill="FAECE7"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BodhAssess collects and processes some of the most sensitive personal data categories defined under India's Digital Personal Data Protection Act 2023. Mental health assessment records, clinical diagnoses, and psychological profiles are classified as sensitive personal data requiring the highest level of protection. Industrial psychometric data — personality profiles, cognitive ability scores — are personal data with direct implications for employment decisions. Child developmental assessment data requires parental consent and enhanced minors protection. DPDP compliance is not an add-on to BodhAssess — it is a design constraint that shaped the architecture from day one.</w:t>
            </w:r>
          </w:p>
        </w:tc>
      </w:tr>
    </w:tbl>
    <w:p>
      <w:pPr>
        <w:spacing w:before="120" w:after="0"/>
      </w:pPr>
      <w:r>
        <w:t xml:space="preserve"/>
      </w:r>
    </w:p>
    <w:p>
      <w:pPr>
        <w:pStyle w:val="Heading2"/>
      </w:pPr>
      <w:r>
        <w:rPr>
          <w:rFonts w:ascii="Arial" w:cs="Arial" w:eastAsia="Arial" w:hAnsi="Arial"/>
          <w:b/>
          <w:bCs/>
          <w:color w:val="0F6E56"/>
          <w:sz w:val="28"/>
          <w:szCs w:val="28"/>
        </w:rPr>
        <w:t xml:space="preserve">7.2  Data Classification in BodhAssess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026"/>
      </w:tblGrid>
      <w:tr>
        <w:trPr>
          <w:tblHeader/>
        </w:trPr>
        <w:tc>
          <w:tcPr>
            <w:tcW w:type="dxa" w:w="2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DPDP Classification</w:t>
            </w:r>
          </w:p>
        </w:tc>
        <w:tc>
          <w:tcPr>
            <w:tcW w:type="dxa" w:w="1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30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Protection Level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Mental health assessment records (PHQ-9, GAD-7, DASS-21, Beck scales)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Health Data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Highest — field-level encryption, restricted access roles, separate consent purpose, 7-year retention minimum</w:t>
            </w:r>
          </w:p>
        </w:tc>
      </w:tr>
      <w:tr>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case history and MSE documents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Health Data</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Highest — encrypted at rest in MinIO AES-256, separate consent required for AI processing (Tier 5)</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Psychometric personality profiles (Big Five, HEXACO)</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 Data — Employment-related</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 column-level encryption for PII fields, consent for each assessment purpose</w:t>
            </w:r>
          </w:p>
        </w:tc>
      </w:tr>
      <w:tr>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Cognitive aptitude scores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 Data — Employment-related</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 consent required, not shared without explicit HR manager instruction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Adaptability Index scores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Personal Data — Employment-related</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 special care: scores could affect hiring decisions, subject to right of access</w:t>
            </w:r>
          </w:p>
        </w:tc>
      </w:tr>
      <w:tr>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 developmental assessment scores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Minor's Data</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Enhanced — parental consent mandatory, separate controller/processor framework for schools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 behavioural assessment records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Minor's Data</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Enhanced — visible to counsellor and parents only, never to teachers or school admin</w:t>
            </w:r>
          </w:p>
        </w:tc>
      </w:tr>
      <w:tr>
        <w:tc>
          <w:tcPr>
            <w:tcW w:type="dxa" w:w="2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session video frames</w:t>
            </w:r>
          </w:p>
        </w:tc>
        <w:tc>
          <w:tcPr>
            <w:tcW w:type="dxa" w:w="18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Biometric/Behavioural</w:t>
            </w:r>
          </w:p>
        </w:tc>
        <w:tc>
          <w:tcPr>
            <w:tcW w:type="dxa" w:w="1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Industrial/Counselling (where proctored)</w:t>
            </w:r>
          </w:p>
        </w:tc>
        <w:tc>
          <w:tcPr>
            <w:tcW w:type="dxa" w:w="30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Enhanced — processed locally (client-side), server-side frames deleted after Trust Score computation, maximum 72-hour retention for review</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Facial landmark data (MediaPipe)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Sensitive Personal Data — Biometric</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proctored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Client-side only — never transmitted to servers, computed and discarded in browser memory</w:t>
            </w:r>
          </w:p>
        </w:tc>
      </w:tr>
    </w:tbl>
    <w:p>
      <w:pPr>
        <w:spacing w:before="120" w:after="0"/>
      </w:pPr>
      <w:r>
        <w:t xml:space="preserve"/>
      </w:r>
    </w:p>
    <w:p>
      <w:pPr>
        <w:pStyle w:val="Heading2"/>
      </w:pPr>
      <w:r>
        <w:rPr>
          <w:rFonts w:ascii="Arial" w:cs="Arial" w:eastAsia="Arial" w:hAnsi="Arial"/>
          <w:b/>
          <w:bCs/>
          <w:color w:val="0F6E56"/>
          <w:sz w:val="28"/>
          <w:szCs w:val="28"/>
        </w:rPr>
        <w:t xml:space="preserve">7.3  Consent Architecture</w:t>
      </w:r>
    </w:p>
    <w:p>
      <w:pPr>
        <w:spacing w:before="80" w:after="0"/>
      </w:pPr>
      <w:r>
        <w:t xml:space="preserve"/>
      </w:r>
    </w:p>
    <w:p>
      <w:pPr>
        <w:spacing w:before="0" w:after="100"/>
      </w:pPr>
      <w:r>
        <w:rPr>
          <w:rFonts w:ascii="Arial" w:cs="Arial" w:eastAsia="Arial" w:hAnsi="Arial"/>
          <w:color w:val="1C1C1A"/>
          <w:sz w:val="20"/>
          <w:szCs w:val="20"/>
        </w:rPr>
        <w:t xml:space="preserve">Every data collection event in BodhAssess is preceded by explicit, purpose-specific, granular consent captured through Keycloak's consent management module. Consent is not a single blanket agreement — it is a collection of specific consents for specific purposes, each of which can be independently granted or withdrawn.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026"/>
      </w:tblGrid>
      <w:tr>
        <w:trPr>
          <w:tblHeader/>
        </w:trPr>
        <w:tc>
          <w:tcPr>
            <w:tcW w:type="dxa" w:w="24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Consent Purpose</w:t>
            </w:r>
          </w:p>
        </w:tc>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Triggered By</w:t>
            </w:r>
          </w:p>
        </w:tc>
        <w:tc>
          <w:tcPr>
            <w:tcW w:type="dxa" w:w="16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Data Subject</w:t>
            </w:r>
          </w:p>
        </w:tc>
        <w:tc>
          <w:tcPr>
            <w:tcW w:type="dxa" w:w="30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Language Available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administration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first assessment in a new purpose context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Adult client / Candidate / Parent (for child)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English + Hindi + 9 regional languages</w:t>
            </w:r>
          </w:p>
        </w:tc>
      </w:tr>
      <w:tr>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Data storage and longitudinal tracking</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storing any assessment results for future reference</w:t>
            </w:r>
          </w:p>
        </w:tc>
        <w:tc>
          <w:tcPr>
            <w:tcW w:type="dxa" w:w="16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Adult client / Parent (for child)</w:t>
            </w:r>
          </w:p>
        </w:tc>
        <w:tc>
          <w:tcPr>
            <w:tcW w:type="dxa" w:w="30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processing (Tier 5 features)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first use of any Tier 5 AI feature — MSE upload, narrative report, intervention plan</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Adult client / Parent (for child)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w:t>
            </w:r>
          </w:p>
        </w:tc>
      </w:tr>
      <w:tr>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Research and anonymised benchmarking (BodhInsight)</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Optional — presented at onboarding, not required for platform use</w:t>
            </w:r>
          </w:p>
        </w:tc>
        <w:tc>
          <w:tcPr>
            <w:tcW w:type="dxa" w:w="16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Adult client / Candidate / Parent (for child)</w:t>
            </w:r>
          </w:p>
        </w:tc>
        <w:tc>
          <w:tcPr>
            <w:tcW w:type="dxa" w:w="30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WhatsApp communication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any WhatsApp message is sent to the data subject</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Adult client / Candidate / Parent (for child)</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w:t>
            </w:r>
          </w:p>
        </w:tc>
      </w:tr>
      <w:tr>
        <w:tc>
          <w:tcPr>
            <w:tcW w:type="dxa" w:w="24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session recording</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every proctored assessment session</w:t>
            </w:r>
          </w:p>
        </w:tc>
        <w:tc>
          <w:tcPr>
            <w:tcW w:type="dxa" w:w="16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Candidate</w:t>
            </w:r>
          </w:p>
        </w:tc>
        <w:tc>
          <w:tcPr>
            <w:tcW w:type="dxa" w:w="30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 — with explicit video/audio recording disclosure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Employer access to assessment results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Before assessment results are shared with an employer or third party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Candidate</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Same as above</w:t>
            </w:r>
          </w:p>
        </w:tc>
      </w:tr>
    </w:tbl>
    <w:p>
      <w:pPr>
        <w:spacing w:before="100" w:after="0"/>
      </w:pPr>
      <w:r>
        <w:t xml:space="preserve"/>
      </w:r>
    </w:p>
    <w:p>
      <w:pPr>
        <w:spacing w:before="0" w:after="100"/>
      </w:pPr>
      <w:r>
        <w:rPr>
          <w:rFonts w:ascii="Arial" w:cs="Arial" w:eastAsia="Arial" w:hAnsi="Arial"/>
          <w:color w:val="1C1C1A"/>
          <w:sz w:val="20"/>
          <w:szCs w:val="20"/>
        </w:rPr>
        <w:t xml:space="preserve">Consent is recorded with: purpose ID, data subject ID, timestamp, IP address hash (not stored directly — hashed for breach audit purposes only), consent version number, and the exact consent text displayed. If Bodh updates the consent language for any purpose, all data subjects who consented under the previous version are notified and re-consent is requested before the new feature is used.</w:t>
      </w:r>
    </w:p>
    <w:p>
      <w:pPr>
        <w:spacing w:before="120" w:after="0"/>
      </w:pPr>
      <w:r>
        <w:t xml:space="preserve"/>
      </w:r>
    </w:p>
    <w:p>
      <w:pPr>
        <w:pStyle w:val="Heading2"/>
      </w:pPr>
      <w:r>
        <w:rPr>
          <w:rFonts w:ascii="Arial" w:cs="Arial" w:eastAsia="Arial" w:hAnsi="Arial"/>
          <w:b/>
          <w:bCs/>
          <w:color w:val="0F6E56"/>
          <w:sz w:val="28"/>
          <w:szCs w:val="28"/>
        </w:rPr>
        <w:t xml:space="preserve">7.4  Data Residency</w:t>
      </w:r>
    </w:p>
    <w:p>
      <w:pPr>
        <w:spacing w:before="80" w:after="0"/>
      </w:pPr>
      <w:r>
        <w:t xml:space="preserve"/>
      </w:r>
    </w:p>
    <w:p>
      <w:pPr>
        <w:spacing w:before="0" w:after="100"/>
      </w:pPr>
      <w:r>
        <w:rPr>
          <w:rFonts w:ascii="Arial" w:cs="Arial" w:eastAsia="Arial" w:hAnsi="Arial"/>
          <w:color w:val="1C1C1A"/>
          <w:sz w:val="20"/>
          <w:szCs w:val="20"/>
        </w:rPr>
        <w:t xml:space="preserve">All BodhAssess data — assessment records, response data, reports, clinical documents, proctoring Trust Scores — is stored exclusively on DigitalOcean infrastructure in India:</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BLR1 (Bangalore) — all operational data, primary PostgreSQL, MongoDB, Redis, MinIO — </w:t>
      </w:r>
      <w:r>
        <w:rPr>
          <w:rFonts w:ascii="Arial" w:cs="Arial" w:eastAsia="Arial" w:hAnsi="Arial"/>
          <w:color w:val="1C1C1A"/>
          <w:sz w:val="19"/>
          <w:szCs w:val="19"/>
        </w:rPr>
        <w:t xml:space="preserve">Primary data centre</w:t>
      </w:r>
    </w:p>
    <w:p>
      <w:pPr>
        <w:pStyle w:val="ListParagraph"/>
        <w:numPr>
          <w:ilvl w:val="0"/>
          <w:numId w:val="2"/>
        </w:numPr>
        <w:spacing w:before="50" w:after="50"/>
      </w:pPr>
      <w:r>
        <w:rPr>
          <w:rFonts w:ascii="Arial" w:cs="Arial" w:eastAsia="Arial" w:hAnsi="Arial"/>
          <w:b/>
          <w:bCs/>
          <w:color w:val="3C3489"/>
          <w:sz w:val="19"/>
          <w:szCs w:val="19"/>
        </w:rPr>
        <w:t xml:space="preserve">BOM1 (Mumbai) — standby replica for high availability and disaster recovery — </w:t>
      </w:r>
      <w:r>
        <w:rPr>
          <w:rFonts w:ascii="Arial" w:cs="Arial" w:eastAsia="Arial" w:hAnsi="Arial"/>
          <w:color w:val="1C1C1A"/>
          <w:sz w:val="19"/>
          <w:szCs w:val="19"/>
        </w:rPr>
        <w:t xml:space="preserve">Secondary data centre</w:t>
      </w:r>
    </w:p>
    <w:p>
      <w:pPr>
        <w:pStyle w:val="ListParagraph"/>
        <w:numPr>
          <w:ilvl w:val="0"/>
          <w:numId w:val="2"/>
        </w:numPr>
        <w:spacing w:before="50" w:after="50"/>
      </w:pPr>
      <w:r>
        <w:rPr>
          <w:rFonts w:ascii="Arial" w:cs="Arial" w:eastAsia="Arial" w:hAnsi="Arial"/>
          <w:b/>
          <w:bCs/>
          <w:color w:val="3C3489"/>
          <w:sz w:val="19"/>
          <w:szCs w:val="19"/>
        </w:rPr>
        <w:t xml:space="preserve">BLR1 — analytics warehouse. No ClickHouse node outside India. — </w:t>
      </w:r>
      <w:r>
        <w:rPr>
          <w:rFonts w:ascii="Arial" w:cs="Arial" w:eastAsia="Arial" w:hAnsi="Arial"/>
          <w:color w:val="1C1C1A"/>
          <w:sz w:val="19"/>
          <w:szCs w:val="19"/>
        </w:rPr>
        <w:t xml:space="preserve">ClickHouse analytics</w:t>
      </w:r>
    </w:p>
    <w:p>
      <w:pPr>
        <w:pStyle w:val="ListParagraph"/>
        <w:numPr>
          <w:ilvl w:val="0"/>
          <w:numId w:val="2"/>
        </w:numPr>
        <w:spacing w:before="50" w:after="50"/>
      </w:pPr>
      <w:r>
        <w:rPr>
          <w:rFonts w:ascii="Arial" w:cs="Arial" w:eastAsia="Arial" w:hAnsi="Arial"/>
          <w:b/>
          <w:bCs/>
          <w:color w:val="3C3489"/>
          <w:sz w:val="19"/>
          <w:szCs w:val="19"/>
        </w:rPr>
        <w:t xml:space="preserve">Bunny CDN with India-only PoPs (Mumbai, Delhi, Bangalore, Chennai) — static assets only. No personal data transits CDN. — </w:t>
      </w:r>
      <w:r>
        <w:rPr>
          <w:rFonts w:ascii="Arial" w:cs="Arial" w:eastAsia="Arial" w:hAnsi="Arial"/>
          <w:color w:val="1C1C1A"/>
          <w:sz w:val="19"/>
          <w:szCs w:val="19"/>
        </w:rPr>
        <w:t xml:space="preserve">CDN</w:t>
      </w:r>
    </w:p>
    <w:p>
      <w:pPr>
        <w:pStyle w:val="ListParagraph"/>
        <w:numPr>
          <w:ilvl w:val="0"/>
          <w:numId w:val="2"/>
        </w:numPr>
        <w:spacing w:before="50" w:after="50"/>
      </w:pPr>
      <w:r>
        <w:rPr>
          <w:rFonts w:ascii="Arial" w:cs="Arial" w:eastAsia="Arial" w:hAnsi="Arial"/>
          <w:b/>
          <w:bCs/>
          <w:color w:val="3C3489"/>
          <w:sz w:val="19"/>
          <w:szCs w:val="19"/>
        </w:rPr>
        <w:t xml:space="preserve">Postal (self-hosted on DOKS BLR1) — no email data passes through any foreign MTA. — </w:t>
      </w:r>
      <w:r>
        <w:rPr>
          <w:rFonts w:ascii="Arial" w:cs="Arial" w:eastAsia="Arial" w:hAnsi="Arial"/>
          <w:color w:val="1C1C1A"/>
          <w:sz w:val="19"/>
          <w:szCs w:val="19"/>
        </w:rPr>
        <w:t xml:space="preserve">Email delivery</w:t>
      </w:r>
    </w:p>
    <w:p>
      <w:pPr>
        <w:pStyle w:val="ListParagraph"/>
        <w:numPr>
          <w:ilvl w:val="0"/>
          <w:numId w:val="2"/>
        </w:numPr>
        <w:spacing w:before="50" w:after="50"/>
      </w:pPr>
      <w:r>
        <w:rPr>
          <w:rFonts w:ascii="Arial" w:cs="Arial" w:eastAsia="Arial" w:hAnsi="Arial"/>
          <w:b/>
          <w:bCs/>
          <w:color w:val="3C3489"/>
          <w:sz w:val="19"/>
          <w:szCs w:val="19"/>
        </w:rPr>
        <w:t xml:space="preserve">Gupshup Business API — DPDP data processing agreement in place. Message metadata only passes through Gupshup. Content is not stored by Gupshup. — </w:t>
      </w:r>
      <w:r>
        <w:rPr>
          <w:rFonts w:ascii="Arial" w:cs="Arial" w:eastAsia="Arial" w:hAnsi="Arial"/>
          <w:color w:val="1C1C1A"/>
          <w:sz w:val="19"/>
          <w:szCs w:val="19"/>
        </w:rPr>
        <w:t xml:space="preserve">WhatsApp delivery</w:t>
      </w:r>
    </w:p>
    <w:p>
      <w:pPr>
        <w:pStyle w:val="ListParagraph"/>
        <w:numPr>
          <w:ilvl w:val="0"/>
          <w:numId w:val="2"/>
        </w:numPr>
        <w:spacing w:before="50" w:after="50"/>
      </w:pPr>
      <w:r>
        <w:rPr>
          <w:rFonts w:ascii="Arial" w:cs="Arial" w:eastAsia="Arial" w:hAnsi="Arial"/>
          <w:b/>
          <w:bCs/>
          <w:color w:val="3C3489"/>
          <w:sz w:val="19"/>
          <w:szCs w:val="19"/>
        </w:rPr>
        <w:t xml:space="preserve">Anthropic API. Clinical data is NEVER sent to Claude API — only de-identified score data and template prompts. MSE documents are processed by indic-BERT (self-hosted) before any data reaches Claude API. Tier 5 AI narrative generation sends score profiles and templates only — no PII. — </w:t>
      </w:r>
      <w:r>
        <w:rPr>
          <w:rFonts w:ascii="Arial" w:cs="Arial" w:eastAsia="Arial" w:hAnsi="Arial"/>
          <w:color w:val="1C1C1A"/>
          <w:sz w:val="19"/>
          <w:szCs w:val="19"/>
        </w:rPr>
        <w:t xml:space="preserve">Claude API calls</w:t>
      </w:r>
    </w:p>
    <w:p>
      <w:pPr>
        <w:spacing w:before="120" w:after="0"/>
      </w:pPr>
      <w:r>
        <w:t xml:space="preserve"/>
      </w:r>
    </w:p>
    <w:p>
      <w:pPr>
        <w:pStyle w:val="Heading2"/>
      </w:pPr>
      <w:r>
        <w:rPr>
          <w:rFonts w:ascii="Arial" w:cs="Arial" w:eastAsia="Arial" w:hAnsi="Arial"/>
          <w:b/>
          <w:bCs/>
          <w:color w:val="0F6E56"/>
          <w:sz w:val="28"/>
          <w:szCs w:val="28"/>
        </w:rPr>
        <w:t xml:space="preserve">7.5  Right to Erasure Pipeline</w:t>
      </w:r>
    </w:p>
    <w:p>
      <w:pPr>
        <w:spacing w:before="80" w:after="0"/>
      </w:pPr>
      <w:r>
        <w:t xml:space="preserve"/>
      </w:r>
    </w:p>
    <w:p>
      <w:pPr>
        <w:spacing w:before="0" w:after="100"/>
      </w:pPr>
      <w:r>
        <w:rPr>
          <w:rFonts w:ascii="Arial" w:cs="Arial" w:eastAsia="Arial" w:hAnsi="Arial"/>
          <w:color w:val="1C1C1A"/>
          <w:sz w:val="20"/>
          <w:szCs w:val="20"/>
        </w:rPr>
        <w:t xml:space="preserve">Any data subject (adult client, candidate, or parent on behalf of a child) can request complete erasure of their data. The erasure pipeline is triggered through the Data Principal Rights Portal and completes within 30 days:</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Data principal submits erasure request via portal or by contacting DPO. Request is logged in the DPDP Compliance Service. — </w:t>
      </w:r>
      <w:r>
        <w:rPr>
          <w:rFonts w:ascii="Arial" w:cs="Arial" w:eastAsia="Arial" w:hAnsi="Arial"/>
          <w:color w:val="1C1C1A"/>
          <w:sz w:val="19"/>
          <w:szCs w:val="19"/>
        </w:rPr>
        <w:t xml:space="preserve">Step 1 — Request received</w:t>
      </w:r>
    </w:p>
    <w:p>
      <w:pPr>
        <w:pStyle w:val="ListParagraph"/>
        <w:numPr>
          <w:ilvl w:val="0"/>
          <w:numId w:val="2"/>
        </w:numPr>
        <w:spacing w:before="50" w:after="50"/>
      </w:pPr>
      <w:r>
        <w:rPr>
          <w:rFonts w:ascii="Arial" w:cs="Arial" w:eastAsia="Arial" w:hAnsi="Arial"/>
          <w:b/>
          <w:bCs/>
          <w:color w:val="3C3489"/>
          <w:sz w:val="19"/>
          <w:szCs w:val="19"/>
        </w:rPr>
        <w:t xml:space="preserve">Data principal's identity is verified (same authentication method as login) before erasure proceeds. — </w:t>
      </w:r>
      <w:r>
        <w:rPr>
          <w:rFonts w:ascii="Arial" w:cs="Arial" w:eastAsia="Arial" w:hAnsi="Arial"/>
          <w:color w:val="1C1C1A"/>
          <w:sz w:val="19"/>
          <w:szCs w:val="19"/>
        </w:rPr>
        <w:t xml:space="preserve">Step 2 — Identity verification</w:t>
      </w:r>
    </w:p>
    <w:p>
      <w:pPr>
        <w:pStyle w:val="ListParagraph"/>
        <w:numPr>
          <w:ilvl w:val="0"/>
          <w:numId w:val="2"/>
        </w:numPr>
        <w:spacing w:before="50" w:after="50"/>
      </w:pPr>
      <w:r>
        <w:rPr>
          <w:rFonts w:ascii="Arial" w:cs="Arial" w:eastAsia="Arial" w:hAnsi="Arial"/>
          <w:b/>
          <w:bCs/>
          <w:color w:val="3C3489"/>
          <w:sz w:val="19"/>
          <w:szCs w:val="19"/>
        </w:rPr>
        <w:t xml:space="preserve">System automatically maps all data records associated with the data principal ID across: PostgreSQL (all schemas), MongoDB, Redis cache, ClickHouse aggregates (anonymised — no PII to erase but session IDs removed), MinIO (reports, clinical documents, proctoring records). — </w:t>
      </w:r>
      <w:r>
        <w:rPr>
          <w:rFonts w:ascii="Arial" w:cs="Arial" w:eastAsia="Arial" w:hAnsi="Arial"/>
          <w:color w:val="1C1C1A"/>
          <w:sz w:val="19"/>
          <w:szCs w:val="19"/>
        </w:rPr>
        <w:t xml:space="preserve">Step 3 — Data mapping</w:t>
      </w:r>
    </w:p>
    <w:p>
      <w:pPr>
        <w:pStyle w:val="ListParagraph"/>
        <w:numPr>
          <w:ilvl w:val="0"/>
          <w:numId w:val="2"/>
        </w:numPr>
        <w:spacing w:before="50" w:after="50"/>
      </w:pPr>
      <w:r>
        <w:rPr>
          <w:rFonts w:ascii="Arial" w:cs="Arial" w:eastAsia="Arial" w:hAnsi="Arial"/>
          <w:b/>
          <w:bCs/>
          <w:color w:val="3C3489"/>
          <w:sz w:val="19"/>
          <w:szCs w:val="19"/>
        </w:rPr>
        <w:t xml:space="preserve">All identified records are deleted. Clinical documents in MinIO are overwritten with random bytes before deletion. Proctoring video frames (if any retained within 72-hour window) are deleted. — </w:t>
      </w:r>
      <w:r>
        <w:rPr>
          <w:rFonts w:ascii="Arial" w:cs="Arial" w:eastAsia="Arial" w:hAnsi="Arial"/>
          <w:color w:val="1C1C1A"/>
          <w:sz w:val="19"/>
          <w:szCs w:val="19"/>
        </w:rPr>
        <w:t xml:space="preserve">Step 4 — Erasure execution</w:t>
      </w:r>
    </w:p>
    <w:p>
      <w:pPr>
        <w:pStyle w:val="ListParagraph"/>
        <w:numPr>
          <w:ilvl w:val="0"/>
          <w:numId w:val="2"/>
        </w:numPr>
        <w:spacing w:before="50" w:after="50"/>
      </w:pPr>
      <w:r>
        <w:rPr>
          <w:rFonts w:ascii="Arial" w:cs="Arial" w:eastAsia="Arial" w:hAnsi="Arial"/>
          <w:b/>
          <w:bCs/>
          <w:color w:val="3C3489"/>
          <w:sz w:val="19"/>
          <w:szCs w:val="19"/>
        </w:rPr>
        <w:t xml:space="preserve">A deletion audit record is created and retained permanently (required for regulatory compliance). The audit record contains: data principal pseudonym, deletion timestamp, data categories deleted, and confirming signature of DPO. No personal data is in the audit record itself. — </w:t>
      </w:r>
      <w:r>
        <w:rPr>
          <w:rFonts w:ascii="Arial" w:cs="Arial" w:eastAsia="Arial" w:hAnsi="Arial"/>
          <w:color w:val="1C1C1A"/>
          <w:sz w:val="19"/>
          <w:szCs w:val="19"/>
        </w:rPr>
        <w:t xml:space="preserve">Step 5 — Audit record</w:t>
      </w:r>
    </w:p>
    <w:p>
      <w:pPr>
        <w:pStyle w:val="ListParagraph"/>
        <w:numPr>
          <w:ilvl w:val="0"/>
          <w:numId w:val="2"/>
        </w:numPr>
        <w:spacing w:before="50" w:after="50"/>
      </w:pPr>
      <w:r>
        <w:rPr>
          <w:rFonts w:ascii="Arial" w:cs="Arial" w:eastAsia="Arial" w:hAnsi="Arial"/>
          <w:b/>
          <w:bCs/>
          <w:color w:val="3C3489"/>
          <w:sz w:val="19"/>
          <w:szCs w:val="19"/>
        </w:rPr>
        <w:t xml:space="preserve">Data principal receives written confirmation of erasure completion via email or WhatsApp. — </w:t>
      </w:r>
      <w:r>
        <w:rPr>
          <w:rFonts w:ascii="Arial" w:cs="Arial" w:eastAsia="Arial" w:hAnsi="Arial"/>
          <w:color w:val="1C1C1A"/>
          <w:sz w:val="19"/>
          <w:szCs w:val="19"/>
        </w:rPr>
        <w:t xml:space="preserve">Step 6 — Confirmation</w:t>
      </w:r>
    </w:p>
    <w:p>
      <w:pPr>
        <w:spacing w:before="120" w:after="0"/>
      </w:pPr>
      <w:r>
        <w:t xml:space="preserve"/>
      </w:r>
    </w:p>
    <w:p>
      <w:pPr>
        <w:pStyle w:val="Heading2"/>
      </w:pPr>
      <w:r>
        <w:rPr>
          <w:rFonts w:ascii="Arial" w:cs="Arial" w:eastAsia="Arial" w:hAnsi="Arial"/>
          <w:b/>
          <w:bCs/>
          <w:color w:val="0F6E56"/>
          <w:sz w:val="28"/>
          <w:szCs w:val="28"/>
        </w:rPr>
        <w:t xml:space="preserve">7.6  Special Provisions — Clinical Data</w:t>
      </w:r>
    </w:p>
    <w:p>
      <w:pPr>
        <w:spacing w:before="80" w:after="0"/>
      </w:pPr>
      <w:r>
        <w:t xml:space="preserve"/>
      </w:r>
    </w:p>
    <w:p>
      <w:pPr>
        <w:spacing w:before="0" w:after="100"/>
      </w:pPr>
      <w:r>
        <w:rPr>
          <w:rFonts w:ascii="Arial" w:cs="Arial" w:eastAsia="Arial" w:hAnsi="Arial"/>
          <w:color w:val="1C1C1A"/>
          <w:sz w:val="20"/>
          <w:szCs w:val="20"/>
        </w:rPr>
        <w:t xml:space="preserve">Clinical mental health data carries additional obligations beyond standard DPDP compliance, drawn from the Mental Healthcare Act 2017 and guidelines from the Rehabilitation Council of India:</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Mental health records cannot be erased below a 7-year minimum retention period from the date of last contact — this is a clinical standard that supersedes the DPDP right to erasure for the retention period. After 7 years, erasure proceeds normally. — </w:t>
      </w:r>
      <w:r>
        <w:rPr>
          <w:rFonts w:ascii="Arial" w:cs="Arial" w:eastAsia="Arial" w:hAnsi="Arial"/>
          <w:color w:val="1C1C1A"/>
          <w:sz w:val="19"/>
          <w:szCs w:val="19"/>
        </w:rPr>
        <w:t xml:space="preserve">Minimum retention period</w:t>
      </w:r>
    </w:p>
    <w:p>
      <w:pPr>
        <w:pStyle w:val="ListParagraph"/>
        <w:numPr>
          <w:ilvl w:val="0"/>
          <w:numId w:val="2"/>
        </w:numPr>
        <w:spacing w:before="50" w:after="50"/>
      </w:pPr>
      <w:r>
        <w:rPr>
          <w:rFonts w:ascii="Arial" w:cs="Arial" w:eastAsia="Arial" w:hAnsi="Arial"/>
          <w:b/>
          <w:bCs/>
          <w:color w:val="3C3489"/>
          <w:sz w:val="19"/>
          <w:szCs w:val="19"/>
        </w:rPr>
        <w:t xml:space="preserve">Clinical assessment records are accessible only to the administering practitioner and designated supervisors. No other Bodh employee or system process can access individual clinical records. — </w:t>
      </w:r>
      <w:r>
        <w:rPr>
          <w:rFonts w:ascii="Arial" w:cs="Arial" w:eastAsia="Arial" w:hAnsi="Arial"/>
          <w:color w:val="1C1C1A"/>
          <w:sz w:val="19"/>
          <w:szCs w:val="19"/>
        </w:rPr>
        <w:t xml:space="preserve">Practitioner access only</w:t>
      </w:r>
    </w:p>
    <w:p>
      <w:pPr>
        <w:pStyle w:val="ListParagraph"/>
        <w:numPr>
          <w:ilvl w:val="0"/>
          <w:numId w:val="2"/>
        </w:numPr>
        <w:spacing w:before="50" w:after="50"/>
      </w:pPr>
      <w:r>
        <w:rPr>
          <w:rFonts w:ascii="Arial" w:cs="Arial" w:eastAsia="Arial" w:hAnsi="Arial"/>
          <w:b/>
          <w:bCs/>
          <w:color w:val="3C3489"/>
          <w:sz w:val="19"/>
          <w:szCs w:val="19"/>
        </w:rPr>
        <w:t xml:space="preserve">Clinical assessment data is never made accessible to employers or HR teams under any circumstances. The industrial and clinical verticals have complete data isolation — an industrial HR client cannot query or access any clinical data even for the same individual. — </w:t>
      </w:r>
      <w:r>
        <w:rPr>
          <w:rFonts w:ascii="Arial" w:cs="Arial" w:eastAsia="Arial" w:hAnsi="Arial"/>
          <w:color w:val="1C1C1A"/>
          <w:sz w:val="19"/>
          <w:szCs w:val="19"/>
        </w:rPr>
        <w:t xml:space="preserve">No employer access</w:t>
      </w:r>
    </w:p>
    <w:p>
      <w:pPr>
        <w:pStyle w:val="ListParagraph"/>
        <w:numPr>
          <w:ilvl w:val="0"/>
          <w:numId w:val="2"/>
        </w:numPr>
        <w:spacing w:before="50" w:after="50"/>
      </w:pPr>
      <w:r>
        <w:rPr>
          <w:rFonts w:ascii="Arial" w:cs="Arial" w:eastAsia="Arial" w:hAnsi="Arial"/>
          <w:b/>
          <w:bCs/>
          <w:color w:val="3C3489"/>
          <w:sz w:val="19"/>
          <w:szCs w:val="19"/>
        </w:rPr>
        <w:t xml:space="preserve">In the event of any data breach affecting clinical records, affected data principals are notified within 72 hours in compliance with DPDP breach notification requirements. The notification explains what data was affected, what risks it poses, and what Bodh is doing to mitigate harm. — </w:t>
      </w:r>
      <w:r>
        <w:rPr>
          <w:rFonts w:ascii="Arial" w:cs="Arial" w:eastAsia="Arial" w:hAnsi="Arial"/>
          <w:color w:val="1C1C1A"/>
          <w:sz w:val="19"/>
          <w:szCs w:val="19"/>
        </w:rPr>
        <w:t xml:space="preserve">Breach notification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3C3489" w:val="clear"/>
            <w:tcMar>
              <w:top w:type="dxa" w:w="140"/>
              <w:left w:type="dxa" w:w="220"/>
              <w:bottom w:type="dxa" w:w="140"/>
              <w:right w:type="dxa" w:w="220"/>
            </w:tcMar>
          </w:tcPr>
          <w:p>
            <w:r>
              <w:rPr>
                <w:rFonts w:ascii="Arial" w:cs="Arial" w:eastAsia="Arial" w:hAnsi="Arial"/>
                <w:b/>
                <w:bCs/>
                <w:color w:val="FFFFFF"/>
                <w:sz w:val="28"/>
                <w:szCs w:val="28"/>
              </w:rPr>
              <w:t xml:space="preserve">Section 8 — Platform Principles Applicable Across All Products</w:t>
            </w:r>
          </w:p>
        </w:tc>
      </w:tr>
    </w:tbl>
    <w:p>
      <w:pPr>
        <w:spacing w:before="160" w:after="0"/>
      </w:pPr>
      <w:r>
        <w:t xml:space="preserve"/>
      </w:r>
    </w:p>
    <w:p>
      <w:pPr>
        <w:pStyle w:val="Heading1"/>
      </w:pPr>
      <w:r>
        <w:rPr>
          <w:rFonts w:ascii="Arial" w:cs="Arial" w:eastAsia="Arial" w:hAnsi="Arial"/>
          <w:b/>
          <w:bCs/>
          <w:color w:val="3C3489"/>
          <w:sz w:val="36"/>
          <w:szCs w:val="36"/>
        </w:rPr>
        <w:t xml:space="preserve">8.1  Instrument Library — What Bodh Builds vs What Exists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854F0B" w:val="clear"/>
            <w:tcMar>
              <w:top w:type="dxa" w:w="80"/>
              <w:left w:type="dxa" w:w="180"/>
              <w:bottom w:type="dxa" w:w="60"/>
              <w:right w:type="dxa" w:w="180"/>
            </w:tcMar>
          </w:tcPr>
          <w:p>
            <w:r>
              <w:rPr>
                <w:rFonts w:ascii="Arial" w:cs="Arial" w:eastAsia="Arial" w:hAnsi="Arial"/>
                <w:b/>
                <w:bCs/>
                <w:color w:val="FFFFFF"/>
                <w:sz w:val="18"/>
                <w:szCs w:val="18"/>
              </w:rPr>
              <w:t xml:space="preserve">IMPORTANT CLARIFICATION</w:t>
            </w:r>
          </w:p>
        </w:tc>
      </w:tr>
      <w:tr>
        <w:tc>
          <w:tcPr>
            <w:tcBorders>
              <w:top w:val="single" w:color="854F0B" w:sz="4"/>
              <w:left w:val="single" w:color="854F0B" w:sz="8"/>
              <w:bottom w:val="single" w:color="854F0B" w:sz="4"/>
              <w:right w:val="single" w:color="854F0B" w:sz="4"/>
            </w:tcBorders>
            <w:shd w:fill="FAEEDA"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Bodh does not create psychological instruments from scratch. The instruments in the library (PHQ-9, GAD-7, DASS-21, Big Five, etc.) are existing validated tools developed by researchers over decades. What Bodh builds is the delivery infrastructure, the Indian population norms, the multilingual adaptations, and the report templates. Think of it this way: the instrument is the test, Bodh is the testing centre that administers it, norms it on Indian populations, and reports it professionally.</w:t>
            </w:r>
          </w:p>
        </w:tc>
      </w:tr>
    </w:tbl>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Who Creates It</w:t>
            </w:r>
          </w:p>
        </w:tc>
        <w:tc>
          <w:tcPr>
            <w:tcW w:type="dxa" w:w="4226"/>
            <w:tcBorders>
              <w:top w:val="single" w:color="854F0B" w:sz="4"/>
              <w:left w:val="single" w:color="854F0B" w:sz="4"/>
              <w:bottom w:val="single" w:color="854F0B" w:sz="4"/>
              <w:right w:val="single" w:color="854F0B" w:sz="4"/>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Bodh's Role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Instrument items (questions)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Original researchers / publishers. PHQ-9 and GAD-7 are in the public domain. MMPI requires a Pearson license. Big Five (IPIP-NEO) is open access.</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Licenses or obtains instruments. Adapts for digital delivery. Ensures psychometric properties are preserved.</w:t>
            </w:r>
          </w:p>
        </w:tc>
      </w:tr>
      <w:tr>
        <w:tc>
          <w:tcPr>
            <w:tcW w:type="dxa" w:w="2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population norms</w:t>
            </w:r>
          </w:p>
        </w:tc>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 through Phase 1 data collection + Tier 4 standardisation partnerships.</w:t>
            </w:r>
          </w:p>
        </w:tc>
        <w:tc>
          <w:tcPr>
            <w:tcW w:type="dxa" w:w="42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Administers instruments to large Indian samples. Computes normative statistics (mean, SD, percentile tables). Publishes norms with transparent sample descriptions.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Norm status at Phase 1 launch</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Varies by instrument. PHQ-9 Hindi norms exist in published literature. MMPI Indian norms are being developed via Tier 4.</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Uses best available norms at launch. Clearly discloses norm source and limitations in every report. Upgrades to Bodh-collected Indian norms as data accumulates.</w:t>
            </w:r>
          </w:p>
        </w:tc>
      </w:tr>
      <w:tr>
        <w:tc>
          <w:tcPr>
            <w:tcW w:type="dxa" w:w="2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Multilingual item adaptations</w:t>
            </w:r>
          </w:p>
        </w:tc>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commissions forward-back translation following international guidelines (TRAPD method). Subject matter expert review for each language.</w:t>
            </w:r>
          </w:p>
        </w:tc>
        <w:tc>
          <w:tcPr>
            <w:tcW w:type="dxa" w:w="42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Manages translation process. Stores all language versions in the question bank. Validates linguistic equivalence before publishing.</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Report templates and interpretive text</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 psychometric team — separate templates per instrument, per vertical, per language.</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Writes clinically/professionally appropriate interpretive text for each score range band. Tier 5: Claude API generates personalised narrative.</w:t>
            </w:r>
          </w:p>
        </w:tc>
      </w:tr>
      <w:tr>
        <w:tc>
          <w:tcPr>
            <w:tcW w:type="dxa" w:w="20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Custom instruments (Tier 3/4)</w:t>
            </w:r>
          </w:p>
        </w:tc>
        <w:tc>
          <w:tcPr>
            <w:tcW w:type="dxa" w:w="2800"/>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Practitioners bring their own constructs and items. Bodh contributes IRT calibration and norming infrastructure.</w:t>
            </w:r>
          </w:p>
        </w:tc>
        <w:tc>
          <w:tcPr>
            <w:tcW w:type="dxa" w:w="4226"/>
            <w:tcBorders>
              <w:top w:val="single" w:color="CCCCCC" w:sz="4"/>
              <w:left w:val="single" w:color="CCCCCC" w:sz="4"/>
              <w:bottom w:val="single" w:color="CCCCCC" w:sz="4"/>
              <w:right w:val="single" w:color="CCCCCC" w:sz="4"/>
            </w:tcBorders>
            <w:shd w:fill="FAEEDA"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Co-develops instrument via Tier 4 partnership. Provides psychometric consultation. Manages data collection for norming.</w:t>
            </w:r>
          </w:p>
        </w:tc>
      </w:tr>
    </w:tbl>
    <w:p>
      <w:pPr>
        <w:spacing w:before="120" w:after="0"/>
      </w:pPr>
      <w:r>
        <w:t xml:space="preserve"/>
      </w:r>
    </w:p>
    <w:p>
      <w:pPr>
        <w:pStyle w:val="Heading2"/>
      </w:pPr>
      <w:r>
        <w:rPr>
          <w:rFonts w:ascii="Arial" w:cs="Arial" w:eastAsia="Arial" w:hAnsi="Arial"/>
          <w:b/>
          <w:bCs/>
          <w:color w:val="0F6E56"/>
          <w:sz w:val="28"/>
          <w:szCs w:val="28"/>
        </w:rPr>
        <w:t xml:space="preserve">8.2  Indian Population Norms — Phase 1 Status</w:t>
      </w:r>
    </w:p>
    <w:p>
      <w:pPr>
        <w:spacing w:before="80" w:after="0"/>
      </w:pPr>
      <w:r>
        <w:t xml:space="preserve"/>
      </w:r>
    </w:p>
    <w:p>
      <w:pPr>
        <w:spacing w:before="0" w:after="100"/>
      </w:pPr>
      <w:r>
        <w:rPr>
          <w:rFonts w:ascii="Arial" w:cs="Arial" w:eastAsia="Arial" w:hAnsi="Arial"/>
          <w:color w:val="1C1C1A"/>
          <w:sz w:val="20"/>
          <w:szCs w:val="20"/>
        </w:rPr>
        <w:t xml:space="preserve">Bodh is transparent about norm status. Every report generated in Phase 1 includes a norm disclosure statement specifying exactly what population the score is being compared to:</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3200"/>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 1 Norm Status</w:t>
            </w:r>
          </w:p>
        </w:tc>
        <w:tc>
          <w:tcPr>
            <w:tcW w:type="dxa" w:w="3826"/>
            <w:tcBorders>
              <w:top w:val="single" w:color="0F6E56" w:sz="4"/>
              <w:left w:val="single" w:color="0F6E56" w:sz="4"/>
              <w:bottom w:val="single" w:color="0F6E56" w:sz="4"/>
              <w:right w:val="single" w:color="0F6E56" w:sz="4"/>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Disclosure in Report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PHQ-9 (Hindi)</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norms available from published literature (Ganguli et al., WHO-SAGE study)</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'Compared to Indian adult population norms (Ganguli et al.) — N=2,431'</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GAD-7 (Hindi)</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primary care norms available from published studies</w:t>
            </w:r>
          </w:p>
        </w:tc>
        <w:tc>
          <w:tcPr>
            <w:tcW w:type="dxa" w:w="3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'Compared to Indian primary care population norms — N=1,824'</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DASS-21</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college student norms available. Adult community norms being collected via Tier 4.</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'Compared to Indian adult community norms (provisional — N=680 Phase 1 pilot). Full norms expected Month 18.'</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Big Five IPIP-NEO</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Indian working population norms being collected via Phase 1 data. Provisional norms at launch.</w:t>
            </w:r>
          </w:p>
        </w:tc>
        <w:tc>
          <w:tcPr>
            <w:tcW w:type="dxa" w:w="3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'Compared to Indian working professional norms (provisional — N=1,200 Phase 1 pilot). Updated quarterly as data accumulates.'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Adaptability Index</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 prior norms — novel instrument. Pilot administration only in Phase 1.</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'Pilot instrument — normative data being collected. Scores indicate relative performance within this assessment cohort only. Population norms available Phase 3.'</w:t>
            </w:r>
          </w:p>
        </w:tc>
      </w:tr>
      <w:tr>
        <w:tc>
          <w:tcPr>
            <w:tcW w:type="dxa" w:w="20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Custom instruments (Tier 4)</w:t>
            </w:r>
          </w:p>
        </w:tc>
        <w:tc>
          <w:tcPr>
            <w:tcW w:type="dxa" w:w="3200"/>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Built through standardisation partnership — norms collected specifically for that instrument.</w:t>
            </w:r>
          </w:p>
        </w:tc>
        <w:tc>
          <w:tcPr>
            <w:tcW w:type="dxa" w:w="3826"/>
            <w:tcBorders>
              <w:top w:val="single" w:color="CCCCCC" w:sz="4"/>
              <w:left w:val="single" w:color="CCCCCC" w:sz="4"/>
              <w:bottom w:val="single" w:color="CCCCCC" w:sz="4"/>
              <w:right w:val="single" w:color="CCCCCC" w:sz="4"/>
            </w:tcBorders>
            <w:shd w:fill="E1F5E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'Compared to [instrument-specific norm group as defined in standardisation study]'</w:t>
            </w:r>
          </w:p>
        </w:tc>
      </w:tr>
    </w:tbl>
    <w:p>
      <w:pPr>
        <w:spacing w:before="120" w:after="0"/>
      </w:pPr>
      <w:r>
        <w:t xml:space="preserve"/>
      </w:r>
    </w:p>
    <w:p>
      <w:pPr>
        <w:pStyle w:val="Heading2"/>
      </w:pPr>
      <w:r>
        <w:rPr>
          <w:rFonts w:ascii="Arial" w:cs="Arial" w:eastAsia="Arial" w:hAnsi="Arial"/>
          <w:b/>
          <w:bCs/>
          <w:color w:val="0F6E56"/>
          <w:sz w:val="28"/>
          <w:szCs w:val="28"/>
        </w:rPr>
        <w:t xml:space="preserve">8.3  Multilingual — Platform-Level Principle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80"/>
              <w:left w:type="dxa" w:w="180"/>
              <w:bottom w:type="dxa" w:w="60"/>
              <w:right w:type="dxa" w:w="180"/>
            </w:tcMar>
          </w:tcPr>
          <w:p>
            <w:r>
              <w:rPr>
                <w:rFonts w:ascii="Arial" w:cs="Arial" w:eastAsia="Arial" w:hAnsi="Arial"/>
                <w:b/>
                <w:bCs/>
                <w:color w:val="FFFFFF"/>
                <w:sz w:val="18"/>
                <w:szCs w:val="18"/>
              </w:rPr>
              <w:t xml:space="preserve">UNIVERSAL LANGUAGE SUPPORT</w:t>
            </w:r>
          </w:p>
        </w:tc>
      </w:tr>
      <w:tr>
        <w:tc>
          <w:tcPr>
            <w:tcBorders>
              <w:top w:val="single" w:color="185FA5" w:sz="4"/>
              <w:left w:val="single" w:color="185FA5" w:sz="8"/>
              <w:bottom w:val="single" w:color="185FA5" w:sz="4"/>
              <w:right w:val="single" w:color="185FA5" w:sz="4"/>
            </w:tcBorders>
            <w:shd w:fill="E6F1FB"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All Bodh products — BodhAssess, BodhSurvey, BodhLearn, BodhPeople, BodhExam, BodhCode, BodhHire, BodhGrow, BodhStudio — support 11 Indian languages at the UI, content, and NLP level. This is not a feature of individual products — it is a platform-level capability. Language support is never an add-on tier. It is available to every user at every tier in every vertical.</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0"/>
        <w:gridCol w:w="1800"/>
        <w:gridCol w:w="1800"/>
        <w:gridCol w:w="1626"/>
      </w:tblGrid>
      <w:tr>
        <w:trPr>
          <w:tblHeader/>
        </w:trPr>
        <w:tc>
          <w:tcPr>
            <w:tcW w:type="dxa" w:w="1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9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ISO Code</w:t>
            </w:r>
          </w:p>
        </w:tc>
        <w:tc>
          <w:tcPr>
            <w:tcW w:type="dxa" w:w="7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UI</w:t>
            </w:r>
          </w:p>
        </w:tc>
        <w:tc>
          <w:tcPr>
            <w:tcW w:type="dxa" w:w="1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Instruments</w:t>
            </w:r>
          </w:p>
        </w:tc>
        <w:tc>
          <w:tcPr>
            <w:tcW w:type="dxa" w:w="18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NLP (indic-BERT)</w:t>
            </w:r>
          </w:p>
        </w:tc>
        <w:tc>
          <w:tcPr>
            <w:tcW w:type="dxa" w:w="16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Audio (Whisper v3)</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English</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en</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(source language)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Hindi</w:t>
            </w:r>
          </w:p>
        </w:tc>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w:t>
            </w:r>
          </w:p>
        </w:tc>
        <w:tc>
          <w:tcPr>
            <w:tcW w:type="dxa" w:w="7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Tamil</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ta</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Telugu</w:t>
            </w:r>
          </w:p>
        </w:tc>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te</w:t>
            </w:r>
          </w:p>
        </w:tc>
        <w:tc>
          <w:tcPr>
            <w:tcW w:type="dxa" w:w="7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Marathi</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mr</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Kannada</w:t>
            </w:r>
          </w:p>
        </w:tc>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kn</w:t>
            </w:r>
          </w:p>
        </w:tc>
        <w:tc>
          <w:tcPr>
            <w:tcW w:type="dxa" w:w="7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Bengali</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bn</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Gujarati</w:t>
            </w:r>
          </w:p>
        </w:tc>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gu</w:t>
            </w:r>
          </w:p>
        </w:tc>
        <w:tc>
          <w:tcPr>
            <w:tcW w:type="dxa" w:w="7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Malayalam</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ml</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(validated)</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Odia</w:t>
            </w:r>
          </w:p>
        </w:tc>
        <w:tc>
          <w:tcPr>
            <w:tcW w:type="dxa" w:w="9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or</w:t>
            </w:r>
          </w:p>
        </w:tc>
        <w:tc>
          <w:tcPr>
            <w:tcW w:type="dxa" w:w="7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(in progress)</w:t>
            </w:r>
          </w:p>
        </w:tc>
        <w:tc>
          <w:tcPr>
            <w:tcW w:type="dxa" w:w="18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Punjabi</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 (in progress)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c>
          <w:tcPr>
            <w:tcW w:type="dxa" w:w="1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t>
            </w:r>
          </w:p>
        </w:tc>
      </w:tr>
    </w:tbl>
    <w:p>
      <w:pPr>
        <w:spacing w:before="80" w:after="0"/>
      </w:pPr>
      <w:r>
        <w:t xml:space="preserve"/>
      </w:r>
    </w:p>
    <w:p>
      <w:pPr>
        <w:spacing w:before="0" w:after="100"/>
      </w:pPr>
      <w:r>
        <w:rPr>
          <w:rFonts w:ascii="Arial" w:cs="Arial" w:eastAsia="Arial" w:hAnsi="Arial"/>
          <w:color w:val="1C1C1A"/>
          <w:sz w:val="20"/>
          <w:szCs w:val="20"/>
        </w:rPr>
        <w:t xml:space="preserve">Instrument item translation follows the TRAPD method (Translation, Review, Adjudication, Pretesting, Documentation). Forward translation by a bilingual psychologist, back translation by an independent bilingual, reconciliation by a committee, cognitive pretesting with 10–15 native speakers, and documentation of all decisions. This rigour is what distinguishes a psychometrically valid multilingual adaptation from a superficial Google Translate rendering.</w:t>
      </w:r>
    </w:p>
    <w:p>
      <w:pPr>
        <w:spacing w:before="120" w:after="0"/>
      </w:pPr>
      <w:r>
        <w:t xml:space="preserve"/>
      </w:r>
    </w:p>
    <w:p>
      <w:pPr>
        <w:pStyle w:val="Heading2"/>
      </w:pPr>
      <w:r>
        <w:rPr>
          <w:rFonts w:ascii="Arial" w:cs="Arial" w:eastAsia="Arial" w:hAnsi="Arial"/>
          <w:b/>
          <w:bCs/>
          <w:color w:val="0F6E56"/>
          <w:sz w:val="28"/>
          <w:szCs w:val="28"/>
        </w:rPr>
        <w:t xml:space="preserve">8.4  Reusable Technical Infrastructure — One Stack, All Products</w:t>
      </w:r>
    </w:p>
    <w:p>
      <w:pPr>
        <w:spacing w:before="80" w:after="0"/>
      </w:pPr>
      <w:r>
        <w:t xml:space="preserve"/>
      </w:r>
    </w:p>
    <w:p>
      <w:pPr>
        <w:spacing w:before="0" w:after="100"/>
      </w:pPr>
      <w:r>
        <w:rPr>
          <w:rFonts w:ascii="Arial" w:cs="Arial" w:eastAsia="Arial" w:hAnsi="Arial"/>
          <w:color w:val="1C1C1A"/>
          <w:sz w:val="20"/>
          <w:szCs w:val="20"/>
        </w:rPr>
        <w:t xml:space="preserve">The technical infrastructure is built once at the platform level and reused by all products. No product has its own separate database, authentication system, notification service, or analytics engine. This principle has three benefits: lower development cost (build once, use everywhere), consistent data model (assessment data from BodhAssess and survey data from BodhSurvey live in the same PostgreSQL instance and can be queried together in BodhLens), and consistent security and compliance (one DPDP implementation covers all products).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Infrastructure Component</w:t>
            </w:r>
          </w:p>
        </w:tc>
        <w:tc>
          <w:tcPr>
            <w:tcW w:type="dxa" w:w="2200"/>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Shared By</w:t>
            </w:r>
          </w:p>
        </w:tc>
        <w:tc>
          <w:tcPr>
            <w:tcW w:type="dxa" w:w="4426"/>
            <w:tcBorders>
              <w:top w:val="single" w:color="3C3489" w:sz="4"/>
              <w:left w:val="single" w:color="3C3489" w:sz="4"/>
              <w:bottom w:val="single" w:color="3C3489" w:sz="4"/>
              <w:right w:val="single" w:color="3C3489" w:sz="4"/>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Not Duplicated Per Product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Kong API Gateway</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9 products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Single entry point for all API traffic. JWT validation, rate limiting, routing — done once.</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Keycloak + DPDP consent</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9 products</w:t>
            </w:r>
          </w:p>
        </w:tc>
        <w:tc>
          <w:tcPr>
            <w:tcW w:type="dxa" w:w="44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identity and consent management system. Multi-tenant via realm-per-client architecture.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PostgreSQL 16</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products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operational database. Schema-per-vertical isolation (clinical_schema, industrial_schema, counselling_schema). Row-level security enforces tenant isolation.</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MongoDB 7</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BodhSurvey, BodhLearn, BodhStudio</w:t>
            </w:r>
          </w:p>
        </w:tc>
        <w:tc>
          <w:tcPr>
            <w:tcW w:type="dxa" w:w="44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document store. Assessment definitions, survey schemas, learning content, clinical documents — all in one instance, collection-per-use-case.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ClickHouse 24 (BodhLens)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9 products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analytics warehouse. Every product feeds events to ClickHouse. BodhLens queries all products' data from one source.</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indic-BERT (NLP)</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BodhSurvey, BodhPeople, BodhHire, BodhGrow</w:t>
            </w:r>
          </w:p>
        </w:tc>
        <w:tc>
          <w:tcPr>
            <w:tcW w:type="dxa" w:w="44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self-hosted inference service. All NLP scoring — sentiment, qualitative-to-quantitative, open text clustering — routed through one service.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Claude API (AI Orchestration)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BodhLearn, BodhAssess T5, BodhGrow, BodhHire, BodhLens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AI Orchestration Service routes all Claude API calls with appropriate system prompts per use case.</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Postal (email MTA)</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9 products</w:t>
            </w:r>
          </w:p>
        </w:tc>
        <w:tc>
          <w:tcPr>
            <w:tcW w:type="dxa" w:w="44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email delivery service. Assessment invitations, report delivery, survey links, proctoring alerts — all from Postal.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Gupshup (WhatsApp)</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BodhSurvey, BodhPeople, BodhHire</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WhatsApp Business API integration. One sender ID per client.</w:t>
            </w:r>
          </w:p>
        </w:tc>
      </w:tr>
      <w:tr>
        <w:tc>
          <w:tcPr>
            <w:tcW w:type="dxa" w:w="24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MinIO (object storage)</w:t>
            </w:r>
          </w:p>
        </w:tc>
        <w:tc>
          <w:tcPr>
            <w:tcW w:type="dxa" w:w="2200"/>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All 9 products</w:t>
            </w:r>
          </w:p>
        </w:tc>
        <w:tc>
          <w:tcPr>
            <w:tcW w:type="dxa" w:w="4426"/>
            <w:tcBorders>
              <w:top w:val="single" w:color="CCCCCC" w:sz="4"/>
              <w:left w:val="single" w:color="CCCCCC" w:sz="4"/>
              <w:bottom w:val="single" w:color="CCCCCC" w:sz="4"/>
              <w:right w:val="single" w:color="CCCCCC" w:sz="4"/>
            </w:tcBorders>
            <w:shd w:fill="EEEDF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object store. Reports, clinical documents, proctoring frames, recordings, certificates — all in MinIO with bucket-per-use-case.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AI Proctoring (YOLOv8 + MediaPipe)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 (Industrial), BodhExam, BodhCode</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One proctoring capability. Same models, same Trust Score engine, same Secure Browser. Different default activation per vertical.</w:t>
            </w:r>
          </w:p>
        </w:tc>
      </w:tr>
    </w:tbl>
    <w:p>
      <w:pPr>
        <w:spacing w:before="120" w:after="0"/>
      </w:pPr>
      <w:r>
        <w:t xml:space="preserve"/>
      </w:r>
    </w:p>
    <w:p>
      <w:pPr>
        <w:pStyle w:val="Heading2"/>
      </w:pPr>
      <w:r>
        <w:rPr>
          <w:rFonts w:ascii="Arial" w:cs="Arial" w:eastAsia="Arial" w:hAnsi="Arial"/>
          <w:b/>
          <w:bCs/>
          <w:color w:val="0F6E56"/>
          <w:sz w:val="28"/>
          <w:szCs w:val="28"/>
        </w:rPr>
        <w:t xml:space="preserve">8.5  AI Proctoring — Vertical-Specific Activation Policy</w:t>
      </w:r>
    </w:p>
    <w:p>
      <w:pPr>
        <w:spacing w:before="80" w:after="0"/>
      </w:pPr>
      <w:r>
        <w:t xml:space="preserve"/>
      </w:r>
    </w:p>
    <w:p>
      <w:pPr>
        <w:spacing w:before="0" w:after="100"/>
      </w:pPr>
      <w:r>
        <w:rPr>
          <w:rFonts w:ascii="Arial" w:cs="Arial" w:eastAsia="Arial" w:hAnsi="Arial"/>
          <w:color w:val="1C1C1A"/>
          <w:sz w:val="20"/>
          <w:szCs w:val="20"/>
        </w:rPr>
        <w:t xml:space="preserve">AI Proctoring is a platform capability — not a product. It is built into the platform infrastructure and available to all products. However, its activation is governed by the vertical and use case context, not by a single global setting. The clinical therapeutic relationship and the industrial selection context have fundamentally different integrity requirements: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000"/>
        <w:gridCol w:w="2426"/>
      </w:tblGrid>
      <w:tr>
        <w:trPr>
          <w:tblHeader/>
        </w:trPr>
        <w:tc>
          <w:tcPr>
            <w:tcW w:type="dxa" w:w="16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10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40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24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Available As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Psychology</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OFF — never proctored by default</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Proctoring a patient answering a PHQ-9 would damage the therapeutic alliance and introduce anxiety that confounds clinical measurement. Clinical instruments are not gatekeeping tools — cheating on them harms only the patient.</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Opt-in for clinical research studies where data quality is a concern. Never for therapeutic assessments.</w:t>
            </w:r>
          </w:p>
        </w:tc>
      </w:tr>
      <w:tr>
        <w:tc>
          <w:tcPr>
            <w:tcW w:type="dxa" w:w="16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Psychology</w:t>
            </w:r>
          </w:p>
        </w:tc>
        <w:tc>
          <w:tcPr>
            <w:tcW w:type="dxa" w:w="1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ON — mandatory for all selection assessments</w:t>
            </w:r>
          </w:p>
        </w:tc>
        <w:tc>
          <w:tcPr>
            <w:tcW w:type="dxa" w:w="40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High-stakes hiring decisions require integrity assurance. Candidates are pre-disclosed that the session will be proctored. Competency and aptitude assessments for development (not selection) can be run unproctored at client discretion.</w:t>
            </w:r>
          </w:p>
        </w:tc>
        <w:tc>
          <w:tcPr>
            <w:tcW w:type="dxa" w:w="24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Standard browser proctoring (Tier 1–2). Secure Browser proctoring (Tier 3+). BPaaS API for third-party platforms.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&amp; Child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OFF — never proctored by default</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 psychological assessments are therapeutic tools, not gatekeeping instruments. Proctoring would cause distress. Exception: BodhAssess is sometimes used for school scholarship and institutional placement assessments — proctoring available for these specific use cases.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Opt-in for institutional assessment use cases (scholarship, school placement) only. Never for therapeutic or developmental assessments.</w:t>
            </w:r>
          </w:p>
        </w:tc>
      </w:tr>
    </w:tbl>
    <w:p>
      <w:pPr>
        <w:spacing w:before="120" w:after="0"/>
      </w:pPr>
      <w:r>
        <w:t xml:space="preserve"/>
      </w:r>
    </w:p>
    <w:p>
      <w:pPr>
        <w:pStyle w:val="Heading2"/>
      </w:pPr>
      <w:r>
        <w:rPr>
          <w:rFonts w:ascii="Arial" w:cs="Arial" w:eastAsia="Arial" w:hAnsi="Arial"/>
          <w:b/>
          <w:bCs/>
          <w:color w:val="0F6E56"/>
          <w:sz w:val="28"/>
          <w:szCs w:val="28"/>
        </w:rPr>
        <w:t xml:space="preserve">8.6  Contextual Feature Availability — Not Exclusive to Child Assessments</w:t>
      </w:r>
    </w:p>
    <w:p>
      <w:pPr>
        <w:spacing w:before="80" w:after="0"/>
      </w:pPr>
      <w:r>
        <w:t xml:space="preserve"/>
      </w:r>
    </w:p>
    <w:p>
      <w:pPr>
        <w:spacing w:before="0" w:after="100"/>
      </w:pPr>
      <w:r>
        <w:rPr>
          <w:rFonts w:ascii="Arial" w:cs="Arial" w:eastAsia="Arial" w:hAnsi="Arial"/>
          <w:color w:val="1C1C1A"/>
          <w:sz w:val="20"/>
          <w:szCs w:val="20"/>
        </w:rPr>
        <w:t xml:space="preserve">Several features introduced in the Counselling and Child vertical have broader applicability across other verticals and products. The following table clarifies which features are contextually activated across the platform:</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rPr>
          <w:tblHeader/>
        </w:trPr>
        <w:tc>
          <w:tcPr>
            <w:tcW w:type="dxa" w:w="22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0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Origin Context</w:t>
            </w:r>
          </w:p>
        </w:tc>
        <w:tc>
          <w:tcPr>
            <w:tcW w:type="dxa" w:w="2200"/>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Also Available In</w:t>
            </w:r>
          </w:p>
        </w:tc>
        <w:tc>
          <w:tcPr>
            <w:tcW w:type="dxa" w:w="2626"/>
            <w:tcBorders>
              <w:top w:val="single" w:color="3B6D11" w:sz="4"/>
              <w:left w:val="single" w:color="3B6D11" w:sz="4"/>
              <w:bottom w:val="single" w:color="3B6D11" w:sz="4"/>
              <w:right w:val="single" w:color="3B6D11" w:sz="4"/>
            </w:tcBorders>
            <w:shd w:fill="3B6D11" w:val="clear"/>
            <w:tcMar>
              <w:top w:type="dxa" w:w="80"/>
              <w:left w:type="dxa" w:w="120"/>
              <w:bottom w:type="dxa" w:w="80"/>
              <w:right w:type="dxa" w:w="120"/>
            </w:tcMar>
          </w:tcPr>
          <w:p>
            <w:r>
              <w:rPr>
                <w:rFonts w:ascii="Arial" w:cs="Arial" w:eastAsia="Arial" w:hAnsi="Arial"/>
                <w:b/>
                <w:bCs/>
                <w:color w:val="FFFFFF"/>
                <w:sz w:val="18"/>
                <w:szCs w:val="18"/>
              </w:rPr>
              <w:t xml:space="preserve">Activation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Audio-based question instructions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child assessments (low reading ability)</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 Blue-Collar Hiring (BodhHire) for low-literacy candidates in factory/logistics roles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Activated when assessment is tagged 'audio-enabled' or when candidate profile indicates preferred language is audio</w:t>
            </w:r>
          </w:p>
        </w:tc>
      </w:tr>
      <w:tr>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Large font + icon-supported UI</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child assessments</w:t>
            </w:r>
          </w:p>
        </w:tc>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Available on request in all verticals for accessibility</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Activated via accessibility settings in the assessment launch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Multi-informant triangulation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child assessments (parent + teacher + child reports)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 BodhGrow 360° feedback (self + manager + peers + direct reports)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per assessment instrument — any instrument can have parallel informant forms</w:t>
            </w:r>
          </w:p>
        </w:tc>
      </w:tr>
      <w:tr>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Parental consent flow</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mandatory for all child assessments</w:t>
            </w:r>
          </w:p>
        </w:tc>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Not applicable to other verticals</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Activated automatically when respondent age &lt; 18 based on date of birth in profile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Age-adaptive UI</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different interface for 6–9 vs 10–13 vs 14–18 age bands</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Not applicable to other verticals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Activated automatically based on age band from respondent profile</w:t>
            </w:r>
          </w:p>
        </w:tc>
      </w:tr>
      <w:tr>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Separate report versions (full professional + simplified family)</w:t>
            </w:r>
          </w:p>
        </w:tc>
        <w:tc>
          <w:tcPr>
            <w:tcW w:type="dxa" w:w="20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practitioner report + parent-friendly summary</w:t>
            </w:r>
          </w:p>
        </w:tc>
        <w:tc>
          <w:tcPr>
            <w:tcW w:type="dxa" w:w="2200"/>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Industrial — BodhHire generates full HR report + executive summary for hiring manager</w:t>
            </w:r>
          </w:p>
        </w:tc>
        <w:tc>
          <w:tcPr>
            <w:tcW w:type="dxa" w:w="2626"/>
            <w:tcBorders>
              <w:top w:val="single" w:color="CCCCCC" w:sz="4"/>
              <w:left w:val="single" w:color="CCCCCC" w:sz="4"/>
              <w:bottom w:val="single" w:color="CCCCCC" w:sz="4"/>
              <w:right w:val="single" w:color="CCCCCC" w:sz="4"/>
            </w:tcBorders>
            <w:shd w:fill="EAF3DE"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per assessment type — dual report generation available across all verticals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Confidentiality guardrails (restrict score visibility to practitioner only)</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Counselling — scores not shared with teachers or school admin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 scores not shared with employers; Industrial — motivation scores not shared with line managers</w:t>
            </w:r>
          </w:p>
        </w:tc>
        <w:tc>
          <w:tcPr>
            <w:tcW w:type="dxa" w:w="2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Configured per organisation as a data sharing policy at account setup</w:t>
            </w:r>
          </w:p>
        </w:tc>
      </w:tr>
    </w:tbl>
    <w:p>
      <w:pPr>
        <w:spacing w:before="120" w:after="0"/>
      </w:pPr>
      <w:r>
        <w:t xml:space="preserve"/>
      </w:r>
    </w:p>
    <w:p>
      <w:pPr>
        <w:pStyle w:val="Heading2"/>
      </w:pPr>
      <w:r>
        <w:rPr>
          <w:rFonts w:ascii="Arial" w:cs="Arial" w:eastAsia="Arial" w:hAnsi="Arial"/>
          <w:b/>
          <w:bCs/>
          <w:color w:val="0F6E56"/>
          <w:sz w:val="28"/>
          <w:szCs w:val="28"/>
        </w:rPr>
        <w:t xml:space="preserve">8.7  BodhLens — All Dashboards, All Products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185FA5" w:val="clear"/>
            <w:tcMar>
              <w:top w:type="dxa" w:w="80"/>
              <w:left w:type="dxa" w:w="180"/>
              <w:bottom w:type="dxa" w:w="60"/>
              <w:right w:type="dxa" w:w="180"/>
            </w:tcMar>
          </w:tcPr>
          <w:p>
            <w:r>
              <w:rPr>
                <w:rFonts w:ascii="Arial" w:cs="Arial" w:eastAsia="Arial" w:hAnsi="Arial"/>
                <w:b/>
                <w:bCs/>
                <w:color w:val="FFFFFF"/>
                <w:sz w:val="18"/>
                <w:szCs w:val="18"/>
              </w:rPr>
              <w:t xml:space="preserve">SINGLE ANALYTICS ENGINE — NO SEPARATE BI TOOL</w:t>
            </w:r>
          </w:p>
        </w:tc>
      </w:tr>
      <w:tr>
        <w:tc>
          <w:tcPr>
            <w:tcBorders>
              <w:top w:val="single" w:color="185FA5" w:sz="4"/>
              <w:left w:val="single" w:color="185FA5" w:sz="8"/>
              <w:bottom w:val="single" w:color="185FA5" w:sz="4"/>
              <w:right w:val="single" w:color="185FA5" w:sz="4"/>
            </w:tcBorders>
            <w:shd w:fill="E6F1FB"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Every dashboard across every Bodh product is powered by BodhLens — the AI analytics platform capability. There is no separate analytics product, no Grafana dashboard for end users, no Metabase or Tableau integration required. When a clinical supervisor asks 'which clients have shown deterioration this month?' or an HR manager asks 'what is our attrition risk by department?' — both are answered by BodhLens through a natural language prompt bar. BodhLens is the only analytics interface end users ever need.</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600"/>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BodhLens Scope</w:t>
            </w:r>
          </w:p>
        </w:tc>
        <w:tc>
          <w:tcPr>
            <w:tcW w:type="dxa" w:w="5026"/>
            <w:tcBorders>
              <w:top w:val="single" w:color="185FA5" w:sz="4"/>
              <w:left w:val="single" w:color="185FA5" w:sz="4"/>
              <w:bottom w:val="single" w:color="185FA5" w:sz="4"/>
              <w:right w:val="single" w:color="185FA5" w:sz="4"/>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Example Prompts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BodhAssess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Assessment results, score distributions, instrument usage, proctoring analytics, norm comparisons</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PHQ-9 score distribution for all clinical clients this quarter' · 'Which aptitude questions have highest skip rates?' · 'Flag candidates with Trust Score below 70'</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BodhSurvey</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Response rates, NLP theme analysis, NPS trends, survey completion funnels, sentiment trends</w:t>
            </w:r>
          </w:p>
        </w:tc>
        <w:tc>
          <w:tcPr>
            <w:tcW w:type="dxa" w:w="5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response rate by delivery channel for the Q3 pulse survey' · 'What are the top 5 themes in exit interview open comments?' · 'Compare eNPS across functions'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BodhLearn</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Learning completion, skill mastery, intervention outcomes, AI tutor usage, spaced repetition performance</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'Which skill modules have lowest completion rates?' · 'Show PHQ-9 change for clients who completed 8+ CBT sessions' · 'Which learners are at risk of missing compliance training deadline?'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BodhGrow</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360° results, HiPo distribution, succession readiness, TNA gaps, assessor calibration</w:t>
            </w:r>
          </w:p>
        </w:tc>
        <w:tc>
          <w:tcPr>
            <w:tcW w:type="dxa" w:w="5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competency gap heat map by department' · 'Which assessors have highest leniency bias in the last VAC round?'</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BodhPeople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Motivation score distribution, attrition risk, eNPS trend, ONA centrality, culture themes</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departments with highest proportion of Red-risk employees' · 'Compare motivation scores before and after the appraisal cycle'</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BodhExam</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Exam completion rates, proctoring alerts by centre, evaluator mark distributions, result distributions</w:t>
            </w:r>
          </w:p>
        </w:tc>
        <w:tc>
          <w:tcPr>
            <w:tcW w:type="dxa" w:w="5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evaluator mark distribution for Subject X — flag outliers' · 'Which exam centres had highest alert rates yesterday?'</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BodhCode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Coding test pass rates, plagiarism flags, complexity score distributions, hackathon leaderboard analytics</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pass rates by programming language' · 'Flag candidates with similar code submissions in the last batch'</w:t>
            </w:r>
          </w:p>
        </w:tc>
      </w:tr>
      <w:tr>
        <w:tc>
          <w:tcPr>
            <w:tcW w:type="dxa" w:w="14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BodhHire</w:t>
            </w:r>
          </w:p>
        </w:tc>
        <w:tc>
          <w:tcPr>
            <w:tcW w:type="dxa" w:w="2600"/>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Hiring funnel drop-off, campus acceptance rates, diversity representation, time-to-hire trends</w:t>
            </w:r>
          </w:p>
        </w:tc>
        <w:tc>
          <w:tcPr>
            <w:tcW w:type="dxa" w:w="5026"/>
            <w:tcBorders>
              <w:top w:val="single" w:color="CCCCCC" w:sz="4"/>
              <w:left w:val="single" w:color="CCCCCC" w:sz="4"/>
              <w:bottom w:val="single" w:color="CCCCCC" w:sz="4"/>
              <w:right w:val="single" w:color="CCCCCC" w:sz="4"/>
            </w:tcBorders>
            <w:shd w:fill="E6F1FB"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'Show offer acceptance rates by college' · 'Which stage has highest funnel drop-off for lateral engineering roles?'</w:t>
            </w:r>
          </w:p>
        </w:tc>
      </w:tr>
    </w:tbl>
    <w:p>
      <w:pPr>
        <w:spacing w:before="120" w:after="0"/>
      </w:pPr>
      <w:r>
        <w:t xml:space="preserve"/>
      </w:r>
    </w:p>
    <w:p>
      <w:pPr>
        <w:pStyle w:val="Heading2"/>
      </w:pPr>
      <w:r>
        <w:rPr>
          <w:rFonts w:ascii="Arial" w:cs="Arial" w:eastAsia="Arial" w:hAnsi="Arial"/>
          <w:b/>
          <w:bCs/>
          <w:color w:val="0F6E56"/>
          <w:sz w:val="28"/>
          <w:szCs w:val="28"/>
        </w:rPr>
        <w:t xml:space="preserve">8.8  White-Label Vertical in BodhAssess — Counselling Context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FFFF" w:sz="1"/>
              <w:left w:val="single" w:color="FFFFFF" w:sz="1"/>
              <w:bottom w:val="single" w:color="FFFFFF" w:sz="1"/>
              <w:right w:val="single" w:color="FFFFFF" w:sz="1"/>
            </w:tcBorders>
            <w:shd w:fill="993C1D" w:val="clear"/>
            <w:tcMar>
              <w:top w:type="dxa" w:w="80"/>
              <w:left w:type="dxa" w:w="180"/>
              <w:bottom w:type="dxa" w:w="60"/>
              <w:right w:type="dxa" w:w="180"/>
            </w:tcMar>
          </w:tcPr>
          <w:p>
            <w:r>
              <w:rPr>
                <w:rFonts w:ascii="Arial" w:cs="Arial" w:eastAsia="Arial" w:hAnsi="Arial"/>
                <w:b/>
                <w:bCs/>
                <w:color w:val="FFFFFF"/>
                <w:sz w:val="18"/>
                <w:szCs w:val="18"/>
              </w:rPr>
              <w:t xml:space="preserve">WHITE-LABEL FOR COUNSELLING INSTITUTIONS</w:t>
            </w:r>
          </w:p>
        </w:tc>
      </w:tr>
      <w:tr>
        <w:tc>
          <w:tcPr>
            <w:tcBorders>
              <w:top w:val="single" w:color="993C1D" w:sz="4"/>
              <w:left w:val="single" w:color="993C1D" w:sz="8"/>
              <w:bottom w:val="single" w:color="993C1D" w:sz="4"/>
              <w:right w:val="single" w:color="993C1D" w:sz="4"/>
            </w:tcBorders>
            <w:shd w:fill="FAECE7" w:val="clear"/>
            <w:tcMar>
              <w:top w:type="dxa" w:w="100"/>
              <w:left w:type="dxa" w:w="180"/>
              <w:bottom w:type="dxa" w:w="100"/>
              <w:right w:type="dxa" w:w="180"/>
            </w:tcMar>
          </w:tcPr>
          <w:p>
            <w:pPr>
              <w:spacing w:before="0" w:after="0"/>
            </w:pPr>
            <w:r>
              <w:rPr>
                <w:rFonts w:ascii="Arial" w:cs="Arial" w:eastAsia="Arial" w:hAnsi="Arial"/>
                <w:color w:val="1C1C1A"/>
                <w:sz w:val="19"/>
                <w:szCs w:val="19"/>
              </w:rPr>
              <w:t xml:space="preserve">Schools, hospitals, counselling centres, and child development organisations can run BodhAssess under their own brand identity — without the Bodh name being visible to their clients, students, or parents. This is BodhStudio's white-label capability applied specifically to the Counselling vertical. The institution presents 'St. Mary's School Wellness Assessment' or 'Apollo Children's Development Centre Assessment' — powered invisibly by Bodh underneath.</w:t>
            </w:r>
          </w:p>
        </w:tc>
      </w:tr>
    </w:tbl>
    <w:p>
      <w:pPr>
        <w:spacing w:before="80" w:after="0"/>
      </w:pPr>
      <w:r>
        <w:t xml:space="preserve"/>
      </w:r>
    </w:p>
    <w:p>
      <w:pPr>
        <w:pStyle w:val="Heading3"/>
      </w:pPr>
      <w:r>
        <w:rPr>
          <w:rFonts w:ascii="Arial" w:cs="Arial" w:eastAsia="Arial" w:hAnsi="Arial"/>
          <w:b/>
          <w:bCs/>
          <w:color w:val="3C3489"/>
          <w:sz w:val="24"/>
          <w:szCs w:val="24"/>
        </w:rPr>
        <w:t xml:space="preserve">What White-Label Provides in the Counselling Context</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assessments.stmarysschool.edu.in — the institution's own subdomain. No bodh.biz URL appears anywhere. — </w:t>
      </w:r>
      <w:r>
        <w:rPr>
          <w:rFonts w:ascii="Arial" w:cs="Arial" w:eastAsia="Arial" w:hAnsi="Arial"/>
          <w:color w:val="1C1C1A"/>
          <w:sz w:val="19"/>
          <w:szCs w:val="19"/>
        </w:rPr>
        <w:t xml:space="preserve">Custom domain</w:t>
      </w:r>
    </w:p>
    <w:p>
      <w:pPr>
        <w:pStyle w:val="ListParagraph"/>
        <w:numPr>
          <w:ilvl w:val="0"/>
          <w:numId w:val="2"/>
        </w:numPr>
        <w:spacing w:before="50" w:after="50"/>
      </w:pPr>
      <w:r>
        <w:rPr>
          <w:rFonts w:ascii="Arial" w:cs="Arial" w:eastAsia="Arial" w:hAnsi="Arial"/>
          <w:b/>
          <w:bCs/>
          <w:color w:val="3C3489"/>
          <w:sz w:val="19"/>
          <w:szCs w:val="19"/>
        </w:rPr>
        <w:t xml:space="preserve">Institution logo, colour scheme, typography applied to: login page, assessment interface, all report headers, email communications, WhatsApp messages, parent-facing summaries. — </w:t>
      </w:r>
      <w:r>
        <w:rPr>
          <w:rFonts w:ascii="Arial" w:cs="Arial" w:eastAsia="Arial" w:hAnsi="Arial"/>
          <w:color w:val="1C1C1A"/>
          <w:sz w:val="19"/>
          <w:szCs w:val="19"/>
        </w:rPr>
        <w:t xml:space="preserve">Full brand identity</w:t>
      </w:r>
    </w:p>
    <w:p>
      <w:pPr>
        <w:pStyle w:val="ListParagraph"/>
        <w:numPr>
          <w:ilvl w:val="0"/>
          <w:numId w:val="2"/>
        </w:numPr>
        <w:spacing w:before="50" w:after="50"/>
      </w:pPr>
      <w:r>
        <w:rPr>
          <w:rFonts w:ascii="Arial" w:cs="Arial" w:eastAsia="Arial" w:hAnsi="Arial"/>
          <w:b/>
          <w:bCs/>
          <w:color w:val="3C3489"/>
          <w:sz w:val="19"/>
          <w:szCs w:val="19"/>
        </w:rPr>
        <w:t xml:space="preserve">Reports carry the institution's letterhead, psychologist's name and designation, institution's registration number. Bodh is not mentioned in the report body — only in the system footer (required for audit trail purposes). — </w:t>
      </w:r>
      <w:r>
        <w:rPr>
          <w:rFonts w:ascii="Arial" w:cs="Arial" w:eastAsia="Arial" w:hAnsi="Arial"/>
          <w:color w:val="1C1C1A"/>
          <w:sz w:val="19"/>
          <w:szCs w:val="19"/>
        </w:rPr>
        <w:t xml:space="preserve">Institutional report branding</w:t>
      </w:r>
    </w:p>
    <w:p>
      <w:pPr>
        <w:pStyle w:val="ListParagraph"/>
        <w:numPr>
          <w:ilvl w:val="0"/>
          <w:numId w:val="2"/>
        </w:numPr>
        <w:spacing w:before="50" w:after="50"/>
      </w:pPr>
      <w:r>
        <w:rPr>
          <w:rFonts w:ascii="Arial" w:cs="Arial" w:eastAsia="Arial" w:hAnsi="Arial"/>
          <w:b/>
          <w:bCs/>
          <w:color w:val="3C3489"/>
          <w:sz w:val="19"/>
          <w:szCs w:val="19"/>
        </w:rPr>
        <w:t xml:space="preserve">Consent requests, assessment invitations, and result summaries are sent from the institution's identity. 'St. Mary's School Wellness Team' sends the WhatsApp message, not Bodh. — </w:t>
      </w:r>
      <w:r>
        <w:rPr>
          <w:rFonts w:ascii="Arial" w:cs="Arial" w:eastAsia="Arial" w:hAnsi="Arial"/>
          <w:color w:val="1C1C1A"/>
          <w:sz w:val="19"/>
          <w:szCs w:val="19"/>
        </w:rPr>
        <w:t xml:space="preserve">Parent communication under institution's name</w:t>
      </w:r>
    </w:p>
    <w:p>
      <w:pPr>
        <w:pStyle w:val="ListParagraph"/>
        <w:numPr>
          <w:ilvl w:val="0"/>
          <w:numId w:val="2"/>
        </w:numPr>
        <w:spacing w:before="50" w:after="50"/>
      </w:pPr>
      <w:r>
        <w:rPr>
          <w:rFonts w:ascii="Arial" w:cs="Arial" w:eastAsia="Arial" w:hAnsi="Arial"/>
          <w:b/>
          <w:bCs/>
          <w:color w:val="3C3489"/>
          <w:sz w:val="19"/>
          <w:szCs w:val="19"/>
        </w:rPr>
        <w:t xml:space="preserve">Institutions can relabel platform terminology: 'clients' can become 'students', 'practitioners' can become 'school counsellors', 'sessions' can become 'wellness assessments'. The platform adapts its language to the institution's vocabulary. — </w:t>
      </w:r>
      <w:r>
        <w:rPr>
          <w:rFonts w:ascii="Arial" w:cs="Arial" w:eastAsia="Arial" w:hAnsi="Arial"/>
          <w:color w:val="1C1C1A"/>
          <w:sz w:val="19"/>
          <w:szCs w:val="19"/>
        </w:rPr>
        <w:t xml:space="preserve">Terminology customisation</w:t>
      </w:r>
    </w:p>
    <w:p>
      <w:pPr>
        <w:pStyle w:val="ListParagraph"/>
        <w:numPr>
          <w:ilvl w:val="0"/>
          <w:numId w:val="2"/>
        </w:numPr>
        <w:spacing w:before="50" w:after="50"/>
      </w:pPr>
      <w:r>
        <w:rPr>
          <w:rFonts w:ascii="Arial" w:cs="Arial" w:eastAsia="Arial" w:hAnsi="Arial"/>
          <w:b/>
          <w:bCs/>
          <w:color w:val="3C3489"/>
          <w:sz w:val="19"/>
          <w:szCs w:val="19"/>
        </w:rPr>
        <w:t xml:space="preserve">The white-label client's data is completely isolated from all other Bodh tenants. Their students' data is never accessible to Bodh employees except for technical support with explicit consent from the institution's DPO. — </w:t>
      </w:r>
      <w:r>
        <w:rPr>
          <w:rFonts w:ascii="Arial" w:cs="Arial" w:eastAsia="Arial" w:hAnsi="Arial"/>
          <w:color w:val="1C1C1A"/>
          <w:sz w:val="19"/>
          <w:szCs w:val="19"/>
        </w:rPr>
        <w:t xml:space="preserve">Data isolation</w:t>
      </w:r>
    </w:p>
    <w:p>
      <w:pPr>
        <w:pStyle w:val="ListParagraph"/>
        <w:numPr>
          <w:ilvl w:val="0"/>
          <w:numId w:val="2"/>
        </w:numPr>
        <w:spacing w:before="50" w:after="50"/>
      </w:pPr>
      <w:r>
        <w:rPr>
          <w:rFonts w:ascii="Arial" w:cs="Arial" w:eastAsia="Arial" w:hAnsi="Arial"/>
          <w:b/>
          <w:bCs/>
          <w:color w:val="3C3489"/>
          <w:sz w:val="19"/>
          <w:szCs w:val="19"/>
        </w:rPr>
        <w:t xml:space="preserve">Schools can have multiple counsellors. Each counsellor sees only their own students' data. The school principal sees aggregate school-level data via BodhLens. No counsellor can see another counsellor's caseload. — </w:t>
      </w:r>
      <w:r>
        <w:rPr>
          <w:rFonts w:ascii="Arial" w:cs="Arial" w:eastAsia="Arial" w:hAnsi="Arial"/>
          <w:color w:val="1C1C1A"/>
          <w:sz w:val="19"/>
          <w:szCs w:val="19"/>
        </w:rPr>
        <w:t xml:space="preserve">Multi-counsellor accounts</w:t>
      </w:r>
    </w:p>
    <w:p>
      <w:pPr>
        <w:spacing w:before="80" w:after="0"/>
      </w:pPr>
      <w:r>
        <w:t xml:space="preserve"/>
      </w:r>
    </w:p>
    <w:p>
      <w:pPr>
        <w:pStyle w:val="Heading3"/>
      </w:pPr>
      <w:r>
        <w:rPr>
          <w:rFonts w:ascii="Arial" w:cs="Arial" w:eastAsia="Arial" w:hAnsi="Arial"/>
          <w:b/>
          <w:bCs/>
          <w:color w:val="3C3489"/>
          <w:sz w:val="24"/>
          <w:szCs w:val="24"/>
        </w:rPr>
        <w:t xml:space="preserve">Counselling White-Label — DPDP Obligations</w:t>
      </w:r>
    </w:p>
    <w:p>
      <w:pPr>
        <w:spacing w:before="60" w:after="0"/>
      </w:pPr>
      <w:r>
        <w:t xml:space="preserve"/>
      </w:r>
    </w:p>
    <w:p>
      <w:pPr>
        <w:spacing w:before="0" w:after="100"/>
      </w:pPr>
      <w:r>
        <w:rPr>
          <w:rFonts w:ascii="Arial" w:cs="Arial" w:eastAsia="Arial" w:hAnsi="Arial"/>
          <w:color w:val="1C1C1A"/>
          <w:sz w:val="20"/>
          <w:szCs w:val="20"/>
        </w:rPr>
        <w:t xml:space="preserve">When a counselling institution operates as a white-label BodhAssess client, the data controller / data processor relationship is:</w:t>
      </w:r>
    </w:p>
    <w:p>
      <w:pPr>
        <w:spacing w:before="60" w:after="0"/>
      </w:pPr>
      <w:r>
        <w:t xml:space="preserve"/>
      </w:r>
    </w:p>
    <w:p>
      <w:pPr>
        <w:pStyle w:val="ListParagraph"/>
        <w:numPr>
          <w:ilvl w:val="0"/>
          <w:numId w:val="2"/>
        </w:numPr>
        <w:spacing w:before="50" w:after="50"/>
      </w:pPr>
      <w:r>
        <w:rPr>
          <w:rFonts w:ascii="Arial" w:cs="Arial" w:eastAsia="Arial" w:hAnsi="Arial"/>
          <w:b/>
          <w:bCs/>
          <w:color w:val="3C3489"/>
          <w:sz w:val="19"/>
          <w:szCs w:val="19"/>
        </w:rPr>
        <w:t xml:space="preserve">The institution (school, hospital, counselling centre) — they determine the purpose and means of processing. They are responsible to parents and students for how data is used. — </w:t>
      </w:r>
      <w:r>
        <w:rPr>
          <w:rFonts w:ascii="Arial" w:cs="Arial" w:eastAsia="Arial" w:hAnsi="Arial"/>
          <w:color w:val="1C1C1A"/>
          <w:sz w:val="19"/>
          <w:szCs w:val="19"/>
        </w:rPr>
        <w:t xml:space="preserve">Data Controller</w:t>
      </w:r>
    </w:p>
    <w:p>
      <w:pPr>
        <w:pStyle w:val="ListParagraph"/>
        <w:numPr>
          <w:ilvl w:val="0"/>
          <w:numId w:val="2"/>
        </w:numPr>
        <w:spacing w:before="50" w:after="50"/>
      </w:pPr>
      <w:r>
        <w:rPr>
          <w:rFonts w:ascii="Arial" w:cs="Arial" w:eastAsia="Arial" w:hAnsi="Arial"/>
          <w:b/>
          <w:bCs/>
          <w:color w:val="3C3489"/>
          <w:sz w:val="19"/>
          <w:szCs w:val="19"/>
        </w:rPr>
        <w:t xml:space="preserve">Bodh — processes data on behalf of the institution under a mandatory Data Processing Agreement (DPA). Bodh cannot use the institution's student data for any purpose outside the DPA. — </w:t>
      </w:r>
      <w:r>
        <w:rPr>
          <w:rFonts w:ascii="Arial" w:cs="Arial" w:eastAsia="Arial" w:hAnsi="Arial"/>
          <w:color w:val="1C1C1A"/>
          <w:sz w:val="19"/>
          <w:szCs w:val="19"/>
        </w:rPr>
        <w:t xml:space="preserve">Data Processor</w:t>
      </w:r>
    </w:p>
    <w:p>
      <w:pPr>
        <w:pStyle w:val="ListParagraph"/>
        <w:numPr>
          <w:ilvl w:val="0"/>
          <w:numId w:val="2"/>
        </w:numPr>
        <w:spacing w:before="50" w:after="50"/>
      </w:pPr>
      <w:r>
        <w:rPr>
          <w:rFonts w:ascii="Arial" w:cs="Arial" w:eastAsia="Arial" w:hAnsi="Arial"/>
          <w:b/>
          <w:bCs/>
          <w:color w:val="3C3489"/>
          <w:sz w:val="19"/>
          <w:szCs w:val="19"/>
        </w:rPr>
        <w:t xml:space="preserve">The DPA specifies: what data is processed, for what purpose, for how long, what subprocessors are used (DigitalOcean, Gupshup, Twilio — all listed), the institution's audit rights, and the breach notification process. — </w:t>
      </w:r>
      <w:r>
        <w:rPr>
          <w:rFonts w:ascii="Arial" w:cs="Arial" w:eastAsia="Arial" w:hAnsi="Arial"/>
          <w:color w:val="1C1C1A"/>
          <w:sz w:val="19"/>
          <w:szCs w:val="19"/>
        </w:rPr>
        <w:t xml:space="preserve">DPA requirements</w:t>
      </w:r>
    </w:p>
    <w:p>
      <w:pPr>
        <w:pStyle w:val="ListParagraph"/>
        <w:numPr>
          <w:ilvl w:val="0"/>
          <w:numId w:val="2"/>
        </w:numPr>
        <w:spacing w:before="50" w:after="50"/>
      </w:pPr>
      <w:r>
        <w:rPr>
          <w:rFonts w:ascii="Arial" w:cs="Arial" w:eastAsia="Arial" w:hAnsi="Arial"/>
          <w:b/>
          <w:bCs/>
          <w:color w:val="3C3489"/>
          <w:sz w:val="19"/>
          <w:szCs w:val="19"/>
        </w:rPr>
        <w:t xml:space="preserve">The institution collects parental consent in their name, using Bodh's consent management infrastructure but with the institution's branding and language. Consent records are stored in Bodh's DPDP compliance layer and accessible to the institution's DPO. — </w:t>
      </w:r>
      <w:r>
        <w:rPr>
          <w:rFonts w:ascii="Arial" w:cs="Arial" w:eastAsia="Arial" w:hAnsi="Arial"/>
          <w:color w:val="1C1C1A"/>
          <w:sz w:val="19"/>
          <w:szCs w:val="19"/>
        </w:rPr>
        <w:t xml:space="preserve">Parental consent</w:t>
      </w:r>
    </w:p>
    <w:p>
      <w:pPr>
        <w:pStyle w:val="ListParagraph"/>
        <w:numPr>
          <w:ilvl w:val="0"/>
          <w:numId w:val="2"/>
        </w:numPr>
        <w:spacing w:before="50" w:after="50"/>
      </w:pPr>
      <w:r>
        <w:rPr>
          <w:rFonts w:ascii="Arial" w:cs="Arial" w:eastAsia="Arial" w:hAnsi="Arial"/>
          <w:b/>
          <w:bCs/>
          <w:color w:val="3C3489"/>
          <w:sz w:val="19"/>
          <w:szCs w:val="19"/>
        </w:rPr>
        <w:t xml:space="preserve">Parents can request erasure of their child's data. The erasure request can be submitted to the institution (who then instructs Bodh) or directly to Bodh via the Data Principal Rights Portal. — </w:t>
      </w:r>
      <w:r>
        <w:rPr>
          <w:rFonts w:ascii="Arial" w:cs="Arial" w:eastAsia="Arial" w:hAnsi="Arial"/>
          <w:color w:val="1C1C1A"/>
          <w:sz w:val="19"/>
          <w:szCs w:val="19"/>
        </w:rPr>
        <w:t xml:space="preserve">Erasure</w:t>
      </w:r>
    </w:p>
    <w:p>
      <w:pPr>
        <w:spacing w:before="80" w:after="0"/>
      </w:pPr>
      <w:r>
        <w:t xml:space="preserve"/>
      </w:r>
    </w:p>
    <w:p>
      <w:pPr>
        <w:pStyle w:val="Heading3"/>
      </w:pPr>
      <w:r>
        <w:rPr>
          <w:rFonts w:ascii="Arial" w:cs="Arial" w:eastAsia="Arial" w:hAnsi="Arial"/>
          <w:b/>
          <w:bCs/>
          <w:color w:val="3C3489"/>
          <w:sz w:val="24"/>
          <w:szCs w:val="24"/>
        </w:rPr>
        <w:t xml:space="preserve">Counselling White-Label — Pricing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Client Type</w:t>
            </w:r>
          </w:p>
        </w:tc>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Pricing Model</w:t>
            </w:r>
          </w:p>
        </w:tc>
        <w:tc>
          <w:tcPr>
            <w:tcW w:type="dxa" w:w="4226"/>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Typical Scope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Individual school (500–2000 students)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₹1.5–3L/year</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Annual wellness screening programme + individual counselling assessments throughout the year</w:t>
            </w:r>
          </w:p>
        </w:tc>
      </w:tr>
      <w:tr>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School group / trust (5–20 schools)</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₹8–20L/year</w:t>
            </w:r>
          </w:p>
        </w:tc>
        <w:tc>
          <w:tcPr>
            <w:tcW w:type="dxa" w:w="42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Group-wide assessment programme. Centralised reporting to trust administration.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Hospital / mental health centre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₹3–8L/year</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Clinical assessment programme. Multiple psychologists. Longitudinal patient tracking.</w:t>
            </w:r>
          </w:p>
        </w:tc>
      </w:tr>
      <w:tr>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Child development organisation</w:t>
            </w:r>
          </w:p>
        </w:tc>
        <w:tc>
          <w:tcPr>
            <w:tcW w:type="dxa" w:w="2400"/>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₹2–5L/year</w:t>
            </w:r>
          </w:p>
        </w:tc>
        <w:tc>
          <w:tcPr>
            <w:tcW w:type="dxa" w:w="4226"/>
            <w:tcBorders>
              <w:top w:val="single" w:color="CCCCCC" w:sz="4"/>
              <w:left w:val="single" w:color="CCCCCC" w:sz="4"/>
              <w:bottom w:val="single" w:color="CCCCCC" w:sz="4"/>
              <w:right w:val="single" w:color="CCCCCC" w:sz="4"/>
            </w:tcBorders>
            <w:shd w:fill="FAECE7" w:val="clear"/>
            <w:tcMar>
              <w:top w:type="dxa" w:w="70"/>
              <w:left w:type="dxa" w:w="120"/>
              <w:bottom w:type="dxa" w:w="70"/>
              <w:right w:type="dxa" w:w="120"/>
            </w:tcMar>
          </w:tcPr>
          <w:p>
            <w:pPr>
              <w:spacing w:before="0" w:after="0"/>
            </w:pPr>
            <w:r>
              <w:rPr>
                <w:rFonts w:ascii="Arial" w:cs="Arial" w:eastAsia="Arial" w:hAnsi="Arial"/>
                <w:color w:val="1C1C1A"/>
                <w:sz w:val="18"/>
                <w:szCs w:val="18"/>
              </w:rPr>
              <w:t xml:space="preserve">Developmental assessment programme. Multiple age groups. Research data collection for Tier 4.</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1"/>
      </w:pBdr>
      <w:tabs>
        <w:tab w:val="right" w:pos="9026"/>
      </w:tabs>
      <w:spacing w:before="80" w:after="0"/>
    </w:pPr>
    <w:r>
      <w:rPr>
        <w:rFonts w:ascii="Arial" w:cs="Arial" w:eastAsia="Arial" w:hAnsi="Arial"/>
        <w:color w:val="666666"/>
        <w:sz w:val="16"/>
        <w:szCs w:val="16"/>
      </w:rPr>
      <w:t xml:space="preserve">bodh.biz  ·  Version 1.0  ·  Phase 1</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489" w:sz="4" w:space="1"/>
      </w:pBdr>
      <w:spacing w:before="0" w:after="80"/>
    </w:pPr>
    <w:r>
      <w:rPr>
        <w:rFonts w:ascii="Arial" w:cs="Arial" w:eastAsia="Arial" w:hAnsi="Arial"/>
        <w:b/>
        <w:bCs/>
        <w:color w:val="3C3489"/>
        <w:sz w:val="17"/>
        <w:szCs w:val="17"/>
      </w:rPr>
      <w:t xml:space="preserve">Bodh Psychometric Solutions — BodhAssess Product Specification  |  Phase 1</w:t>
    </w:r>
    <w:r>
      <w:rPr>
        <w:rFonts w:ascii="Arial" w:cs="Arial" w:eastAsia="Arial" w:hAnsi="Arial"/>
        <w:color w:val="666666"/>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3C348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0F6E5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C3489"/>
      <w:sz w:val="24"/>
      <w:szCs w:val="24"/>
    </w:rPr>
  </w:style>
  <w:style w:type="paragraph" w:styleId="Heading4">
    <w:name w:val="Heading 4"/>
    <w:basedOn w:val="Normal"/>
    <w:next w:val="Normal"/>
    <w:qFormat/>
    <w:pPr>
      <w:spacing w:before="120" w:after="60"/>
      <w:outlineLvl w:val="3"/>
    </w:pPr>
    <w:rPr>
      <w:rFonts w:ascii="Arial" w:cs="Arial" w:eastAsia="Arial" w:hAnsi="Arial"/>
      <w:b/>
      <w:bCs/>
      <w:color w:val="854F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2026-04-06T06:40:43.322Z</dcterms:created>
  <dcterms:modified xsi:type="dcterms:W3CDTF">2026-04-06T06:40:43.323Z</dcterms:modified>
</cp:coreProperties>
</file>

<file path=docProps/custom.xml><?xml version="1.0" encoding="utf-8"?>
<Properties xmlns="http://schemas.openxmlformats.org/officeDocument/2006/custom-properties" xmlns:vt="http://schemas.openxmlformats.org/officeDocument/2006/docPropsVTypes"/>
</file>