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b/>
          <w:color w:val="0F172A"/>
          <w:sz w:val="32"/>
        </w:rPr>
        <w:t>ENHANCED SPLITWISE: AN INTELLIGENT EXPENSE MANAGEMENT AND GROUP SETTLEMENT PLATFORM</w:t>
      </w:r>
    </w:p>
    <w:p>
      <w:pPr>
        <w:spacing w:before="200" w:after="40"/>
      </w:pPr>
      <w:r>
        <w:rPr>
          <w:b/>
          <w:color w:val="334155"/>
          <w:sz w:val="22"/>
        </w:rPr>
        <w:t>System Design, Implementation, and Evaluation of a Multi-Tier Intelligent Financial Platform</w:t>
      </w:r>
    </w:p>
    <w:p>
      <w:pPr>
        <w:spacing w:before="0" w:after="80" w:line="276" w:lineRule="auto"/>
      </w:pPr>
      <w:r>
        <w:t>Chirag Bhalotia — 1032232301</w:t>
      </w:r>
    </w:p>
    <w:p>
      <w:pPr>
        <w:spacing w:before="0" w:after="80" w:line="276" w:lineRule="auto"/>
      </w:pPr>
      <w:r>
        <w:t>Harsh Malu — 1032232445</w:t>
      </w:r>
    </w:p>
    <w:p>
      <w:pPr>
        <w:spacing w:before="0" w:after="80" w:line="276" w:lineRule="auto"/>
      </w:pPr>
      <w:r>
        <w:t>Aditya Raj — 1032232452</w:t>
      </w:r>
    </w:p>
    <w:p>
      <w:pPr>
        <w:spacing w:before="0" w:after="80" w:line="276" w:lineRule="auto"/>
      </w:pPr>
      <w:r>
        <w:t>Archit Kankaria — 1032231900</w:t>
      </w:r>
    </w:p>
    <w:p>
      <w:pPr>
        <w:spacing w:before="280" w:after="80"/>
      </w:pPr>
      <w:r>
        <w:rPr>
          <w:b/>
          <w:color w:val="1E3A8A"/>
          <w:sz w:val="26"/>
        </w:rPr>
        <w:t>ABSTRACT</w:t>
      </w:r>
    </w:p>
    <w:p>
      <w:pPr>
        <w:spacing w:before="0" w:after="80" w:line="276" w:lineRule="auto"/>
      </w:pPr>
      <w:r>
        <w:t>Personal and group expense management presents persistent friction across manual receipt logging, multi-participant shared bill division, transaction categorization, spending anomaly detection, and forward expenditure planning. Many existing commercial solutions demand tedious manual entry or attempt to employ generative artificial intelligence directly to compute currency splits, frequently resulting in arithmetic hallucinations and rounding discrepancies.</w:t>
      </w:r>
    </w:p>
    <w:p>
      <w:pPr>
        <w:spacing w:before="0" w:after="80" w:line="276" w:lineRule="auto"/>
      </w:pPr>
      <w:r>
        <w:t xml:space="preserve">This report presents </w:t>
      </w:r>
      <w:r>
        <w:rPr>
          <w:b/>
        </w:rPr>
        <w:t>Enhanced Splitwise (`enhanced-sw`)</w:t>
      </w:r>
      <w:r>
        <w:t xml:space="preserve">, a comprehensive, multi-tiered financial management platform that integrates computer vision, large language model (LLM) routing, statistical analytics, and deterministic algorithms. The system decouples semantic perception from arithmetic execution. A local optical character recognition (OCR) engine processes receipt images with spatial reading-order sorting, while an LLM orchestration layer extracts structured line items into strict Pydantic schemas. All financial computations—including tax, tip, and discount allocations—are delegated to fixed-point Python </w:t>
      </w:r>
      <w:r>
        <w:rPr>
          <w:rFonts w:ascii="Consolas" w:hAnsi="Consolas"/>
          <w:sz w:val="18"/>
        </w:rPr>
        <w:t>Decimal</w:t>
      </w:r>
      <w:r>
        <w:t xml:space="preserve"> algorithms with explicit rounding residual reconciliation down to the lowest currency unit (∑ S_j = Total).</w:t>
      </w:r>
    </w:p>
    <w:p>
      <w:pPr>
        <w:spacing w:before="0" w:after="80" w:line="276" w:lineRule="auto"/>
      </w:pPr>
      <w:r>
        <w:t>Furthermore, the platform integrates automated zero-shot expense categorization across 11 canonical categories, qualitative spending insights synthesized from deterministic statistical metrics, monthly and category envelope budgeting, Leave-One-Out (LOO) statistical anomaly detection, time-series expenditure forecasting using Meta Prophet with 80% uncertainty intervals and adaptive cold-start fallbacks, and a Greedy Debt Simplification algorithm that resolves group obligations into a compact settlement plan with at most N-1 direct transfers. An interactive in-session settlement tracking workflow allows participants to record payment status and review remaining unsettled obligations. Automated testing validates platform stability across 109 passing Python test cases, 48 backend API integration tests, and 0 static TypeScript compilation errors.</w:t>
      </w:r>
    </w:p>
    <w:p>
      <w:pPr>
        <w:spacing w:before="0" w:after="80" w:line="276" w:lineRule="auto"/>
      </w:pPr>
      <w:r/>
      <w:r>
        <w:rPr>
          <w:b/>
        </w:rPr>
        <w:t>Keywords</w:t>
      </w:r>
      <w:r>
        <w:t>: Expense Management, Optical Character Recognition, Large Language Models, Deterministic Arithmetic, Debt Simplification, Anomaly Detection, Meta Prophet Forecasting.</w:t>
      </w:r>
    </w:p>
    <w:p>
      <w:pPr>
        <w:spacing w:before="280" w:after="80"/>
      </w:pPr>
      <w:r>
        <w:rPr>
          <w:b/>
          <w:color w:val="1E3A8A"/>
          <w:sz w:val="26"/>
        </w:rPr>
        <w:t>TABLE OF CONTENTS</w:t>
      </w:r>
    </w:p>
    <w:tbl>
      <w:tblPr>
        <w:tblW w:type="auto" w:w="0"/>
        <w:jc w:val="center"/>
        <w:tblLook w:firstColumn="1" w:firstRow="1" w:lastColumn="0" w:lastRow="0" w:noHBand="0" w:noVBand="1" w:val="04A0"/>
      </w:tblPr>
      <w:tblGrid>
        <w:gridCol w:w="3202"/>
        <w:gridCol w:w="3202"/>
        <w:gridCol w:w="3202"/>
      </w:tblGrid>
      <w:tr>
        <w:tc>
          <w:tcPr>
            <w:tcW w:type="dxa" w:w="3202"/>
            <w:shd w:fill="1E293B"/>
            <w:tcMar>
              <w:top w:w="80" w:type="dxa"/>
              <w:bottom w:w="80" w:type="dxa"/>
              <w:left w:w="100" w:type="dxa"/>
              <w:right w:w="100" w:type="dxa"/>
            </w:tcMar>
          </w:tcPr>
          <w:p>
            <w:pPr>
              <w:spacing w:before="40" w:after="40"/>
            </w:pPr>
            <w:r>
              <w:rPr>
                <w:b/>
                <w:color w:val="FFFFFF"/>
                <w:sz w:val="16"/>
              </w:rPr>
              <w:t>Section</w:t>
            </w:r>
          </w:p>
        </w:tc>
        <w:tc>
          <w:tcPr>
            <w:tcW w:type="dxa" w:w="3202"/>
            <w:shd w:fill="1E293B"/>
            <w:tcMar>
              <w:top w:w="80" w:type="dxa"/>
              <w:bottom w:w="80" w:type="dxa"/>
              <w:left w:w="100" w:type="dxa"/>
              <w:right w:w="100" w:type="dxa"/>
            </w:tcMar>
          </w:tcPr>
          <w:p>
            <w:pPr>
              <w:spacing w:before="40" w:after="40"/>
            </w:pPr>
            <w:r>
              <w:rPr>
                <w:b/>
                <w:color w:val="FFFFFF"/>
                <w:sz w:val="16"/>
              </w:rPr>
              <w:t>Title</w:t>
            </w:r>
          </w:p>
        </w:tc>
        <w:tc>
          <w:tcPr>
            <w:tcW w:type="dxa" w:w="3202"/>
            <w:shd w:fill="1E293B"/>
            <w:tcMar>
              <w:top w:w="80" w:type="dxa"/>
              <w:bottom w:w="80" w:type="dxa"/>
              <w:left w:w="100" w:type="dxa"/>
              <w:right w:w="100" w:type="dxa"/>
            </w:tcMar>
          </w:tcPr>
          <w:p>
            <w:pPr>
              <w:spacing w:before="40" w:after="40"/>
            </w:pPr>
            <w:r>
              <w:rPr>
                <w:b/>
                <w:color w:val="FFFFFF"/>
                <w:sz w:val="16"/>
              </w:rPr>
              <w:t>Page</w:t>
            </w:r>
          </w:p>
        </w:tc>
      </w:tr>
      <w:tr>
        <w:tc>
          <w:tcPr>
            <w:tcW w:type="dxa" w:w="3202"/>
            <w:shd w:fill="FFFFFF"/>
            <w:tcMar>
              <w:top w:w="60" w:type="dxa"/>
              <w:bottom w:w="60" w:type="dxa"/>
              <w:left w:w="100" w:type="dxa"/>
              <w:right w:w="100" w:type="dxa"/>
            </w:tcMar>
          </w:tcPr>
          <w:p>
            <w:pPr>
              <w:spacing w:before="20" w:after="20"/>
            </w:pPr>
            <w:r>
              <w:rPr>
                <w:color w:val="334155"/>
                <w:sz w:val="15"/>
              </w:rPr>
              <w:t>**SECTION 1**</w:t>
            </w:r>
          </w:p>
        </w:tc>
        <w:tc>
          <w:tcPr>
            <w:tcW w:type="dxa" w:w="3202"/>
            <w:shd w:fill="FFFFFF"/>
            <w:tcMar>
              <w:top w:w="60" w:type="dxa"/>
              <w:bottom w:w="60" w:type="dxa"/>
              <w:left w:w="100" w:type="dxa"/>
              <w:right w:w="100" w:type="dxa"/>
            </w:tcMar>
          </w:tcPr>
          <w:p>
            <w:pPr>
              <w:spacing w:before="20" w:after="20"/>
            </w:pPr>
            <w:r>
              <w:rPr>
                <w:color w:val="334155"/>
                <w:sz w:val="15"/>
              </w:rPr>
              <w:t>**INTRODUCTION &amp; PROBLEM FORMULATION**</w:t>
            </w:r>
          </w:p>
        </w:tc>
        <w:tc>
          <w:tcPr>
            <w:tcW w:type="dxa" w:w="3202"/>
            <w:shd w:fill="FFFFFF"/>
            <w:tcMar>
              <w:top w:w="60" w:type="dxa"/>
              <w:bottom w:w="60" w:type="dxa"/>
              <w:left w:w="100" w:type="dxa"/>
              <w:right w:w="100" w:type="dxa"/>
            </w:tcMar>
          </w:tcPr>
          <w:p>
            <w:pPr>
              <w:spacing w:before="20" w:after="20"/>
            </w:pPr>
            <w:r>
              <w:rPr>
                <w:color w:val="334155"/>
                <w:sz w:val="15"/>
              </w:rPr>
              <w:t>**3**</w:t>
            </w:r>
          </w:p>
        </w:tc>
      </w:tr>
      <w:tr>
        <w:tc>
          <w:tcPr>
            <w:tcW w:type="dxa" w:w="3202"/>
            <w:shd w:fill="F8FAFC"/>
            <w:tcMar>
              <w:top w:w="60" w:type="dxa"/>
              <w:bottom w:w="60" w:type="dxa"/>
              <w:left w:w="100" w:type="dxa"/>
              <w:right w:w="100" w:type="dxa"/>
            </w:tcMar>
          </w:tcPr>
          <w:p>
            <w:pPr>
              <w:spacing w:before="20" w:after="20"/>
            </w:pPr>
            <w:r>
              <w:rPr>
                <w:color w:val="334155"/>
                <w:sz w:val="15"/>
              </w:rPr>
              <w:t>1.1</w:t>
            </w:r>
          </w:p>
        </w:tc>
        <w:tc>
          <w:tcPr>
            <w:tcW w:type="dxa" w:w="3202"/>
            <w:shd w:fill="F8FAFC"/>
            <w:tcMar>
              <w:top w:w="60" w:type="dxa"/>
              <w:bottom w:w="60" w:type="dxa"/>
              <w:left w:w="100" w:type="dxa"/>
              <w:right w:w="100" w:type="dxa"/>
            </w:tcMar>
          </w:tcPr>
          <w:p>
            <w:pPr>
              <w:spacing w:before="20" w:after="20"/>
            </w:pPr>
            <w:r>
              <w:rPr>
                <w:color w:val="334155"/>
                <w:sz w:val="15"/>
              </w:rPr>
              <w:t>Background &amp; Motivation</w:t>
            </w:r>
          </w:p>
        </w:tc>
        <w:tc>
          <w:tcPr>
            <w:tcW w:type="dxa" w:w="3202"/>
            <w:shd w:fill="F8FAFC"/>
            <w:tcMar>
              <w:top w:w="60" w:type="dxa"/>
              <w:bottom w:w="60" w:type="dxa"/>
              <w:left w:w="100" w:type="dxa"/>
              <w:right w:w="100" w:type="dxa"/>
            </w:tcMar>
          </w:tcPr>
          <w:p>
            <w:pPr>
              <w:spacing w:before="20" w:after="20"/>
            </w:pPr>
            <w:r>
              <w:rPr>
                <w:color w:val="334155"/>
                <w:sz w:val="15"/>
              </w:rPr>
              <w:t>3</w:t>
            </w:r>
          </w:p>
        </w:tc>
      </w:tr>
      <w:tr>
        <w:tc>
          <w:tcPr>
            <w:tcW w:type="dxa" w:w="3202"/>
            <w:shd w:fill="FFFFFF"/>
            <w:tcMar>
              <w:top w:w="60" w:type="dxa"/>
              <w:bottom w:w="60" w:type="dxa"/>
              <w:left w:w="100" w:type="dxa"/>
              <w:right w:w="100" w:type="dxa"/>
            </w:tcMar>
          </w:tcPr>
          <w:p>
            <w:pPr>
              <w:spacing w:before="20" w:after="20"/>
            </w:pPr>
            <w:r>
              <w:rPr>
                <w:color w:val="334155"/>
                <w:sz w:val="15"/>
              </w:rPr>
              <w:t>1.2</w:t>
            </w:r>
          </w:p>
        </w:tc>
        <w:tc>
          <w:tcPr>
            <w:tcW w:type="dxa" w:w="3202"/>
            <w:shd w:fill="FFFFFF"/>
            <w:tcMar>
              <w:top w:w="60" w:type="dxa"/>
              <w:bottom w:w="60" w:type="dxa"/>
              <w:left w:w="100" w:type="dxa"/>
              <w:right w:w="100" w:type="dxa"/>
            </w:tcMar>
          </w:tcPr>
          <w:p>
            <w:pPr>
              <w:spacing w:before="20" w:after="20"/>
            </w:pPr>
            <w:r>
              <w:rPr>
                <w:color w:val="334155"/>
                <w:sz w:val="15"/>
              </w:rPr>
              <w:t>Problem Statement</w:t>
            </w:r>
          </w:p>
        </w:tc>
        <w:tc>
          <w:tcPr>
            <w:tcW w:type="dxa" w:w="3202"/>
            <w:shd w:fill="FFFFFF"/>
            <w:tcMar>
              <w:top w:w="60" w:type="dxa"/>
              <w:bottom w:w="60" w:type="dxa"/>
              <w:left w:w="100" w:type="dxa"/>
              <w:right w:w="100" w:type="dxa"/>
            </w:tcMar>
          </w:tcPr>
          <w:p>
            <w:pPr>
              <w:spacing w:before="20" w:after="20"/>
            </w:pPr>
            <w:r>
              <w:rPr>
                <w:color w:val="334155"/>
                <w:sz w:val="15"/>
              </w:rPr>
              <w:t>3</w:t>
            </w:r>
          </w:p>
        </w:tc>
      </w:tr>
      <w:tr>
        <w:tc>
          <w:tcPr>
            <w:tcW w:type="dxa" w:w="3202"/>
            <w:shd w:fill="F8FAFC"/>
            <w:tcMar>
              <w:top w:w="60" w:type="dxa"/>
              <w:bottom w:w="60" w:type="dxa"/>
              <w:left w:w="100" w:type="dxa"/>
              <w:right w:w="100" w:type="dxa"/>
            </w:tcMar>
          </w:tcPr>
          <w:p>
            <w:pPr>
              <w:spacing w:before="20" w:after="20"/>
            </w:pPr>
            <w:r>
              <w:rPr>
                <w:color w:val="334155"/>
                <w:sz w:val="15"/>
              </w:rPr>
              <w:t>1.3</w:t>
            </w:r>
          </w:p>
        </w:tc>
        <w:tc>
          <w:tcPr>
            <w:tcW w:type="dxa" w:w="3202"/>
            <w:shd w:fill="F8FAFC"/>
            <w:tcMar>
              <w:top w:w="60" w:type="dxa"/>
              <w:bottom w:w="60" w:type="dxa"/>
              <w:left w:w="100" w:type="dxa"/>
              <w:right w:w="100" w:type="dxa"/>
            </w:tcMar>
          </w:tcPr>
          <w:p>
            <w:pPr>
              <w:spacing w:before="20" w:after="20"/>
            </w:pPr>
            <w:r>
              <w:rPr>
                <w:color w:val="334155"/>
                <w:sz w:val="15"/>
              </w:rPr>
              <w:t>Core Project Objectives</w:t>
            </w:r>
          </w:p>
        </w:tc>
        <w:tc>
          <w:tcPr>
            <w:tcW w:type="dxa" w:w="3202"/>
            <w:shd w:fill="F8FAFC"/>
            <w:tcMar>
              <w:top w:w="60" w:type="dxa"/>
              <w:bottom w:w="60" w:type="dxa"/>
              <w:left w:w="100" w:type="dxa"/>
              <w:right w:w="100" w:type="dxa"/>
            </w:tcMar>
          </w:tcPr>
          <w:p>
            <w:pPr>
              <w:spacing w:before="20" w:after="20"/>
            </w:pPr>
            <w:r>
              <w:rPr>
                <w:color w:val="334155"/>
                <w:sz w:val="15"/>
              </w:rPr>
              <w:t>3</w:t>
            </w:r>
          </w:p>
        </w:tc>
      </w:tr>
      <w:tr>
        <w:tc>
          <w:tcPr>
            <w:tcW w:type="dxa" w:w="3202"/>
            <w:shd w:fill="FFFFFF"/>
            <w:tcMar>
              <w:top w:w="60" w:type="dxa"/>
              <w:bottom w:w="60" w:type="dxa"/>
              <w:left w:w="100" w:type="dxa"/>
              <w:right w:w="100" w:type="dxa"/>
            </w:tcMar>
          </w:tcPr>
          <w:p>
            <w:pPr>
              <w:spacing w:before="20" w:after="20"/>
            </w:pPr>
            <w:r>
              <w:rPr>
                <w:color w:val="334155"/>
                <w:sz w:val="15"/>
              </w:rPr>
              <w:t>1.4</w:t>
            </w:r>
          </w:p>
        </w:tc>
        <w:tc>
          <w:tcPr>
            <w:tcW w:type="dxa" w:w="3202"/>
            <w:shd w:fill="FFFFFF"/>
            <w:tcMar>
              <w:top w:w="60" w:type="dxa"/>
              <w:bottom w:w="60" w:type="dxa"/>
              <w:left w:w="100" w:type="dxa"/>
              <w:right w:w="100" w:type="dxa"/>
            </w:tcMar>
          </w:tcPr>
          <w:p>
            <w:pPr>
              <w:spacing w:before="20" w:after="20"/>
            </w:pPr>
            <w:r>
              <w:rPr>
                <w:color w:val="334155"/>
                <w:sz w:val="15"/>
              </w:rPr>
              <w:t>Key Engineering Contributions</w:t>
            </w:r>
          </w:p>
        </w:tc>
        <w:tc>
          <w:tcPr>
            <w:tcW w:type="dxa" w:w="3202"/>
            <w:shd w:fill="FFFFFF"/>
            <w:tcMar>
              <w:top w:w="60" w:type="dxa"/>
              <w:bottom w:w="60" w:type="dxa"/>
              <w:left w:w="100" w:type="dxa"/>
              <w:right w:w="100" w:type="dxa"/>
            </w:tcMar>
          </w:tcPr>
          <w:p>
            <w:pPr>
              <w:spacing w:before="20" w:after="20"/>
            </w:pPr>
            <w:r>
              <w:rPr>
                <w:color w:val="334155"/>
                <w:sz w:val="15"/>
              </w:rPr>
              <w:t>4</w:t>
            </w:r>
          </w:p>
        </w:tc>
      </w:tr>
      <w:tr>
        <w:tc>
          <w:tcPr>
            <w:tcW w:type="dxa" w:w="3202"/>
            <w:shd w:fill="F8FAFC"/>
            <w:tcMar>
              <w:top w:w="60" w:type="dxa"/>
              <w:bottom w:w="60" w:type="dxa"/>
              <w:left w:w="100" w:type="dxa"/>
              <w:right w:w="100" w:type="dxa"/>
            </w:tcMar>
          </w:tcPr>
          <w:p>
            <w:pPr>
              <w:spacing w:before="20" w:after="20"/>
            </w:pPr>
            <w:r>
              <w:rPr>
                <w:color w:val="334155"/>
                <w:sz w:val="15"/>
              </w:rPr>
              <w:t>**SECTION 2**</w:t>
            </w:r>
          </w:p>
        </w:tc>
        <w:tc>
          <w:tcPr>
            <w:tcW w:type="dxa" w:w="3202"/>
            <w:shd w:fill="F8FAFC"/>
            <w:tcMar>
              <w:top w:w="60" w:type="dxa"/>
              <w:bottom w:w="60" w:type="dxa"/>
              <w:left w:w="100" w:type="dxa"/>
              <w:right w:w="100" w:type="dxa"/>
            </w:tcMar>
          </w:tcPr>
          <w:p>
            <w:pPr>
              <w:spacing w:before="20" w:after="20"/>
            </w:pPr>
            <w:r>
              <w:rPr>
                <w:color w:val="334155"/>
                <w:sz w:val="15"/>
              </w:rPr>
              <w:t>**SYSTEM ARCHITECTURE &amp; COMPONENT INTERACTION**</w:t>
            </w:r>
          </w:p>
        </w:tc>
        <w:tc>
          <w:tcPr>
            <w:tcW w:type="dxa" w:w="3202"/>
            <w:shd w:fill="F8FAFC"/>
            <w:tcMar>
              <w:top w:w="60" w:type="dxa"/>
              <w:bottom w:w="60" w:type="dxa"/>
              <w:left w:w="100" w:type="dxa"/>
              <w:right w:w="100" w:type="dxa"/>
            </w:tcMar>
          </w:tcPr>
          <w:p>
            <w:pPr>
              <w:spacing w:before="20" w:after="20"/>
            </w:pPr>
            <w:r>
              <w:rPr>
                <w:color w:val="334155"/>
                <w:sz w:val="15"/>
              </w:rPr>
              <w:t>**4**</w:t>
            </w:r>
          </w:p>
        </w:tc>
      </w:tr>
      <w:tr>
        <w:tc>
          <w:tcPr>
            <w:tcW w:type="dxa" w:w="3202"/>
            <w:shd w:fill="FFFFFF"/>
            <w:tcMar>
              <w:top w:w="60" w:type="dxa"/>
              <w:bottom w:w="60" w:type="dxa"/>
              <w:left w:w="100" w:type="dxa"/>
              <w:right w:w="100" w:type="dxa"/>
            </w:tcMar>
          </w:tcPr>
          <w:p>
            <w:pPr>
              <w:spacing w:before="20" w:after="20"/>
            </w:pPr>
            <w:r>
              <w:rPr>
                <w:color w:val="334155"/>
                <w:sz w:val="15"/>
              </w:rPr>
              <w:t>2.1</w:t>
            </w:r>
          </w:p>
        </w:tc>
        <w:tc>
          <w:tcPr>
            <w:tcW w:type="dxa" w:w="3202"/>
            <w:shd w:fill="FFFFFF"/>
            <w:tcMar>
              <w:top w:w="60" w:type="dxa"/>
              <w:bottom w:w="60" w:type="dxa"/>
              <w:left w:w="100" w:type="dxa"/>
              <w:right w:w="100" w:type="dxa"/>
            </w:tcMar>
          </w:tcPr>
          <w:p>
            <w:pPr>
              <w:spacing w:before="20" w:after="20"/>
            </w:pPr>
            <w:r>
              <w:rPr>
                <w:color w:val="334155"/>
                <w:sz w:val="15"/>
              </w:rPr>
              <w:t>Multi-Tier Architectural Topology</w:t>
            </w:r>
          </w:p>
        </w:tc>
        <w:tc>
          <w:tcPr>
            <w:tcW w:type="dxa" w:w="3202"/>
            <w:shd w:fill="FFFFFF"/>
            <w:tcMar>
              <w:top w:w="60" w:type="dxa"/>
              <w:bottom w:w="60" w:type="dxa"/>
              <w:left w:w="100" w:type="dxa"/>
              <w:right w:w="100" w:type="dxa"/>
            </w:tcMar>
          </w:tcPr>
          <w:p>
            <w:pPr>
              <w:spacing w:before="20" w:after="20"/>
            </w:pPr>
            <w:r>
              <w:rPr>
                <w:color w:val="334155"/>
                <w:sz w:val="15"/>
              </w:rPr>
              <w:t>4</w:t>
            </w:r>
          </w:p>
        </w:tc>
      </w:tr>
      <w:tr>
        <w:tc>
          <w:tcPr>
            <w:tcW w:type="dxa" w:w="3202"/>
            <w:shd w:fill="F8FAFC"/>
            <w:tcMar>
              <w:top w:w="60" w:type="dxa"/>
              <w:bottom w:w="60" w:type="dxa"/>
              <w:left w:w="100" w:type="dxa"/>
              <w:right w:w="100" w:type="dxa"/>
            </w:tcMar>
          </w:tcPr>
          <w:p>
            <w:pPr>
              <w:spacing w:before="20" w:after="20"/>
            </w:pPr>
            <w:r>
              <w:rPr>
                <w:color w:val="334155"/>
                <w:sz w:val="15"/>
              </w:rPr>
              <w:t>2.2</w:t>
            </w:r>
          </w:p>
        </w:tc>
        <w:tc>
          <w:tcPr>
            <w:tcW w:type="dxa" w:w="3202"/>
            <w:shd w:fill="F8FAFC"/>
            <w:tcMar>
              <w:top w:w="60" w:type="dxa"/>
              <w:bottom w:w="60" w:type="dxa"/>
              <w:left w:w="100" w:type="dxa"/>
              <w:right w:w="100" w:type="dxa"/>
            </w:tcMar>
          </w:tcPr>
          <w:p>
            <w:pPr>
              <w:spacing w:before="20" w:after="20"/>
            </w:pPr>
            <w:r>
              <w:rPr>
                <w:color w:val="334155"/>
                <w:sz w:val="15"/>
              </w:rPr>
              <w:t>Technology Stack &amp; Design Rationale</w:t>
            </w:r>
          </w:p>
        </w:tc>
        <w:tc>
          <w:tcPr>
            <w:tcW w:type="dxa" w:w="3202"/>
            <w:shd w:fill="F8FAFC"/>
            <w:tcMar>
              <w:top w:w="60" w:type="dxa"/>
              <w:bottom w:w="60" w:type="dxa"/>
              <w:left w:w="100" w:type="dxa"/>
              <w:right w:w="100" w:type="dxa"/>
            </w:tcMar>
          </w:tcPr>
          <w:p>
            <w:pPr>
              <w:spacing w:before="20" w:after="20"/>
            </w:pPr>
            <w:r>
              <w:rPr>
                <w:color w:val="334155"/>
                <w:sz w:val="15"/>
              </w:rPr>
              <w:t>5</w:t>
            </w:r>
          </w:p>
        </w:tc>
      </w:tr>
      <w:tr>
        <w:tc>
          <w:tcPr>
            <w:tcW w:type="dxa" w:w="3202"/>
            <w:shd w:fill="FFFFFF"/>
            <w:tcMar>
              <w:top w:w="60" w:type="dxa"/>
              <w:bottom w:w="60" w:type="dxa"/>
              <w:left w:w="100" w:type="dxa"/>
              <w:right w:w="100" w:type="dxa"/>
            </w:tcMar>
          </w:tcPr>
          <w:p>
            <w:pPr>
              <w:spacing w:before="20" w:after="20"/>
            </w:pPr>
            <w:r>
              <w:rPr>
                <w:color w:val="334155"/>
                <w:sz w:val="15"/>
              </w:rPr>
              <w:t>2.3</w:t>
            </w:r>
          </w:p>
        </w:tc>
        <w:tc>
          <w:tcPr>
            <w:tcW w:type="dxa" w:w="3202"/>
            <w:shd w:fill="FFFFFF"/>
            <w:tcMar>
              <w:top w:w="60" w:type="dxa"/>
              <w:bottom w:w="60" w:type="dxa"/>
              <w:left w:w="100" w:type="dxa"/>
              <w:right w:w="100" w:type="dxa"/>
            </w:tcMar>
          </w:tcPr>
          <w:p>
            <w:pPr>
              <w:spacing w:before="20" w:after="20"/>
            </w:pPr>
            <w:r>
              <w:rPr>
                <w:color w:val="334155"/>
                <w:sz w:val="15"/>
              </w:rPr>
              <w:t>Inter-Service Communication &amp; Data Flow</w:t>
            </w:r>
          </w:p>
        </w:tc>
        <w:tc>
          <w:tcPr>
            <w:tcW w:type="dxa" w:w="3202"/>
            <w:shd w:fill="FFFFFF"/>
            <w:tcMar>
              <w:top w:w="60" w:type="dxa"/>
              <w:bottom w:w="60" w:type="dxa"/>
              <w:left w:w="100" w:type="dxa"/>
              <w:right w:w="100" w:type="dxa"/>
            </w:tcMar>
          </w:tcPr>
          <w:p>
            <w:pPr>
              <w:spacing w:before="20" w:after="20"/>
            </w:pPr>
            <w:r>
              <w:rPr>
                <w:color w:val="334155"/>
                <w:sz w:val="15"/>
              </w:rPr>
              <w:t>5</w:t>
            </w:r>
          </w:p>
        </w:tc>
      </w:tr>
      <w:tr>
        <w:tc>
          <w:tcPr>
            <w:tcW w:type="dxa" w:w="3202"/>
            <w:shd w:fill="F8FAFC"/>
            <w:tcMar>
              <w:top w:w="60" w:type="dxa"/>
              <w:bottom w:w="60" w:type="dxa"/>
              <w:left w:w="100" w:type="dxa"/>
              <w:right w:w="100" w:type="dxa"/>
            </w:tcMar>
          </w:tcPr>
          <w:p>
            <w:pPr>
              <w:spacing w:before="20" w:after="20"/>
            </w:pPr>
            <w:r>
              <w:rPr>
                <w:color w:val="334155"/>
                <w:sz w:val="15"/>
              </w:rPr>
              <w:t>**SECTION 3**</w:t>
            </w:r>
          </w:p>
        </w:tc>
        <w:tc>
          <w:tcPr>
            <w:tcW w:type="dxa" w:w="3202"/>
            <w:shd w:fill="F8FAFC"/>
            <w:tcMar>
              <w:top w:w="60" w:type="dxa"/>
              <w:bottom w:w="60" w:type="dxa"/>
              <w:left w:w="100" w:type="dxa"/>
              <w:right w:w="100" w:type="dxa"/>
            </w:tcMar>
          </w:tcPr>
          <w:p>
            <w:pPr>
              <w:spacing w:before="20" w:after="20"/>
            </w:pPr>
            <w:r>
              <w:rPr>
                <w:color w:val="334155"/>
                <w:sz w:val="15"/>
              </w:rPr>
              <w:t>**RECEIPT OCR &amp; DETERMINISTIC BILL SPLITTING**</w:t>
            </w:r>
          </w:p>
        </w:tc>
        <w:tc>
          <w:tcPr>
            <w:tcW w:type="dxa" w:w="3202"/>
            <w:shd w:fill="F8FAFC"/>
            <w:tcMar>
              <w:top w:w="60" w:type="dxa"/>
              <w:bottom w:w="60" w:type="dxa"/>
              <w:left w:w="100" w:type="dxa"/>
              <w:right w:w="100" w:type="dxa"/>
            </w:tcMar>
          </w:tcPr>
          <w:p>
            <w:pPr>
              <w:spacing w:before="20" w:after="20"/>
            </w:pPr>
            <w:r>
              <w:rPr>
                <w:color w:val="334155"/>
                <w:sz w:val="15"/>
              </w:rPr>
              <w:t>**6**</w:t>
            </w:r>
          </w:p>
        </w:tc>
      </w:tr>
      <w:tr>
        <w:tc>
          <w:tcPr>
            <w:tcW w:type="dxa" w:w="3202"/>
            <w:shd w:fill="FFFFFF"/>
            <w:tcMar>
              <w:top w:w="60" w:type="dxa"/>
              <w:bottom w:w="60" w:type="dxa"/>
              <w:left w:w="100" w:type="dxa"/>
              <w:right w:w="100" w:type="dxa"/>
            </w:tcMar>
          </w:tcPr>
          <w:p>
            <w:pPr>
              <w:spacing w:before="20" w:after="20"/>
            </w:pPr>
            <w:r>
              <w:rPr>
                <w:color w:val="334155"/>
                <w:sz w:val="15"/>
              </w:rPr>
              <w:t>3.1</w:t>
            </w:r>
          </w:p>
        </w:tc>
        <w:tc>
          <w:tcPr>
            <w:tcW w:type="dxa" w:w="3202"/>
            <w:shd w:fill="FFFFFF"/>
            <w:tcMar>
              <w:top w:w="60" w:type="dxa"/>
              <w:bottom w:w="60" w:type="dxa"/>
              <w:left w:w="100" w:type="dxa"/>
              <w:right w:w="100" w:type="dxa"/>
            </w:tcMar>
          </w:tcPr>
          <w:p>
            <w:pPr>
              <w:spacing w:before="20" w:after="20"/>
            </w:pPr>
            <w:r>
              <w:rPr>
                <w:color w:val="334155"/>
                <w:sz w:val="15"/>
              </w:rPr>
              <w:t>Visual Capture &amp; PaddleOCR Text Recognition</w:t>
            </w:r>
          </w:p>
        </w:tc>
        <w:tc>
          <w:tcPr>
            <w:tcW w:type="dxa" w:w="3202"/>
            <w:shd w:fill="FFFFFF"/>
            <w:tcMar>
              <w:top w:w="60" w:type="dxa"/>
              <w:bottom w:w="60" w:type="dxa"/>
              <w:left w:w="100" w:type="dxa"/>
              <w:right w:w="100" w:type="dxa"/>
            </w:tcMar>
          </w:tcPr>
          <w:p>
            <w:pPr>
              <w:spacing w:before="20" w:after="20"/>
            </w:pPr>
            <w:r>
              <w:rPr>
                <w:color w:val="334155"/>
                <w:sz w:val="15"/>
              </w:rPr>
              <w:t>6</w:t>
            </w:r>
          </w:p>
        </w:tc>
      </w:tr>
      <w:tr>
        <w:tc>
          <w:tcPr>
            <w:tcW w:type="dxa" w:w="3202"/>
            <w:shd w:fill="F8FAFC"/>
            <w:tcMar>
              <w:top w:w="60" w:type="dxa"/>
              <w:bottom w:w="60" w:type="dxa"/>
              <w:left w:w="100" w:type="dxa"/>
              <w:right w:w="100" w:type="dxa"/>
            </w:tcMar>
          </w:tcPr>
          <w:p>
            <w:pPr>
              <w:spacing w:before="20" w:after="20"/>
            </w:pPr>
            <w:r>
              <w:rPr>
                <w:color w:val="334155"/>
                <w:sz w:val="15"/>
              </w:rPr>
              <w:t>3.2</w:t>
            </w:r>
          </w:p>
        </w:tc>
        <w:tc>
          <w:tcPr>
            <w:tcW w:type="dxa" w:w="3202"/>
            <w:shd w:fill="F8FAFC"/>
            <w:tcMar>
              <w:top w:w="60" w:type="dxa"/>
              <w:bottom w:w="60" w:type="dxa"/>
              <w:left w:w="100" w:type="dxa"/>
              <w:right w:w="100" w:type="dxa"/>
            </w:tcMar>
          </w:tcPr>
          <w:p>
            <w:pPr>
              <w:spacing w:before="20" w:after="20"/>
            </w:pPr>
            <w:r>
              <w:rPr>
                <w:color w:val="334155"/>
                <w:sz w:val="15"/>
              </w:rPr>
              <w:t>Spatial Reading-Order Layout Sorting</w:t>
            </w:r>
          </w:p>
        </w:tc>
        <w:tc>
          <w:tcPr>
            <w:tcW w:type="dxa" w:w="3202"/>
            <w:shd w:fill="F8FAFC"/>
            <w:tcMar>
              <w:top w:w="60" w:type="dxa"/>
              <w:bottom w:w="60" w:type="dxa"/>
              <w:left w:w="100" w:type="dxa"/>
              <w:right w:w="100" w:type="dxa"/>
            </w:tcMar>
          </w:tcPr>
          <w:p>
            <w:pPr>
              <w:spacing w:before="20" w:after="20"/>
            </w:pPr>
            <w:r>
              <w:rPr>
                <w:color w:val="334155"/>
                <w:sz w:val="15"/>
              </w:rPr>
              <w:t>6</w:t>
            </w:r>
          </w:p>
        </w:tc>
      </w:tr>
      <w:tr>
        <w:tc>
          <w:tcPr>
            <w:tcW w:type="dxa" w:w="3202"/>
            <w:shd w:fill="FFFFFF"/>
            <w:tcMar>
              <w:top w:w="60" w:type="dxa"/>
              <w:bottom w:w="60" w:type="dxa"/>
              <w:left w:w="100" w:type="dxa"/>
              <w:right w:w="100" w:type="dxa"/>
            </w:tcMar>
          </w:tcPr>
          <w:p>
            <w:pPr>
              <w:spacing w:before="20" w:after="20"/>
            </w:pPr>
            <w:r>
              <w:rPr>
                <w:color w:val="334155"/>
                <w:sz w:val="15"/>
              </w:rPr>
              <w:t>3.3</w:t>
            </w:r>
          </w:p>
        </w:tc>
        <w:tc>
          <w:tcPr>
            <w:tcW w:type="dxa" w:w="3202"/>
            <w:shd w:fill="FFFFFF"/>
            <w:tcMar>
              <w:top w:w="60" w:type="dxa"/>
              <w:bottom w:w="60" w:type="dxa"/>
              <w:left w:w="100" w:type="dxa"/>
              <w:right w:w="100" w:type="dxa"/>
            </w:tcMar>
          </w:tcPr>
          <w:p>
            <w:pPr>
              <w:spacing w:before="20" w:after="20"/>
            </w:pPr>
            <w:r>
              <w:rPr>
                <w:color w:val="334155"/>
                <w:sz w:val="15"/>
              </w:rPr>
              <w:t>Resilient LLM Routing &amp; Structured Extraction</w:t>
            </w:r>
          </w:p>
        </w:tc>
        <w:tc>
          <w:tcPr>
            <w:tcW w:type="dxa" w:w="3202"/>
            <w:shd w:fill="FFFFFF"/>
            <w:tcMar>
              <w:top w:w="60" w:type="dxa"/>
              <w:bottom w:w="60" w:type="dxa"/>
              <w:left w:w="100" w:type="dxa"/>
              <w:right w:w="100" w:type="dxa"/>
            </w:tcMar>
          </w:tcPr>
          <w:p>
            <w:pPr>
              <w:spacing w:before="20" w:after="20"/>
            </w:pPr>
            <w:r>
              <w:rPr>
                <w:color w:val="334155"/>
                <w:sz w:val="15"/>
              </w:rPr>
              <w:t>6</w:t>
            </w:r>
          </w:p>
        </w:tc>
      </w:tr>
      <w:tr>
        <w:tc>
          <w:tcPr>
            <w:tcW w:type="dxa" w:w="3202"/>
            <w:shd w:fill="F8FAFC"/>
            <w:tcMar>
              <w:top w:w="60" w:type="dxa"/>
              <w:bottom w:w="60" w:type="dxa"/>
              <w:left w:w="100" w:type="dxa"/>
              <w:right w:w="100" w:type="dxa"/>
            </w:tcMar>
          </w:tcPr>
          <w:p>
            <w:pPr>
              <w:spacing w:before="20" w:after="20"/>
            </w:pPr>
            <w:r>
              <w:rPr>
                <w:color w:val="334155"/>
                <w:sz w:val="15"/>
              </w:rPr>
              <w:t>3.4</w:t>
            </w:r>
          </w:p>
        </w:tc>
        <w:tc>
          <w:tcPr>
            <w:tcW w:type="dxa" w:w="3202"/>
            <w:shd w:fill="F8FAFC"/>
            <w:tcMar>
              <w:top w:w="60" w:type="dxa"/>
              <w:bottom w:w="60" w:type="dxa"/>
              <w:left w:w="100" w:type="dxa"/>
              <w:right w:w="100" w:type="dxa"/>
            </w:tcMar>
          </w:tcPr>
          <w:p>
            <w:pPr>
              <w:spacing w:before="20" w:after="20"/>
            </w:pPr>
            <w:r>
              <w:rPr>
                <w:color w:val="334155"/>
                <w:sz w:val="15"/>
              </w:rPr>
              <w:t>Proportional Tax Allocation &amp; Penny Reconciliation</w:t>
            </w:r>
          </w:p>
        </w:tc>
        <w:tc>
          <w:tcPr>
            <w:tcW w:type="dxa" w:w="3202"/>
            <w:shd w:fill="F8FAFC"/>
            <w:tcMar>
              <w:top w:w="60" w:type="dxa"/>
              <w:bottom w:w="60" w:type="dxa"/>
              <w:left w:w="100" w:type="dxa"/>
              <w:right w:w="100" w:type="dxa"/>
            </w:tcMar>
          </w:tcPr>
          <w:p>
            <w:pPr>
              <w:spacing w:before="20" w:after="20"/>
            </w:pPr>
            <w:r>
              <w:rPr>
                <w:color w:val="334155"/>
                <w:sz w:val="15"/>
              </w:rPr>
              <w:t>7</w:t>
            </w:r>
          </w:p>
        </w:tc>
      </w:tr>
      <w:tr>
        <w:tc>
          <w:tcPr>
            <w:tcW w:type="dxa" w:w="3202"/>
            <w:shd w:fill="FFFFFF"/>
            <w:tcMar>
              <w:top w:w="60" w:type="dxa"/>
              <w:bottom w:w="60" w:type="dxa"/>
              <w:left w:w="100" w:type="dxa"/>
              <w:right w:w="100" w:type="dxa"/>
            </w:tcMar>
          </w:tcPr>
          <w:p>
            <w:pPr>
              <w:spacing w:before="20" w:after="20"/>
            </w:pPr>
            <w:r>
              <w:rPr>
                <w:color w:val="334155"/>
                <w:sz w:val="15"/>
              </w:rPr>
              <w:t>**SECTION 4**</w:t>
            </w:r>
          </w:p>
        </w:tc>
        <w:tc>
          <w:tcPr>
            <w:tcW w:type="dxa" w:w="3202"/>
            <w:shd w:fill="FFFFFF"/>
            <w:tcMar>
              <w:top w:w="60" w:type="dxa"/>
              <w:bottom w:w="60" w:type="dxa"/>
              <w:left w:w="100" w:type="dxa"/>
              <w:right w:w="100" w:type="dxa"/>
            </w:tcMar>
          </w:tcPr>
          <w:p>
            <w:pPr>
              <w:spacing w:before="20" w:after="20"/>
            </w:pPr>
            <w:r>
              <w:rPr>
                <w:color w:val="334155"/>
                <w:sz w:val="15"/>
              </w:rPr>
              <w:t>**CATEGORIZATION, BUDGETING &amp; SPENDING INSIGHTS**</w:t>
            </w:r>
          </w:p>
        </w:tc>
        <w:tc>
          <w:tcPr>
            <w:tcW w:type="dxa" w:w="3202"/>
            <w:shd w:fill="FFFFFF"/>
            <w:tcMar>
              <w:top w:w="60" w:type="dxa"/>
              <w:bottom w:w="60" w:type="dxa"/>
              <w:left w:w="100" w:type="dxa"/>
              <w:right w:w="100" w:type="dxa"/>
            </w:tcMar>
          </w:tcPr>
          <w:p>
            <w:pPr>
              <w:spacing w:before="20" w:after="20"/>
            </w:pPr>
            <w:r>
              <w:rPr>
                <w:color w:val="334155"/>
                <w:sz w:val="15"/>
              </w:rPr>
              <w:t>**8**</w:t>
            </w:r>
          </w:p>
        </w:tc>
      </w:tr>
      <w:tr>
        <w:tc>
          <w:tcPr>
            <w:tcW w:type="dxa" w:w="3202"/>
            <w:shd w:fill="F8FAFC"/>
            <w:tcMar>
              <w:top w:w="60" w:type="dxa"/>
              <w:bottom w:w="60" w:type="dxa"/>
              <w:left w:w="100" w:type="dxa"/>
              <w:right w:w="100" w:type="dxa"/>
            </w:tcMar>
          </w:tcPr>
          <w:p>
            <w:pPr>
              <w:spacing w:before="20" w:after="20"/>
            </w:pPr>
            <w:r>
              <w:rPr>
                <w:color w:val="334155"/>
                <w:sz w:val="15"/>
              </w:rPr>
              <w:t>4.1</w:t>
            </w:r>
          </w:p>
        </w:tc>
        <w:tc>
          <w:tcPr>
            <w:tcW w:type="dxa" w:w="3202"/>
            <w:shd w:fill="F8FAFC"/>
            <w:tcMar>
              <w:top w:w="60" w:type="dxa"/>
              <w:bottom w:w="60" w:type="dxa"/>
              <w:left w:w="100" w:type="dxa"/>
              <w:right w:w="100" w:type="dxa"/>
            </w:tcMar>
          </w:tcPr>
          <w:p>
            <w:pPr>
              <w:spacing w:before="20" w:after="20"/>
            </w:pPr>
            <w:r>
              <w:rPr>
                <w:color w:val="334155"/>
                <w:sz w:val="15"/>
              </w:rPr>
              <w:t>Automatic Classification into 11 Canonical Categories</w:t>
            </w:r>
          </w:p>
        </w:tc>
        <w:tc>
          <w:tcPr>
            <w:tcW w:type="dxa" w:w="3202"/>
            <w:shd w:fill="F8FAFC"/>
            <w:tcMar>
              <w:top w:w="60" w:type="dxa"/>
              <w:bottom w:w="60" w:type="dxa"/>
              <w:left w:w="100" w:type="dxa"/>
              <w:right w:w="100" w:type="dxa"/>
            </w:tcMar>
          </w:tcPr>
          <w:p>
            <w:pPr>
              <w:spacing w:before="20" w:after="20"/>
            </w:pPr>
            <w:r>
              <w:rPr>
                <w:color w:val="334155"/>
                <w:sz w:val="15"/>
              </w:rPr>
              <w:t>8</w:t>
            </w:r>
          </w:p>
        </w:tc>
      </w:tr>
      <w:tr>
        <w:tc>
          <w:tcPr>
            <w:tcW w:type="dxa" w:w="3202"/>
            <w:shd w:fill="FFFFFF"/>
            <w:tcMar>
              <w:top w:w="60" w:type="dxa"/>
              <w:bottom w:w="60" w:type="dxa"/>
              <w:left w:w="100" w:type="dxa"/>
              <w:right w:w="100" w:type="dxa"/>
            </w:tcMar>
          </w:tcPr>
          <w:p>
            <w:pPr>
              <w:spacing w:before="20" w:after="20"/>
            </w:pPr>
            <w:r>
              <w:rPr>
                <w:color w:val="334155"/>
                <w:sz w:val="15"/>
              </w:rPr>
              <w:t>4.2</w:t>
            </w:r>
          </w:p>
        </w:tc>
        <w:tc>
          <w:tcPr>
            <w:tcW w:type="dxa" w:w="3202"/>
            <w:shd w:fill="FFFFFF"/>
            <w:tcMar>
              <w:top w:w="60" w:type="dxa"/>
              <w:bottom w:w="60" w:type="dxa"/>
              <w:left w:w="100" w:type="dxa"/>
              <w:right w:w="100" w:type="dxa"/>
            </w:tcMar>
          </w:tcPr>
          <w:p>
            <w:pPr>
              <w:spacing w:before="20" w:after="20"/>
            </w:pPr>
            <w:r>
              <w:rPr>
                <w:color w:val="334155"/>
                <w:sz w:val="15"/>
              </w:rPr>
              <w:t>Monthly &amp; Category Envelope Budgeting</w:t>
            </w:r>
          </w:p>
        </w:tc>
        <w:tc>
          <w:tcPr>
            <w:tcW w:type="dxa" w:w="3202"/>
            <w:shd w:fill="FFFFFF"/>
            <w:tcMar>
              <w:top w:w="60" w:type="dxa"/>
              <w:bottom w:w="60" w:type="dxa"/>
              <w:left w:w="100" w:type="dxa"/>
              <w:right w:w="100" w:type="dxa"/>
            </w:tcMar>
          </w:tcPr>
          <w:p>
            <w:pPr>
              <w:spacing w:before="20" w:after="20"/>
            </w:pPr>
            <w:r>
              <w:rPr>
                <w:color w:val="334155"/>
                <w:sz w:val="15"/>
              </w:rPr>
              <w:t>9</w:t>
            </w:r>
          </w:p>
        </w:tc>
      </w:tr>
      <w:tr>
        <w:tc>
          <w:tcPr>
            <w:tcW w:type="dxa" w:w="3202"/>
            <w:shd w:fill="F8FAFC"/>
            <w:tcMar>
              <w:top w:w="60" w:type="dxa"/>
              <w:bottom w:w="60" w:type="dxa"/>
              <w:left w:w="100" w:type="dxa"/>
              <w:right w:w="100" w:type="dxa"/>
            </w:tcMar>
          </w:tcPr>
          <w:p>
            <w:pPr>
              <w:spacing w:before="20" w:after="20"/>
            </w:pPr>
            <w:r>
              <w:rPr>
                <w:color w:val="334155"/>
                <w:sz w:val="15"/>
              </w:rPr>
              <w:t>4.3</w:t>
            </w:r>
          </w:p>
        </w:tc>
        <w:tc>
          <w:tcPr>
            <w:tcW w:type="dxa" w:w="3202"/>
            <w:shd w:fill="F8FAFC"/>
            <w:tcMar>
              <w:top w:w="60" w:type="dxa"/>
              <w:bottom w:w="60" w:type="dxa"/>
              <w:left w:w="100" w:type="dxa"/>
              <w:right w:w="100" w:type="dxa"/>
            </w:tcMar>
          </w:tcPr>
          <w:p>
            <w:pPr>
              <w:spacing w:before="20" w:after="20"/>
            </w:pPr>
            <w:r>
              <w:rPr>
                <w:color w:val="334155"/>
                <w:sz w:val="15"/>
              </w:rPr>
              <w:t>Decoupled Natural Language Spending Insights</w:t>
            </w:r>
          </w:p>
        </w:tc>
        <w:tc>
          <w:tcPr>
            <w:tcW w:type="dxa" w:w="3202"/>
            <w:shd w:fill="F8FAFC"/>
            <w:tcMar>
              <w:top w:w="60" w:type="dxa"/>
              <w:bottom w:w="60" w:type="dxa"/>
              <w:left w:w="100" w:type="dxa"/>
              <w:right w:w="100" w:type="dxa"/>
            </w:tcMar>
          </w:tcPr>
          <w:p>
            <w:pPr>
              <w:spacing w:before="20" w:after="20"/>
            </w:pPr>
            <w:r>
              <w:rPr>
                <w:color w:val="334155"/>
                <w:sz w:val="15"/>
              </w:rPr>
              <w:t>10</w:t>
            </w:r>
          </w:p>
        </w:tc>
      </w:tr>
      <w:tr>
        <w:tc>
          <w:tcPr>
            <w:tcW w:type="dxa" w:w="3202"/>
            <w:shd w:fill="FFFFFF"/>
            <w:tcMar>
              <w:top w:w="60" w:type="dxa"/>
              <w:bottom w:w="60" w:type="dxa"/>
              <w:left w:w="100" w:type="dxa"/>
              <w:right w:w="100" w:type="dxa"/>
            </w:tcMar>
          </w:tcPr>
          <w:p>
            <w:pPr>
              <w:spacing w:before="20" w:after="20"/>
            </w:pPr>
            <w:r>
              <w:rPr>
                <w:color w:val="334155"/>
                <w:sz w:val="15"/>
              </w:rPr>
              <w:t>**SECTION 5**</w:t>
            </w:r>
          </w:p>
        </w:tc>
        <w:tc>
          <w:tcPr>
            <w:tcW w:type="dxa" w:w="3202"/>
            <w:shd w:fill="FFFFFF"/>
            <w:tcMar>
              <w:top w:w="60" w:type="dxa"/>
              <w:bottom w:w="60" w:type="dxa"/>
              <w:left w:w="100" w:type="dxa"/>
              <w:right w:w="100" w:type="dxa"/>
            </w:tcMar>
          </w:tcPr>
          <w:p>
            <w:pPr>
              <w:spacing w:before="20" w:after="20"/>
            </w:pPr>
            <w:r>
              <w:rPr>
                <w:color w:val="334155"/>
                <w:sz w:val="15"/>
              </w:rPr>
              <w:t>**STATISTICAL ANOMALIES &amp; EXPENDITURE FORECASTING**</w:t>
            </w:r>
          </w:p>
        </w:tc>
        <w:tc>
          <w:tcPr>
            <w:tcW w:type="dxa" w:w="3202"/>
            <w:shd w:fill="FFFFFF"/>
            <w:tcMar>
              <w:top w:w="60" w:type="dxa"/>
              <w:bottom w:w="60" w:type="dxa"/>
              <w:left w:w="100" w:type="dxa"/>
              <w:right w:w="100" w:type="dxa"/>
            </w:tcMar>
          </w:tcPr>
          <w:p>
            <w:pPr>
              <w:spacing w:before="20" w:after="20"/>
            </w:pPr>
            <w:r>
              <w:rPr>
                <w:color w:val="334155"/>
                <w:sz w:val="15"/>
              </w:rPr>
              <w:t>**10**</w:t>
            </w:r>
          </w:p>
        </w:tc>
      </w:tr>
      <w:tr>
        <w:tc>
          <w:tcPr>
            <w:tcW w:type="dxa" w:w="3202"/>
            <w:shd w:fill="F8FAFC"/>
            <w:tcMar>
              <w:top w:w="60" w:type="dxa"/>
              <w:bottom w:w="60" w:type="dxa"/>
              <w:left w:w="100" w:type="dxa"/>
              <w:right w:w="100" w:type="dxa"/>
            </w:tcMar>
          </w:tcPr>
          <w:p>
            <w:pPr>
              <w:spacing w:before="20" w:after="20"/>
            </w:pPr>
            <w:r>
              <w:rPr>
                <w:color w:val="334155"/>
                <w:sz w:val="15"/>
              </w:rPr>
              <w:t>5.1</w:t>
            </w:r>
          </w:p>
        </w:tc>
        <w:tc>
          <w:tcPr>
            <w:tcW w:type="dxa" w:w="3202"/>
            <w:shd w:fill="F8FAFC"/>
            <w:tcMar>
              <w:top w:w="60" w:type="dxa"/>
              <w:bottom w:w="60" w:type="dxa"/>
              <w:left w:w="100" w:type="dxa"/>
              <w:right w:w="100" w:type="dxa"/>
            </w:tcMar>
          </w:tcPr>
          <w:p>
            <w:pPr>
              <w:spacing w:before="20" w:after="20"/>
            </w:pPr>
            <w:r>
              <w:rPr>
                <w:color w:val="334155"/>
                <w:sz w:val="15"/>
              </w:rPr>
              <w:t>Leave-One-Out (LOO) Statistical Outlier Detection</w:t>
            </w:r>
          </w:p>
        </w:tc>
        <w:tc>
          <w:tcPr>
            <w:tcW w:type="dxa" w:w="3202"/>
            <w:shd w:fill="F8FAFC"/>
            <w:tcMar>
              <w:top w:w="60" w:type="dxa"/>
              <w:bottom w:w="60" w:type="dxa"/>
              <w:left w:w="100" w:type="dxa"/>
              <w:right w:w="100" w:type="dxa"/>
            </w:tcMar>
          </w:tcPr>
          <w:p>
            <w:pPr>
              <w:spacing w:before="20" w:after="20"/>
            </w:pPr>
            <w:r>
              <w:rPr>
                <w:color w:val="334155"/>
                <w:sz w:val="15"/>
              </w:rPr>
              <w:t>10</w:t>
            </w:r>
          </w:p>
        </w:tc>
      </w:tr>
      <w:tr>
        <w:tc>
          <w:tcPr>
            <w:tcW w:type="dxa" w:w="3202"/>
            <w:shd w:fill="FFFFFF"/>
            <w:tcMar>
              <w:top w:w="60" w:type="dxa"/>
              <w:bottom w:w="60" w:type="dxa"/>
              <w:left w:w="100" w:type="dxa"/>
              <w:right w:w="100" w:type="dxa"/>
            </w:tcMar>
          </w:tcPr>
          <w:p>
            <w:pPr>
              <w:spacing w:before="20" w:after="20"/>
            </w:pPr>
            <w:r>
              <w:rPr>
                <w:color w:val="334155"/>
                <w:sz w:val="15"/>
              </w:rPr>
              <w:t>5.2</w:t>
            </w:r>
          </w:p>
        </w:tc>
        <w:tc>
          <w:tcPr>
            <w:tcW w:type="dxa" w:w="3202"/>
            <w:shd w:fill="FFFFFF"/>
            <w:tcMar>
              <w:top w:w="60" w:type="dxa"/>
              <w:bottom w:w="60" w:type="dxa"/>
              <w:left w:w="100" w:type="dxa"/>
              <w:right w:w="100" w:type="dxa"/>
            </w:tcMar>
          </w:tcPr>
          <w:p>
            <w:pPr>
              <w:spacing w:before="20" w:after="20"/>
            </w:pPr>
            <w:r>
              <w:rPr>
                <w:color w:val="334155"/>
                <w:sz w:val="15"/>
              </w:rPr>
              <w:t>Time-Series Expenditure Forecasting with Meta Prophet</w:t>
            </w:r>
          </w:p>
        </w:tc>
        <w:tc>
          <w:tcPr>
            <w:tcW w:type="dxa" w:w="3202"/>
            <w:shd w:fill="FFFFFF"/>
            <w:tcMar>
              <w:top w:w="60" w:type="dxa"/>
              <w:bottom w:w="60" w:type="dxa"/>
              <w:left w:w="100" w:type="dxa"/>
              <w:right w:w="100" w:type="dxa"/>
            </w:tcMar>
          </w:tcPr>
          <w:p>
            <w:pPr>
              <w:spacing w:before="20" w:after="20"/>
            </w:pPr>
            <w:r>
              <w:rPr>
                <w:color w:val="334155"/>
                <w:sz w:val="15"/>
              </w:rPr>
              <w:t>11</w:t>
            </w:r>
          </w:p>
        </w:tc>
      </w:tr>
      <w:tr>
        <w:tc>
          <w:tcPr>
            <w:tcW w:type="dxa" w:w="3202"/>
            <w:shd w:fill="F8FAFC"/>
            <w:tcMar>
              <w:top w:w="60" w:type="dxa"/>
              <w:bottom w:w="60" w:type="dxa"/>
              <w:left w:w="100" w:type="dxa"/>
              <w:right w:w="100" w:type="dxa"/>
            </w:tcMar>
          </w:tcPr>
          <w:p>
            <w:pPr>
              <w:spacing w:before="20" w:after="20"/>
            </w:pPr>
            <w:r>
              <w:rPr>
                <w:color w:val="334155"/>
                <w:sz w:val="15"/>
              </w:rPr>
              <w:t>**SECTION 6**</w:t>
            </w:r>
          </w:p>
        </w:tc>
        <w:tc>
          <w:tcPr>
            <w:tcW w:type="dxa" w:w="3202"/>
            <w:shd w:fill="F8FAFC"/>
            <w:tcMar>
              <w:top w:w="60" w:type="dxa"/>
              <w:bottom w:w="60" w:type="dxa"/>
              <w:left w:w="100" w:type="dxa"/>
              <w:right w:w="100" w:type="dxa"/>
            </w:tcMar>
          </w:tcPr>
          <w:p>
            <w:pPr>
              <w:spacing w:before="20" w:after="20"/>
            </w:pPr>
            <w:r>
              <w:rPr>
                <w:color w:val="334155"/>
                <w:sz w:val="15"/>
              </w:rPr>
              <w:t>**GROUP DEBT SIMPLIFICATION &amp; SETTLEMENT TRACKING**</w:t>
            </w:r>
          </w:p>
        </w:tc>
        <w:tc>
          <w:tcPr>
            <w:tcW w:type="dxa" w:w="3202"/>
            <w:shd w:fill="F8FAFC"/>
            <w:tcMar>
              <w:top w:w="60" w:type="dxa"/>
              <w:bottom w:w="60" w:type="dxa"/>
              <w:left w:w="100" w:type="dxa"/>
              <w:right w:w="100" w:type="dxa"/>
            </w:tcMar>
          </w:tcPr>
          <w:p>
            <w:pPr>
              <w:spacing w:before="20" w:after="20"/>
            </w:pPr>
            <w:r>
              <w:rPr>
                <w:color w:val="334155"/>
                <w:sz w:val="15"/>
              </w:rPr>
              <w:t>**12**</w:t>
            </w:r>
          </w:p>
        </w:tc>
      </w:tr>
      <w:tr>
        <w:tc>
          <w:tcPr>
            <w:tcW w:type="dxa" w:w="3202"/>
            <w:shd w:fill="FFFFFF"/>
            <w:tcMar>
              <w:top w:w="60" w:type="dxa"/>
              <w:bottom w:w="60" w:type="dxa"/>
              <w:left w:w="100" w:type="dxa"/>
              <w:right w:w="100" w:type="dxa"/>
            </w:tcMar>
          </w:tcPr>
          <w:p>
            <w:pPr>
              <w:spacing w:before="20" w:after="20"/>
            </w:pPr>
            <w:r>
              <w:rPr>
                <w:color w:val="334155"/>
                <w:sz w:val="15"/>
              </w:rPr>
              <w:t>6.1</w:t>
            </w:r>
          </w:p>
        </w:tc>
        <w:tc>
          <w:tcPr>
            <w:tcW w:type="dxa" w:w="3202"/>
            <w:shd w:fill="FFFFFF"/>
            <w:tcMar>
              <w:top w:w="60" w:type="dxa"/>
              <w:bottom w:w="60" w:type="dxa"/>
              <w:left w:w="100" w:type="dxa"/>
              <w:right w:w="100" w:type="dxa"/>
            </w:tcMar>
          </w:tcPr>
          <w:p>
            <w:pPr>
              <w:spacing w:before="20" w:after="20"/>
            </w:pPr>
            <w:r>
              <w:rPr>
                <w:color w:val="334155"/>
                <w:sz w:val="15"/>
              </w:rPr>
              <w:t>Greedy Debt Simplification with Bipartite Matching</w:t>
            </w:r>
          </w:p>
        </w:tc>
        <w:tc>
          <w:tcPr>
            <w:tcW w:type="dxa" w:w="3202"/>
            <w:shd w:fill="FFFFFF"/>
            <w:tcMar>
              <w:top w:w="60" w:type="dxa"/>
              <w:bottom w:w="60" w:type="dxa"/>
              <w:left w:w="100" w:type="dxa"/>
              <w:right w:w="100" w:type="dxa"/>
            </w:tcMar>
          </w:tcPr>
          <w:p>
            <w:pPr>
              <w:spacing w:before="20" w:after="20"/>
            </w:pPr>
            <w:r>
              <w:rPr>
                <w:color w:val="334155"/>
                <w:sz w:val="15"/>
              </w:rPr>
              <w:t>12</w:t>
            </w:r>
          </w:p>
        </w:tc>
      </w:tr>
      <w:tr>
        <w:tc>
          <w:tcPr>
            <w:tcW w:type="dxa" w:w="3202"/>
            <w:shd w:fill="F8FAFC"/>
            <w:tcMar>
              <w:top w:w="60" w:type="dxa"/>
              <w:bottom w:w="60" w:type="dxa"/>
              <w:left w:w="100" w:type="dxa"/>
              <w:right w:w="100" w:type="dxa"/>
            </w:tcMar>
          </w:tcPr>
          <w:p>
            <w:pPr>
              <w:spacing w:before="20" w:after="20"/>
            </w:pPr>
            <w:r>
              <w:rPr>
                <w:color w:val="334155"/>
                <w:sz w:val="15"/>
              </w:rPr>
              <w:t>6.2</w:t>
            </w:r>
          </w:p>
        </w:tc>
        <w:tc>
          <w:tcPr>
            <w:tcW w:type="dxa" w:w="3202"/>
            <w:shd w:fill="F8FAFC"/>
            <w:tcMar>
              <w:top w:w="60" w:type="dxa"/>
              <w:bottom w:w="60" w:type="dxa"/>
              <w:left w:w="100" w:type="dxa"/>
              <w:right w:w="100" w:type="dxa"/>
            </w:tcMar>
          </w:tcPr>
          <w:p>
            <w:pPr>
              <w:spacing w:before="20" w:after="20"/>
            </w:pPr>
            <w:r>
              <w:rPr>
                <w:color w:val="334155"/>
                <w:sz w:val="15"/>
              </w:rPr>
              <w:t>Interactive In-Session Settlement Tracking</w:t>
            </w:r>
          </w:p>
        </w:tc>
        <w:tc>
          <w:tcPr>
            <w:tcW w:type="dxa" w:w="3202"/>
            <w:shd w:fill="F8FAFC"/>
            <w:tcMar>
              <w:top w:w="60" w:type="dxa"/>
              <w:bottom w:w="60" w:type="dxa"/>
              <w:left w:w="100" w:type="dxa"/>
              <w:right w:w="100" w:type="dxa"/>
            </w:tcMar>
          </w:tcPr>
          <w:p>
            <w:pPr>
              <w:spacing w:before="20" w:after="20"/>
            </w:pPr>
            <w:r>
              <w:rPr>
                <w:color w:val="334155"/>
                <w:sz w:val="15"/>
              </w:rPr>
              <w:t>13</w:t>
            </w:r>
          </w:p>
        </w:tc>
      </w:tr>
      <w:tr>
        <w:tc>
          <w:tcPr>
            <w:tcW w:type="dxa" w:w="3202"/>
            <w:shd w:fill="FFFFFF"/>
            <w:tcMar>
              <w:top w:w="60" w:type="dxa"/>
              <w:bottom w:w="60" w:type="dxa"/>
              <w:left w:w="100" w:type="dxa"/>
              <w:right w:w="100" w:type="dxa"/>
            </w:tcMar>
          </w:tcPr>
          <w:p>
            <w:pPr>
              <w:spacing w:before="20" w:after="20"/>
            </w:pPr>
            <w:r>
              <w:rPr>
                <w:color w:val="334155"/>
                <w:sz w:val="15"/>
              </w:rPr>
              <w:t>**SECTION 7**</w:t>
            </w:r>
          </w:p>
        </w:tc>
        <w:tc>
          <w:tcPr>
            <w:tcW w:type="dxa" w:w="3202"/>
            <w:shd w:fill="FFFFFF"/>
            <w:tcMar>
              <w:top w:w="60" w:type="dxa"/>
              <w:bottom w:w="60" w:type="dxa"/>
              <w:left w:w="100" w:type="dxa"/>
              <w:right w:w="100" w:type="dxa"/>
            </w:tcMar>
          </w:tcPr>
          <w:p>
            <w:pPr>
              <w:spacing w:before="20" w:after="20"/>
            </w:pPr>
            <w:r>
              <w:rPr>
                <w:color w:val="334155"/>
                <w:sz w:val="15"/>
              </w:rPr>
              <w:t>**DATA PERSISTENCE &amp; API DESIGN**</w:t>
            </w:r>
          </w:p>
        </w:tc>
        <w:tc>
          <w:tcPr>
            <w:tcW w:type="dxa" w:w="3202"/>
            <w:shd w:fill="FFFFFF"/>
            <w:tcMar>
              <w:top w:w="60" w:type="dxa"/>
              <w:bottom w:w="60" w:type="dxa"/>
              <w:left w:w="100" w:type="dxa"/>
              <w:right w:w="100" w:type="dxa"/>
            </w:tcMar>
          </w:tcPr>
          <w:p>
            <w:pPr>
              <w:spacing w:before="20" w:after="20"/>
            </w:pPr>
            <w:r>
              <w:rPr>
                <w:color w:val="334155"/>
                <w:sz w:val="15"/>
              </w:rPr>
              <w:t>**13**</w:t>
            </w:r>
          </w:p>
        </w:tc>
      </w:tr>
      <w:tr>
        <w:tc>
          <w:tcPr>
            <w:tcW w:type="dxa" w:w="3202"/>
            <w:shd w:fill="F8FAFC"/>
            <w:tcMar>
              <w:top w:w="60" w:type="dxa"/>
              <w:bottom w:w="60" w:type="dxa"/>
              <w:left w:w="100" w:type="dxa"/>
              <w:right w:w="100" w:type="dxa"/>
            </w:tcMar>
          </w:tcPr>
          <w:p>
            <w:pPr>
              <w:spacing w:before="20" w:after="20"/>
            </w:pPr>
            <w:r>
              <w:rPr>
                <w:color w:val="334155"/>
                <w:sz w:val="15"/>
              </w:rPr>
              <w:t>7.1</w:t>
            </w:r>
          </w:p>
        </w:tc>
        <w:tc>
          <w:tcPr>
            <w:tcW w:type="dxa" w:w="3202"/>
            <w:shd w:fill="F8FAFC"/>
            <w:tcMar>
              <w:top w:w="60" w:type="dxa"/>
              <w:bottom w:w="60" w:type="dxa"/>
              <w:left w:w="100" w:type="dxa"/>
              <w:right w:w="100" w:type="dxa"/>
            </w:tcMar>
          </w:tcPr>
          <w:p>
            <w:pPr>
              <w:spacing w:before="20" w:after="20"/>
            </w:pPr>
            <w:r>
              <w:rPr>
                <w:color w:val="334155"/>
                <w:sz w:val="15"/>
              </w:rPr>
              <w:t>Relational Schema &amp; In-Memory Fallback Driver</w:t>
            </w:r>
          </w:p>
        </w:tc>
        <w:tc>
          <w:tcPr>
            <w:tcW w:type="dxa" w:w="3202"/>
            <w:shd w:fill="F8FAFC"/>
            <w:tcMar>
              <w:top w:w="60" w:type="dxa"/>
              <w:bottom w:w="60" w:type="dxa"/>
              <w:left w:w="100" w:type="dxa"/>
              <w:right w:w="100" w:type="dxa"/>
            </w:tcMar>
          </w:tcPr>
          <w:p>
            <w:pPr>
              <w:spacing w:before="20" w:after="20"/>
            </w:pPr>
            <w:r>
              <w:rPr>
                <w:color w:val="334155"/>
                <w:sz w:val="15"/>
              </w:rPr>
              <w:t>13</w:t>
            </w:r>
          </w:p>
        </w:tc>
      </w:tr>
      <w:tr>
        <w:tc>
          <w:tcPr>
            <w:tcW w:type="dxa" w:w="3202"/>
            <w:shd w:fill="FFFFFF"/>
            <w:tcMar>
              <w:top w:w="60" w:type="dxa"/>
              <w:bottom w:w="60" w:type="dxa"/>
              <w:left w:w="100" w:type="dxa"/>
              <w:right w:w="100" w:type="dxa"/>
            </w:tcMar>
          </w:tcPr>
          <w:p>
            <w:pPr>
              <w:spacing w:before="20" w:after="20"/>
            </w:pPr>
            <w:r>
              <w:rPr>
                <w:color w:val="334155"/>
                <w:sz w:val="15"/>
              </w:rPr>
              <w:t>7.2</w:t>
            </w:r>
          </w:p>
        </w:tc>
        <w:tc>
          <w:tcPr>
            <w:tcW w:type="dxa" w:w="3202"/>
            <w:shd w:fill="FFFFFF"/>
            <w:tcMar>
              <w:top w:w="60" w:type="dxa"/>
              <w:bottom w:w="60" w:type="dxa"/>
              <w:left w:w="100" w:type="dxa"/>
              <w:right w:w="100" w:type="dxa"/>
            </w:tcMar>
          </w:tcPr>
          <w:p>
            <w:pPr>
              <w:spacing w:before="20" w:after="20"/>
            </w:pPr>
            <w:r>
              <w:rPr>
                <w:color w:val="334155"/>
                <w:sz w:val="15"/>
              </w:rPr>
              <w:t>Core API Endpoints &amp; Contract Validation</w:t>
            </w:r>
          </w:p>
        </w:tc>
        <w:tc>
          <w:tcPr>
            <w:tcW w:type="dxa" w:w="3202"/>
            <w:shd w:fill="FFFFFF"/>
            <w:tcMar>
              <w:top w:w="60" w:type="dxa"/>
              <w:bottom w:w="60" w:type="dxa"/>
              <w:left w:w="100" w:type="dxa"/>
              <w:right w:w="100" w:type="dxa"/>
            </w:tcMar>
          </w:tcPr>
          <w:p>
            <w:pPr>
              <w:spacing w:before="20" w:after="20"/>
            </w:pPr>
            <w:r>
              <w:rPr>
                <w:color w:val="334155"/>
                <w:sz w:val="15"/>
              </w:rPr>
              <w:t>14</w:t>
            </w:r>
          </w:p>
        </w:tc>
      </w:tr>
      <w:tr>
        <w:tc>
          <w:tcPr>
            <w:tcW w:type="dxa" w:w="3202"/>
            <w:shd w:fill="F8FAFC"/>
            <w:tcMar>
              <w:top w:w="60" w:type="dxa"/>
              <w:bottom w:w="60" w:type="dxa"/>
              <w:left w:w="100" w:type="dxa"/>
              <w:right w:w="100" w:type="dxa"/>
            </w:tcMar>
          </w:tcPr>
          <w:p>
            <w:pPr>
              <w:spacing w:before="20" w:after="20"/>
            </w:pPr>
            <w:r>
              <w:rPr>
                <w:color w:val="334155"/>
                <w:sz w:val="15"/>
              </w:rPr>
              <w:t>7.3</w:t>
            </w:r>
          </w:p>
        </w:tc>
        <w:tc>
          <w:tcPr>
            <w:tcW w:type="dxa" w:w="3202"/>
            <w:shd w:fill="F8FAFC"/>
            <w:tcMar>
              <w:top w:w="60" w:type="dxa"/>
              <w:bottom w:w="60" w:type="dxa"/>
              <w:left w:w="100" w:type="dxa"/>
              <w:right w:w="100" w:type="dxa"/>
            </w:tcMar>
          </w:tcPr>
          <w:p>
            <w:pPr>
              <w:spacing w:before="20" w:after="20"/>
            </w:pPr>
            <w:r>
              <w:rPr>
                <w:color w:val="334155"/>
                <w:sz w:val="15"/>
              </w:rPr>
              <w:t>Demo-Data Seeding Infrastructure</w:t>
            </w:r>
          </w:p>
        </w:tc>
        <w:tc>
          <w:tcPr>
            <w:tcW w:type="dxa" w:w="3202"/>
            <w:shd w:fill="F8FAFC"/>
            <w:tcMar>
              <w:top w:w="60" w:type="dxa"/>
              <w:bottom w:w="60" w:type="dxa"/>
              <w:left w:w="100" w:type="dxa"/>
              <w:right w:w="100" w:type="dxa"/>
            </w:tcMar>
          </w:tcPr>
          <w:p>
            <w:pPr>
              <w:spacing w:before="20" w:after="20"/>
            </w:pPr>
            <w:r>
              <w:rPr>
                <w:color w:val="334155"/>
                <w:sz w:val="15"/>
              </w:rPr>
              <w:t>14</w:t>
            </w:r>
          </w:p>
        </w:tc>
      </w:tr>
      <w:tr>
        <w:tc>
          <w:tcPr>
            <w:tcW w:type="dxa" w:w="3202"/>
            <w:shd w:fill="FFFFFF"/>
            <w:tcMar>
              <w:top w:w="60" w:type="dxa"/>
              <w:bottom w:w="60" w:type="dxa"/>
              <w:left w:w="100" w:type="dxa"/>
              <w:right w:w="100" w:type="dxa"/>
            </w:tcMar>
          </w:tcPr>
          <w:p>
            <w:pPr>
              <w:spacing w:before="20" w:after="20"/>
            </w:pPr>
            <w:r>
              <w:rPr>
                <w:color w:val="334155"/>
                <w:sz w:val="15"/>
              </w:rPr>
              <w:t>**SECTION 8**</w:t>
            </w:r>
          </w:p>
        </w:tc>
        <w:tc>
          <w:tcPr>
            <w:tcW w:type="dxa" w:w="3202"/>
            <w:shd w:fill="FFFFFF"/>
            <w:tcMar>
              <w:top w:w="60" w:type="dxa"/>
              <w:bottom w:w="60" w:type="dxa"/>
              <w:left w:w="100" w:type="dxa"/>
              <w:right w:w="100" w:type="dxa"/>
            </w:tcMar>
          </w:tcPr>
          <w:p>
            <w:pPr>
              <w:spacing w:before="20" w:after="20"/>
            </w:pPr>
            <w:r>
              <w:rPr>
                <w:color w:val="334155"/>
                <w:sz w:val="15"/>
              </w:rPr>
              <w:t>**SYSTEM VERIFICATION &amp; REPRESENTATIVE WORKFLOWS**</w:t>
            </w:r>
          </w:p>
        </w:tc>
        <w:tc>
          <w:tcPr>
            <w:tcW w:type="dxa" w:w="3202"/>
            <w:shd w:fill="FFFFFF"/>
            <w:tcMar>
              <w:top w:w="60" w:type="dxa"/>
              <w:bottom w:w="60" w:type="dxa"/>
              <w:left w:w="100" w:type="dxa"/>
              <w:right w:w="100" w:type="dxa"/>
            </w:tcMar>
          </w:tcPr>
          <w:p>
            <w:pPr>
              <w:spacing w:before="20" w:after="20"/>
            </w:pPr>
            <w:r>
              <w:rPr>
                <w:color w:val="334155"/>
                <w:sz w:val="15"/>
              </w:rPr>
              <w:t>**15**</w:t>
            </w:r>
          </w:p>
        </w:tc>
      </w:tr>
      <w:tr>
        <w:tc>
          <w:tcPr>
            <w:tcW w:type="dxa" w:w="3202"/>
            <w:shd w:fill="F8FAFC"/>
            <w:tcMar>
              <w:top w:w="60" w:type="dxa"/>
              <w:bottom w:w="60" w:type="dxa"/>
              <w:left w:w="100" w:type="dxa"/>
              <w:right w:w="100" w:type="dxa"/>
            </w:tcMar>
          </w:tcPr>
          <w:p>
            <w:pPr>
              <w:spacing w:before="20" w:after="20"/>
            </w:pPr>
            <w:r>
              <w:rPr>
                <w:color w:val="334155"/>
                <w:sz w:val="15"/>
              </w:rPr>
              <w:t>8.1</w:t>
            </w:r>
          </w:p>
        </w:tc>
        <w:tc>
          <w:tcPr>
            <w:tcW w:type="dxa" w:w="3202"/>
            <w:shd w:fill="F8FAFC"/>
            <w:tcMar>
              <w:top w:w="60" w:type="dxa"/>
              <w:bottom w:w="60" w:type="dxa"/>
              <w:left w:w="100" w:type="dxa"/>
              <w:right w:w="100" w:type="dxa"/>
            </w:tcMar>
          </w:tcPr>
          <w:p>
            <w:pPr>
              <w:spacing w:before="20" w:after="20"/>
            </w:pPr>
            <w:r>
              <w:rPr>
                <w:color w:val="334155"/>
                <w:sz w:val="15"/>
              </w:rPr>
              <w:t>Multi-Tier Test Suite Execution</w:t>
            </w:r>
          </w:p>
        </w:tc>
        <w:tc>
          <w:tcPr>
            <w:tcW w:type="dxa" w:w="3202"/>
            <w:shd w:fill="F8FAFC"/>
            <w:tcMar>
              <w:top w:w="60" w:type="dxa"/>
              <w:bottom w:w="60" w:type="dxa"/>
              <w:left w:w="100" w:type="dxa"/>
              <w:right w:w="100" w:type="dxa"/>
            </w:tcMar>
          </w:tcPr>
          <w:p>
            <w:pPr>
              <w:spacing w:before="20" w:after="20"/>
            </w:pPr>
            <w:r>
              <w:rPr>
                <w:color w:val="334155"/>
                <w:sz w:val="15"/>
              </w:rPr>
              <w:t>15</w:t>
            </w:r>
          </w:p>
        </w:tc>
      </w:tr>
      <w:tr>
        <w:tc>
          <w:tcPr>
            <w:tcW w:type="dxa" w:w="3202"/>
            <w:shd w:fill="FFFFFF"/>
            <w:tcMar>
              <w:top w:w="60" w:type="dxa"/>
              <w:bottom w:w="60" w:type="dxa"/>
              <w:left w:w="100" w:type="dxa"/>
              <w:right w:w="100" w:type="dxa"/>
            </w:tcMar>
          </w:tcPr>
          <w:p>
            <w:pPr>
              <w:spacing w:before="20" w:after="20"/>
            </w:pPr>
            <w:r>
              <w:rPr>
                <w:color w:val="334155"/>
                <w:sz w:val="15"/>
              </w:rPr>
              <w:t>8.2</w:t>
            </w:r>
          </w:p>
        </w:tc>
        <w:tc>
          <w:tcPr>
            <w:tcW w:type="dxa" w:w="3202"/>
            <w:shd w:fill="FFFFFF"/>
            <w:tcMar>
              <w:top w:w="60" w:type="dxa"/>
              <w:bottom w:w="60" w:type="dxa"/>
              <w:left w:w="100" w:type="dxa"/>
              <w:right w:w="100" w:type="dxa"/>
            </w:tcMar>
          </w:tcPr>
          <w:p>
            <w:pPr>
              <w:spacing w:before="20" w:after="20"/>
            </w:pPr>
            <w:r>
              <w:rPr>
                <w:color w:val="334155"/>
                <w:sz w:val="15"/>
              </w:rPr>
              <w:t>Algorithmic Computational Complexity Analysis</w:t>
            </w:r>
          </w:p>
        </w:tc>
        <w:tc>
          <w:tcPr>
            <w:tcW w:type="dxa" w:w="3202"/>
            <w:shd w:fill="FFFFFF"/>
            <w:tcMar>
              <w:top w:w="60" w:type="dxa"/>
              <w:bottom w:w="60" w:type="dxa"/>
              <w:left w:w="100" w:type="dxa"/>
              <w:right w:w="100" w:type="dxa"/>
            </w:tcMar>
          </w:tcPr>
          <w:p>
            <w:pPr>
              <w:spacing w:before="20" w:after="20"/>
            </w:pPr>
            <w:r>
              <w:rPr>
                <w:color w:val="334155"/>
                <w:sz w:val="15"/>
              </w:rPr>
              <w:t>15</w:t>
            </w:r>
          </w:p>
        </w:tc>
      </w:tr>
      <w:tr>
        <w:tc>
          <w:tcPr>
            <w:tcW w:type="dxa" w:w="3202"/>
            <w:shd w:fill="F8FAFC"/>
            <w:tcMar>
              <w:top w:w="60" w:type="dxa"/>
              <w:bottom w:w="60" w:type="dxa"/>
              <w:left w:w="100" w:type="dxa"/>
              <w:right w:w="100" w:type="dxa"/>
            </w:tcMar>
          </w:tcPr>
          <w:p>
            <w:pPr>
              <w:spacing w:before="20" w:after="20"/>
            </w:pPr>
            <w:r>
              <w:rPr>
                <w:color w:val="334155"/>
                <w:sz w:val="15"/>
              </w:rPr>
              <w:t>8.3</w:t>
            </w:r>
          </w:p>
        </w:tc>
        <w:tc>
          <w:tcPr>
            <w:tcW w:type="dxa" w:w="3202"/>
            <w:shd w:fill="F8FAFC"/>
            <w:tcMar>
              <w:top w:w="60" w:type="dxa"/>
              <w:bottom w:w="60" w:type="dxa"/>
              <w:left w:w="100" w:type="dxa"/>
              <w:right w:w="100" w:type="dxa"/>
            </w:tcMar>
          </w:tcPr>
          <w:p>
            <w:pPr>
              <w:spacing w:before="20" w:after="20"/>
            </w:pPr>
            <w:r>
              <w:rPr>
                <w:color w:val="334155"/>
                <w:sz w:val="15"/>
              </w:rPr>
              <w:t>Representative User Interface Workflows</w:t>
            </w:r>
          </w:p>
        </w:tc>
        <w:tc>
          <w:tcPr>
            <w:tcW w:type="dxa" w:w="3202"/>
            <w:shd w:fill="F8FAFC"/>
            <w:tcMar>
              <w:top w:w="60" w:type="dxa"/>
              <w:bottom w:w="60" w:type="dxa"/>
              <w:left w:w="100" w:type="dxa"/>
              <w:right w:w="100" w:type="dxa"/>
            </w:tcMar>
          </w:tcPr>
          <w:p>
            <w:pPr>
              <w:spacing w:before="20" w:after="20"/>
            </w:pPr>
            <w:r>
              <w:rPr>
                <w:color w:val="334155"/>
                <w:sz w:val="15"/>
              </w:rPr>
              <w:t>15</w:t>
            </w:r>
          </w:p>
        </w:tc>
      </w:tr>
      <w:tr>
        <w:tc>
          <w:tcPr>
            <w:tcW w:type="dxa" w:w="3202"/>
            <w:shd w:fill="FFFFFF"/>
            <w:tcMar>
              <w:top w:w="60" w:type="dxa"/>
              <w:bottom w:w="60" w:type="dxa"/>
              <w:left w:w="100" w:type="dxa"/>
              <w:right w:w="100" w:type="dxa"/>
            </w:tcMar>
          </w:tcPr>
          <w:p>
            <w:pPr>
              <w:spacing w:before="20" w:after="20"/>
            </w:pPr>
            <w:r>
              <w:rPr>
                <w:color w:val="334155"/>
                <w:sz w:val="15"/>
              </w:rPr>
              <w:t>**SECTION 9**</w:t>
            </w:r>
          </w:p>
        </w:tc>
        <w:tc>
          <w:tcPr>
            <w:tcW w:type="dxa" w:w="3202"/>
            <w:shd w:fill="FFFFFF"/>
            <w:tcMar>
              <w:top w:w="60" w:type="dxa"/>
              <w:bottom w:w="60" w:type="dxa"/>
              <w:left w:w="100" w:type="dxa"/>
              <w:right w:w="100" w:type="dxa"/>
            </w:tcMar>
          </w:tcPr>
          <w:p>
            <w:pPr>
              <w:spacing w:before="20" w:after="20"/>
            </w:pPr>
            <w:r>
              <w:rPr>
                <w:color w:val="334155"/>
                <w:sz w:val="15"/>
              </w:rPr>
              <w:t>**CRITICAL LIMITATIONS &amp; FUTURE ROADMAP**</w:t>
            </w:r>
          </w:p>
        </w:tc>
        <w:tc>
          <w:tcPr>
            <w:tcW w:type="dxa" w:w="3202"/>
            <w:shd w:fill="FFFFFF"/>
            <w:tcMar>
              <w:top w:w="60" w:type="dxa"/>
              <w:bottom w:w="60" w:type="dxa"/>
              <w:left w:w="100" w:type="dxa"/>
              <w:right w:w="100" w:type="dxa"/>
            </w:tcMar>
          </w:tcPr>
          <w:p>
            <w:pPr>
              <w:spacing w:before="20" w:after="20"/>
            </w:pPr>
            <w:r>
              <w:rPr>
                <w:color w:val="334155"/>
                <w:sz w:val="15"/>
              </w:rPr>
              <w:t>**21**</w:t>
            </w:r>
          </w:p>
        </w:tc>
      </w:tr>
      <w:tr>
        <w:tc>
          <w:tcPr>
            <w:tcW w:type="dxa" w:w="3202"/>
            <w:shd w:fill="F8FAFC"/>
            <w:tcMar>
              <w:top w:w="60" w:type="dxa"/>
              <w:bottom w:w="60" w:type="dxa"/>
              <w:left w:w="100" w:type="dxa"/>
              <w:right w:w="100" w:type="dxa"/>
            </w:tcMar>
          </w:tcPr>
          <w:p>
            <w:pPr>
              <w:spacing w:before="20" w:after="20"/>
            </w:pPr>
            <w:r>
              <w:rPr>
                <w:color w:val="334155"/>
                <w:sz w:val="15"/>
              </w:rPr>
              <w:t>9.1</w:t>
            </w:r>
          </w:p>
        </w:tc>
        <w:tc>
          <w:tcPr>
            <w:tcW w:type="dxa" w:w="3202"/>
            <w:shd w:fill="F8FAFC"/>
            <w:tcMar>
              <w:top w:w="60" w:type="dxa"/>
              <w:bottom w:w="60" w:type="dxa"/>
              <w:left w:w="100" w:type="dxa"/>
              <w:right w:w="100" w:type="dxa"/>
            </w:tcMar>
          </w:tcPr>
          <w:p>
            <w:pPr>
              <w:spacing w:before="20" w:after="20"/>
            </w:pPr>
            <w:r>
              <w:rPr>
                <w:color w:val="334155"/>
                <w:sz w:val="15"/>
              </w:rPr>
              <w:t>Architectural Scope &amp; Inherent Limitations</w:t>
            </w:r>
          </w:p>
        </w:tc>
        <w:tc>
          <w:tcPr>
            <w:tcW w:type="dxa" w:w="3202"/>
            <w:shd w:fill="F8FAFC"/>
            <w:tcMar>
              <w:top w:w="60" w:type="dxa"/>
              <w:bottom w:w="60" w:type="dxa"/>
              <w:left w:w="100" w:type="dxa"/>
              <w:right w:w="100" w:type="dxa"/>
            </w:tcMar>
          </w:tcPr>
          <w:p>
            <w:pPr>
              <w:spacing w:before="20" w:after="20"/>
            </w:pPr>
            <w:r>
              <w:rPr>
                <w:color w:val="334155"/>
                <w:sz w:val="15"/>
              </w:rPr>
              <w:t>22</w:t>
            </w:r>
          </w:p>
        </w:tc>
      </w:tr>
      <w:tr>
        <w:tc>
          <w:tcPr>
            <w:tcW w:type="dxa" w:w="3202"/>
            <w:shd w:fill="FFFFFF"/>
            <w:tcMar>
              <w:top w:w="60" w:type="dxa"/>
              <w:bottom w:w="60" w:type="dxa"/>
              <w:left w:w="100" w:type="dxa"/>
              <w:right w:w="100" w:type="dxa"/>
            </w:tcMar>
          </w:tcPr>
          <w:p>
            <w:pPr>
              <w:spacing w:before="20" w:after="20"/>
            </w:pPr>
            <w:r>
              <w:rPr>
                <w:color w:val="334155"/>
                <w:sz w:val="15"/>
              </w:rPr>
              <w:t>9.2</w:t>
            </w:r>
          </w:p>
        </w:tc>
        <w:tc>
          <w:tcPr>
            <w:tcW w:type="dxa" w:w="3202"/>
            <w:shd w:fill="FFFFFF"/>
            <w:tcMar>
              <w:top w:w="60" w:type="dxa"/>
              <w:bottom w:w="60" w:type="dxa"/>
              <w:left w:w="100" w:type="dxa"/>
              <w:right w:w="100" w:type="dxa"/>
            </w:tcMar>
          </w:tcPr>
          <w:p>
            <w:pPr>
              <w:spacing w:before="20" w:after="20"/>
            </w:pPr>
            <w:r>
              <w:rPr>
                <w:color w:val="334155"/>
                <w:sz w:val="15"/>
              </w:rPr>
              <w:t>Privacy, Data Protection &amp; Security Profile</w:t>
            </w:r>
          </w:p>
        </w:tc>
        <w:tc>
          <w:tcPr>
            <w:tcW w:type="dxa" w:w="3202"/>
            <w:shd w:fill="FFFFFF"/>
            <w:tcMar>
              <w:top w:w="60" w:type="dxa"/>
              <w:bottom w:w="60" w:type="dxa"/>
              <w:left w:w="100" w:type="dxa"/>
              <w:right w:w="100" w:type="dxa"/>
            </w:tcMar>
          </w:tcPr>
          <w:p>
            <w:pPr>
              <w:spacing w:before="20" w:after="20"/>
            </w:pPr>
            <w:r>
              <w:rPr>
                <w:color w:val="334155"/>
                <w:sz w:val="15"/>
              </w:rPr>
              <w:t>22</w:t>
            </w:r>
          </w:p>
        </w:tc>
      </w:tr>
      <w:tr>
        <w:tc>
          <w:tcPr>
            <w:tcW w:type="dxa" w:w="3202"/>
            <w:shd w:fill="F8FAFC"/>
            <w:tcMar>
              <w:top w:w="60" w:type="dxa"/>
              <w:bottom w:w="60" w:type="dxa"/>
              <w:left w:w="100" w:type="dxa"/>
              <w:right w:w="100" w:type="dxa"/>
            </w:tcMar>
          </w:tcPr>
          <w:p>
            <w:pPr>
              <w:spacing w:before="20" w:after="20"/>
            </w:pPr>
            <w:r>
              <w:rPr>
                <w:color w:val="334155"/>
                <w:sz w:val="15"/>
              </w:rPr>
              <w:t>9.3</w:t>
            </w:r>
          </w:p>
        </w:tc>
        <w:tc>
          <w:tcPr>
            <w:tcW w:type="dxa" w:w="3202"/>
            <w:shd w:fill="F8FAFC"/>
            <w:tcMar>
              <w:top w:w="60" w:type="dxa"/>
              <w:bottom w:w="60" w:type="dxa"/>
              <w:left w:w="100" w:type="dxa"/>
              <w:right w:w="100" w:type="dxa"/>
            </w:tcMar>
          </w:tcPr>
          <w:p>
            <w:pPr>
              <w:spacing w:before="20" w:after="20"/>
            </w:pPr>
            <w:r>
              <w:rPr>
                <w:color w:val="334155"/>
                <w:sz w:val="15"/>
              </w:rPr>
              <w:t>Future Engineering Roadmap</w:t>
            </w:r>
          </w:p>
        </w:tc>
        <w:tc>
          <w:tcPr>
            <w:tcW w:type="dxa" w:w="3202"/>
            <w:shd w:fill="F8FAFC"/>
            <w:tcMar>
              <w:top w:w="60" w:type="dxa"/>
              <w:bottom w:w="60" w:type="dxa"/>
              <w:left w:w="100" w:type="dxa"/>
              <w:right w:w="100" w:type="dxa"/>
            </w:tcMar>
          </w:tcPr>
          <w:p>
            <w:pPr>
              <w:spacing w:before="20" w:after="20"/>
            </w:pPr>
            <w:r>
              <w:rPr>
                <w:color w:val="334155"/>
                <w:sz w:val="15"/>
              </w:rPr>
              <w:t>22</w:t>
            </w:r>
          </w:p>
        </w:tc>
      </w:tr>
      <w:tr>
        <w:tc>
          <w:tcPr>
            <w:tcW w:type="dxa" w:w="3202"/>
            <w:shd w:fill="FFFFFF"/>
            <w:tcMar>
              <w:top w:w="60" w:type="dxa"/>
              <w:bottom w:w="60" w:type="dxa"/>
              <w:left w:w="100" w:type="dxa"/>
              <w:right w:w="100" w:type="dxa"/>
            </w:tcMar>
          </w:tcPr>
          <w:p>
            <w:pPr>
              <w:spacing w:before="20" w:after="20"/>
            </w:pPr>
            <w:r>
              <w:rPr>
                <w:color w:val="334155"/>
                <w:sz w:val="15"/>
              </w:rPr>
              <w:t>**SECTION 10**</w:t>
            </w:r>
          </w:p>
        </w:tc>
        <w:tc>
          <w:tcPr>
            <w:tcW w:type="dxa" w:w="3202"/>
            <w:shd w:fill="FFFFFF"/>
            <w:tcMar>
              <w:top w:w="60" w:type="dxa"/>
              <w:bottom w:w="60" w:type="dxa"/>
              <w:left w:w="100" w:type="dxa"/>
              <w:right w:w="100" w:type="dxa"/>
            </w:tcMar>
          </w:tcPr>
          <w:p>
            <w:pPr>
              <w:spacing w:before="20" w:after="20"/>
            </w:pPr>
            <w:r>
              <w:rPr>
                <w:color w:val="334155"/>
                <w:sz w:val="15"/>
              </w:rPr>
              <w:t>**CONCLUSION &amp; SELECT BIBLIOGRAPHY**</w:t>
            </w:r>
          </w:p>
        </w:tc>
        <w:tc>
          <w:tcPr>
            <w:tcW w:type="dxa" w:w="3202"/>
            <w:shd w:fill="FFFFFF"/>
            <w:tcMar>
              <w:top w:w="60" w:type="dxa"/>
              <w:bottom w:w="60" w:type="dxa"/>
              <w:left w:w="100" w:type="dxa"/>
              <w:right w:w="100" w:type="dxa"/>
            </w:tcMar>
          </w:tcPr>
          <w:p>
            <w:pPr>
              <w:spacing w:before="20" w:after="20"/>
            </w:pPr>
            <w:r>
              <w:rPr>
                <w:color w:val="334155"/>
                <w:sz w:val="15"/>
              </w:rPr>
              <w:t>**22**</w:t>
            </w:r>
          </w:p>
        </w:tc>
      </w:tr>
      <w:tr>
        <w:tc>
          <w:tcPr>
            <w:tcW w:type="dxa" w:w="3202"/>
            <w:shd w:fill="F8FAFC"/>
            <w:tcMar>
              <w:top w:w="60" w:type="dxa"/>
              <w:bottom w:w="60" w:type="dxa"/>
              <w:left w:w="100" w:type="dxa"/>
              <w:right w:w="100" w:type="dxa"/>
            </w:tcMar>
          </w:tcPr>
          <w:p>
            <w:pPr>
              <w:spacing w:before="20" w:after="20"/>
            </w:pPr>
            <w:r>
              <w:rPr>
                <w:color w:val="334155"/>
                <w:sz w:val="15"/>
              </w:rPr>
              <w:t>10.1</w:t>
            </w:r>
          </w:p>
        </w:tc>
        <w:tc>
          <w:tcPr>
            <w:tcW w:type="dxa" w:w="3202"/>
            <w:shd w:fill="F8FAFC"/>
            <w:tcMar>
              <w:top w:w="60" w:type="dxa"/>
              <w:bottom w:w="60" w:type="dxa"/>
              <w:left w:w="100" w:type="dxa"/>
              <w:right w:w="100" w:type="dxa"/>
            </w:tcMar>
          </w:tcPr>
          <w:p>
            <w:pPr>
              <w:spacing w:before="20" w:after="20"/>
            </w:pPr>
            <w:r>
              <w:rPr>
                <w:color w:val="334155"/>
                <w:sz w:val="15"/>
              </w:rPr>
              <w:t>Project Summary</w:t>
            </w:r>
          </w:p>
        </w:tc>
        <w:tc>
          <w:tcPr>
            <w:tcW w:type="dxa" w:w="3202"/>
            <w:shd w:fill="F8FAFC"/>
            <w:tcMar>
              <w:top w:w="60" w:type="dxa"/>
              <w:bottom w:w="60" w:type="dxa"/>
              <w:left w:w="100" w:type="dxa"/>
              <w:right w:w="100" w:type="dxa"/>
            </w:tcMar>
          </w:tcPr>
          <w:p>
            <w:pPr>
              <w:spacing w:before="20" w:after="20"/>
            </w:pPr>
            <w:r>
              <w:rPr>
                <w:color w:val="334155"/>
                <w:sz w:val="15"/>
              </w:rPr>
              <w:t>22</w:t>
            </w:r>
          </w:p>
        </w:tc>
      </w:tr>
      <w:tr>
        <w:tc>
          <w:tcPr>
            <w:tcW w:type="dxa" w:w="3202"/>
            <w:shd w:fill="FFFFFF"/>
            <w:tcMar>
              <w:top w:w="60" w:type="dxa"/>
              <w:bottom w:w="60" w:type="dxa"/>
              <w:left w:w="100" w:type="dxa"/>
              <w:right w:w="100" w:type="dxa"/>
            </w:tcMar>
          </w:tcPr>
          <w:p>
            <w:pPr>
              <w:spacing w:before="20" w:after="20"/>
            </w:pPr>
            <w:r>
              <w:rPr>
                <w:color w:val="334155"/>
                <w:sz w:val="15"/>
              </w:rPr>
              <w:t>10.2</w:t>
            </w:r>
          </w:p>
        </w:tc>
        <w:tc>
          <w:tcPr>
            <w:tcW w:type="dxa" w:w="3202"/>
            <w:shd w:fill="FFFFFF"/>
            <w:tcMar>
              <w:top w:w="60" w:type="dxa"/>
              <w:bottom w:w="60" w:type="dxa"/>
              <w:left w:w="100" w:type="dxa"/>
              <w:right w:w="100" w:type="dxa"/>
            </w:tcMar>
          </w:tcPr>
          <w:p>
            <w:pPr>
              <w:spacing w:before="20" w:after="20"/>
            </w:pPr>
            <w:r>
              <w:rPr>
                <w:color w:val="334155"/>
                <w:sz w:val="15"/>
              </w:rPr>
              <w:t>Select References</w:t>
            </w:r>
          </w:p>
        </w:tc>
        <w:tc>
          <w:tcPr>
            <w:tcW w:type="dxa" w:w="3202"/>
            <w:shd w:fill="FFFFFF"/>
            <w:tcMar>
              <w:top w:w="60" w:type="dxa"/>
              <w:bottom w:w="60" w:type="dxa"/>
              <w:left w:w="100" w:type="dxa"/>
              <w:right w:w="100" w:type="dxa"/>
            </w:tcMar>
          </w:tcPr>
          <w:p>
            <w:pPr>
              <w:spacing w:before="20" w:after="20"/>
            </w:pPr>
            <w:r>
              <w:rPr>
                <w:color w:val="334155"/>
                <w:sz w:val="15"/>
              </w:rPr>
              <w:t>23</w:t>
            </w:r>
          </w:p>
        </w:tc>
      </w:tr>
    </w:tbl>
    <w:p>
      <w:pPr>
        <w:spacing w:after="120"/>
      </w:pPr>
    </w:p>
    <w:p>
      <w:pPr>
        <w:spacing w:before="320" w:after="120"/>
      </w:pPr>
      <w:r>
        <w:rPr>
          <w:b/>
          <w:color w:val="0F172A"/>
          <w:sz w:val="32"/>
        </w:rPr>
        <w:t>SECTION 1 — INTRODUCTION &amp; PROBLEM FORMULATION</w:t>
      </w:r>
    </w:p>
    <w:p>
      <w:pPr>
        <w:spacing w:before="280" w:after="80"/>
      </w:pPr>
      <w:r>
        <w:rPr>
          <w:b/>
          <w:color w:val="1E3A8A"/>
          <w:sz w:val="26"/>
        </w:rPr>
        <w:t>1.1 Background &amp; Motivation</w:t>
      </w:r>
    </w:p>
    <w:p>
      <w:pPr>
        <w:spacing w:before="0" w:after="80" w:line="276" w:lineRule="auto"/>
      </w:pPr>
      <w:r>
        <w:t>Effective personal financial management and transparent peer group accounting are essential requirements for modern individuals and households. However, managing daily expenditures across varied merchants and splitting complex group expenses (such as dining, shared utilities, grocery runs, and joint travel) remain fraught with friction. Users frequently encounter cognitive fatigue when deciphering physical or digital receipts, calculating individual shares under composite taxes, surcharges, and discounts, and tracking bilateral repayments across informal groups.</w:t>
      </w:r>
    </w:p>
    <w:p>
      <w:pPr>
        <w:spacing w:before="0" w:after="80" w:line="276" w:lineRule="auto"/>
      </w:pPr>
      <w:r>
        <w:t>Traditional financial applications require exhaustive manual data entry or utilize rigid equal-split assumptions that fail when individuals order disparate items. More recently, emerging financial platforms have attempted to delegate calculations directly to Large Language Models (LLMs). While LLMs excel at unstructured semantic understanding, autoregressive neural networks inherently hallucinate numbers during multi-step carry arithmetic, leading to rounding errors and unacceptable balance discrepancies.</w:t>
      </w:r>
    </w:p>
    <w:p>
      <w:pPr>
        <w:spacing w:before="280" w:after="80"/>
      </w:pPr>
      <w:r>
        <w:rPr>
          <w:b/>
          <w:color w:val="1E3A8A"/>
          <w:sz w:val="26"/>
        </w:rPr>
        <w:t>1.2 Problem Statement</w:t>
      </w:r>
    </w:p>
    <w:p>
      <w:pPr>
        <w:spacing w:before="0" w:after="80" w:line="276" w:lineRule="auto"/>
      </w:pPr>
      <w:r>
        <w:t>A robust financial management platform must resolve three conflicting challenges:</w:t>
      </w:r>
    </w:p>
    <w:p>
      <w:pPr>
        <w:spacing w:before="0" w:after="80" w:line="276" w:lineRule="auto"/>
      </w:pPr>
      <w:r>
        <w:t xml:space="preserve">1. </w:t>
      </w:r>
      <w:r>
        <w:rPr>
          <w:b/>
        </w:rPr>
        <w:t>Unstructured Data Perception vs. Mathematical Exactness</w:t>
      </w:r>
      <w:r>
        <w:t>: Ingestion must parse distorted, varied receipt layouts without human transcription, yet the resulting balances must obey strict conservation of currency where the sum of individual shares exactly equals the receipt total.</w:t>
      </w:r>
    </w:p>
    <w:p>
      <w:pPr>
        <w:spacing w:before="0" w:after="80" w:line="276" w:lineRule="auto"/>
      </w:pPr>
      <w:r>
        <w:t xml:space="preserve">2. </w:t>
      </w:r>
      <w:r>
        <w:rPr>
          <w:b/>
        </w:rPr>
        <w:t>Actionable Financial Guidance vs. Arithmetic Hallucination</w:t>
      </w:r>
      <w:r>
        <w:t>: Users require contextual insights, category tracking, budget adherence alerts, and future spending projections without risking probabilistic arithmetic distortion.</w:t>
      </w:r>
    </w:p>
    <w:p>
      <w:pPr>
        <w:spacing w:before="0" w:after="80" w:line="276" w:lineRule="auto"/>
      </w:pPr>
      <w:r>
        <w:t xml:space="preserve">3. </w:t>
      </w:r>
      <w:r>
        <w:rPr>
          <w:b/>
        </w:rPr>
        <w:t>Multi-Party Debt Complexity vs. Usability</w:t>
      </w:r>
      <w:r>
        <w:t>: Group debt obligations quickly degrade into dense, cyclic graphs of bilateral payments that confuse participants unless systematically simplified into a compact set of direct cash transfers.</w:t>
      </w:r>
    </w:p>
    <w:p>
      <w:pPr>
        <w:spacing w:before="280" w:after="80"/>
      </w:pPr>
      <w:r>
        <w:rPr>
          <w:b/>
          <w:color w:val="1E3A8A"/>
          <w:sz w:val="26"/>
        </w:rPr>
        <w:t>1.3 Core Project Objectives</w:t>
      </w:r>
    </w:p>
    <w:p>
      <w:pPr>
        <w:spacing w:before="0" w:after="80" w:line="276" w:lineRule="auto"/>
      </w:pPr>
      <w:r>
        <w:t xml:space="preserve">The </w:t>
      </w:r>
      <w:r>
        <w:rPr>
          <w:rFonts w:ascii="Consolas" w:hAnsi="Consolas"/>
          <w:sz w:val="18"/>
        </w:rPr>
        <w:t>enhanced-sw</w:t>
      </w:r>
      <w:r>
        <w:t xml:space="preserve"> project was engineered to achieve the following tangible technical objectives:</w:t>
      </w:r>
    </w:p>
    <w:p>
      <w:pPr>
        <w:spacing w:before="0" w:after="80" w:line="276" w:lineRule="auto"/>
      </w:pPr>
      <w:r>
        <w:t xml:space="preserve">- </w:t>
      </w:r>
      <w:r>
        <w:rPr>
          <w:b/>
        </w:rPr>
        <w:t>Deterministic Bill Splitting</w:t>
      </w:r>
      <w:r>
        <w:t xml:space="preserve">: Build an end-to-end receipt extraction and bill splitting pipeline that takes physical receipt images and natural language consumption instructions, extracts itemized records, and produces penny-balanced allocations using Python </w:t>
      </w:r>
      <w:r>
        <w:rPr>
          <w:rFonts w:ascii="Consolas" w:hAnsi="Consolas"/>
          <w:sz w:val="18"/>
        </w:rPr>
        <w:t>Decimal</w:t>
      </w:r>
      <w:r>
        <w:t xml:space="preserve"> fixed-point arithmetic.</w:t>
      </w:r>
    </w:p>
    <w:p>
      <w:pPr>
        <w:spacing w:before="0" w:after="80" w:line="276" w:lineRule="auto"/>
      </w:pPr>
      <w:r>
        <w:t xml:space="preserve">- </w:t>
      </w:r>
      <w:r>
        <w:rPr>
          <w:b/>
        </w:rPr>
        <w:t>Intelligent Autonomous Categorization</w:t>
      </w:r>
      <w:r>
        <w:t>: Categorize expenses automatically into 11 canonical accounting categories using zero-shot LLM reasoning with strict schema enforcement.</w:t>
      </w:r>
    </w:p>
    <w:p>
      <w:pPr>
        <w:spacing w:before="0" w:after="80" w:line="276" w:lineRule="auto"/>
      </w:pPr>
      <w:r>
        <w:t xml:space="preserve">- </w:t>
      </w:r>
      <w:r>
        <w:rPr>
          <w:b/>
        </w:rPr>
        <w:t>Explainable Anomaly Flagging</w:t>
      </w:r>
      <w:r>
        <w:t>: Implement statistical outlier detection that isolates unusual category spending without allowing the outlier itself to skew the historical baseline.</w:t>
      </w:r>
    </w:p>
    <w:p>
      <w:pPr>
        <w:spacing w:before="0" w:after="80" w:line="276" w:lineRule="auto"/>
      </w:pPr>
      <w:r>
        <w:t xml:space="preserve">- </w:t>
      </w:r>
      <w:r>
        <w:rPr>
          <w:b/>
        </w:rPr>
        <w:t>Probabilistic Spend Projections</w:t>
      </w:r>
      <w:r>
        <w:t>: Deploy Meta Prophet time-series models to forecast forward monthly expenditure trends with 80% uncertainty intervals while gracefully degrading when sample history is limited.</w:t>
      </w:r>
    </w:p>
    <w:p>
      <w:pPr>
        <w:spacing w:before="0" w:after="80" w:line="276" w:lineRule="auto"/>
      </w:pPr>
      <w:r>
        <w:t xml:space="preserve">- </w:t>
      </w:r>
      <w:r>
        <w:rPr>
          <w:b/>
        </w:rPr>
        <w:t>Greedy Debt Graph Settlement</w:t>
      </w:r>
      <w:r>
        <w:t>: Reduce arbitrary N-person pairwise liabilities into a compact settlement plan with at most N-1 direct cash transfers, accompanied by an interactive settlement tracking interface.</w:t>
      </w:r>
    </w:p>
    <w:p>
      <w:pPr>
        <w:spacing w:before="280" w:after="80"/>
      </w:pPr>
      <w:r>
        <w:rPr>
          <w:b/>
          <w:color w:val="1E3A8A"/>
          <w:sz w:val="26"/>
        </w:rPr>
        <w:t>1.4 Key Engineering Contributions</w:t>
      </w:r>
    </w:p>
    <w:tbl>
      <w:tblPr>
        <w:tblW w:type="auto" w:w="0"/>
        <w:jc w:val="center"/>
        <w:tblLook w:firstColumn="1" w:firstRow="1" w:lastColumn="0" w:lastRow="0" w:noHBand="0" w:noVBand="1" w:val="04A0"/>
      </w:tblPr>
      <w:tblGrid>
        <w:gridCol w:w="3202"/>
        <w:gridCol w:w="3202"/>
        <w:gridCol w:w="3202"/>
      </w:tblGrid>
      <w:tr>
        <w:tc>
          <w:tcPr>
            <w:tcW w:type="dxa" w:w="3202"/>
            <w:shd w:fill="1E293B"/>
            <w:tcMar>
              <w:top w:w="80" w:type="dxa"/>
              <w:bottom w:w="80" w:type="dxa"/>
              <w:left w:w="100" w:type="dxa"/>
              <w:right w:w="100" w:type="dxa"/>
            </w:tcMar>
          </w:tcPr>
          <w:p>
            <w:pPr>
              <w:spacing w:before="40" w:after="40"/>
            </w:pPr>
            <w:r>
              <w:rPr>
                <w:b/>
                <w:color w:val="FFFFFF"/>
                <w:sz w:val="16"/>
              </w:rPr>
              <w:t>Domain</w:t>
            </w:r>
          </w:p>
        </w:tc>
        <w:tc>
          <w:tcPr>
            <w:tcW w:type="dxa" w:w="3202"/>
            <w:shd w:fill="1E293B"/>
            <w:tcMar>
              <w:top w:w="80" w:type="dxa"/>
              <w:bottom w:w="80" w:type="dxa"/>
              <w:left w:w="100" w:type="dxa"/>
              <w:right w:w="100" w:type="dxa"/>
            </w:tcMar>
          </w:tcPr>
          <w:p>
            <w:pPr>
              <w:spacing w:before="40" w:after="40"/>
            </w:pPr>
            <w:r>
              <w:rPr>
                <w:b/>
                <w:color w:val="FFFFFF"/>
                <w:sz w:val="16"/>
              </w:rPr>
              <w:t>Implemented Technical Mechanism</w:t>
            </w:r>
          </w:p>
        </w:tc>
        <w:tc>
          <w:tcPr>
            <w:tcW w:type="dxa" w:w="3202"/>
            <w:shd w:fill="1E293B"/>
            <w:tcMar>
              <w:top w:w="80" w:type="dxa"/>
              <w:bottom w:w="80" w:type="dxa"/>
              <w:left w:w="100" w:type="dxa"/>
              <w:right w:w="100" w:type="dxa"/>
            </w:tcMar>
          </w:tcPr>
          <w:p>
            <w:pPr>
              <w:spacing w:before="40" w:after="40"/>
            </w:pPr>
            <w:r>
              <w:rPr>
                <w:b/>
                <w:color w:val="FFFFFF"/>
                <w:sz w:val="16"/>
              </w:rPr>
              <w:t>Primary Engineering Advantage</w:t>
            </w:r>
          </w:p>
        </w:tc>
      </w:tr>
      <w:tr>
        <w:tc>
          <w:tcPr>
            <w:tcW w:type="dxa" w:w="3202"/>
            <w:shd w:fill="FFFFFF"/>
            <w:tcMar>
              <w:top w:w="60" w:type="dxa"/>
              <w:bottom w:w="60" w:type="dxa"/>
              <w:left w:w="100" w:type="dxa"/>
              <w:right w:w="100" w:type="dxa"/>
            </w:tcMar>
          </w:tcPr>
          <w:p>
            <w:pPr>
              <w:spacing w:before="20" w:after="20"/>
            </w:pPr>
            <w:r>
              <w:rPr>
                <w:color w:val="334155"/>
                <w:sz w:val="15"/>
              </w:rPr>
              <w:t>**Receipt Extraction**</w:t>
            </w:r>
          </w:p>
        </w:tc>
        <w:tc>
          <w:tcPr>
            <w:tcW w:type="dxa" w:w="3202"/>
            <w:shd w:fill="FFFFFF"/>
            <w:tcMar>
              <w:top w:w="60" w:type="dxa"/>
              <w:bottom w:w="60" w:type="dxa"/>
              <w:left w:w="100" w:type="dxa"/>
              <w:right w:w="100" w:type="dxa"/>
            </w:tcMar>
          </w:tcPr>
          <w:p>
            <w:pPr>
              <w:spacing w:before="20" w:after="20"/>
            </w:pPr>
            <w:r>
              <w:rPr>
                <w:color w:val="334155"/>
                <w:sz w:val="15"/>
              </w:rPr>
              <w:t>PaddleOCR + Spatial Y-bucket sorting + Multi-provider LLM router</w:t>
            </w:r>
          </w:p>
        </w:tc>
        <w:tc>
          <w:tcPr>
            <w:tcW w:type="dxa" w:w="3202"/>
            <w:shd w:fill="FFFFFF"/>
            <w:tcMar>
              <w:top w:w="60" w:type="dxa"/>
              <w:bottom w:w="60" w:type="dxa"/>
              <w:left w:w="100" w:type="dxa"/>
              <w:right w:w="100" w:type="dxa"/>
            </w:tcMar>
          </w:tcPr>
          <w:p>
            <w:pPr>
              <w:spacing w:before="20" w:after="20"/>
            </w:pPr>
            <w:r>
              <w:rPr>
                <w:color w:val="334155"/>
                <w:sz w:val="15"/>
              </w:rPr>
              <w:t>Resilient text recognition and schema parsing across orientation noise</w:t>
            </w:r>
          </w:p>
        </w:tc>
      </w:tr>
      <w:tr>
        <w:tc>
          <w:tcPr>
            <w:tcW w:type="dxa" w:w="3202"/>
            <w:shd w:fill="F8FAFC"/>
            <w:tcMar>
              <w:top w:w="60" w:type="dxa"/>
              <w:bottom w:w="60" w:type="dxa"/>
              <w:left w:w="100" w:type="dxa"/>
              <w:right w:w="100" w:type="dxa"/>
            </w:tcMar>
          </w:tcPr>
          <w:p>
            <w:pPr>
              <w:spacing w:before="20" w:after="20"/>
            </w:pPr>
            <w:r>
              <w:rPr>
                <w:color w:val="334155"/>
                <w:sz w:val="15"/>
              </w:rPr>
              <w:t>**Share Allocation**</w:t>
            </w:r>
          </w:p>
        </w:tc>
        <w:tc>
          <w:tcPr>
            <w:tcW w:type="dxa" w:w="3202"/>
            <w:shd w:fill="F8FAFC"/>
            <w:tcMar>
              <w:top w:w="60" w:type="dxa"/>
              <w:bottom w:w="60" w:type="dxa"/>
              <w:left w:w="100" w:type="dxa"/>
              <w:right w:w="100" w:type="dxa"/>
            </w:tcMar>
          </w:tcPr>
          <w:p>
            <w:pPr>
              <w:spacing w:before="20" w:after="20"/>
            </w:pPr>
            <w:r>
              <w:rPr>
                <w:color w:val="334155"/>
                <w:sz w:val="15"/>
              </w:rPr>
              <w:t>Pro-rata ratio mapping + Python `Decimal` rounding reconciliation</w:t>
            </w:r>
          </w:p>
        </w:tc>
        <w:tc>
          <w:tcPr>
            <w:tcW w:type="dxa" w:w="3202"/>
            <w:shd w:fill="F8FAFC"/>
            <w:tcMar>
              <w:top w:w="60" w:type="dxa"/>
              <w:bottom w:w="60" w:type="dxa"/>
              <w:left w:w="100" w:type="dxa"/>
              <w:right w:w="100" w:type="dxa"/>
            </w:tcMar>
          </w:tcPr>
          <w:p>
            <w:pPr>
              <w:spacing w:before="20" w:after="20"/>
            </w:pPr>
            <w:r>
              <w:rPr>
                <w:color w:val="334155"/>
                <w:sz w:val="15"/>
              </w:rPr>
              <w:t>Deterministic rounding reconciliation (∑ S_j ≡ Total, Δ = 0.00)</w:t>
            </w:r>
          </w:p>
        </w:tc>
      </w:tr>
      <w:tr>
        <w:tc>
          <w:tcPr>
            <w:tcW w:type="dxa" w:w="3202"/>
            <w:shd w:fill="FFFFFF"/>
            <w:tcMar>
              <w:top w:w="60" w:type="dxa"/>
              <w:bottom w:w="60" w:type="dxa"/>
              <w:left w:w="100" w:type="dxa"/>
              <w:right w:w="100" w:type="dxa"/>
            </w:tcMar>
          </w:tcPr>
          <w:p>
            <w:pPr>
              <w:spacing w:before="20" w:after="20"/>
            </w:pPr>
            <w:r>
              <w:rPr>
                <w:color w:val="334155"/>
                <w:sz w:val="15"/>
              </w:rPr>
              <w:t>**Outlier Detection**</w:t>
            </w:r>
          </w:p>
        </w:tc>
        <w:tc>
          <w:tcPr>
            <w:tcW w:type="dxa" w:w="3202"/>
            <w:shd w:fill="FFFFFF"/>
            <w:tcMar>
              <w:top w:w="60" w:type="dxa"/>
              <w:bottom w:w="60" w:type="dxa"/>
              <w:left w:w="100" w:type="dxa"/>
              <w:right w:w="100" w:type="dxa"/>
            </w:tcMar>
          </w:tcPr>
          <w:p>
            <w:pPr>
              <w:spacing w:before="20" w:after="20"/>
            </w:pPr>
            <w:r>
              <w:rPr>
                <w:color w:val="334155"/>
                <w:sz w:val="15"/>
              </w:rPr>
              <w:t>Leave-One-Out (LOO) statistical variance evaluation</w:t>
            </w:r>
          </w:p>
        </w:tc>
        <w:tc>
          <w:tcPr>
            <w:tcW w:type="dxa" w:w="3202"/>
            <w:shd w:fill="FFFFFF"/>
            <w:tcMar>
              <w:top w:w="60" w:type="dxa"/>
              <w:bottom w:w="60" w:type="dxa"/>
              <w:left w:w="100" w:type="dxa"/>
              <w:right w:w="100" w:type="dxa"/>
            </w:tcMar>
          </w:tcPr>
          <w:p>
            <w:pPr>
              <w:spacing w:before="20" w:after="20"/>
            </w:pPr>
            <w:r>
              <w:rPr>
                <w:color w:val="334155"/>
                <w:sz w:val="15"/>
              </w:rPr>
              <w:t>Dynamic variance thresholding that eliminates baseline masking</w:t>
            </w:r>
          </w:p>
        </w:tc>
      </w:tr>
      <w:tr>
        <w:tc>
          <w:tcPr>
            <w:tcW w:type="dxa" w:w="3202"/>
            <w:shd w:fill="F8FAFC"/>
            <w:tcMar>
              <w:top w:w="60" w:type="dxa"/>
              <w:bottom w:w="60" w:type="dxa"/>
              <w:left w:w="100" w:type="dxa"/>
              <w:right w:w="100" w:type="dxa"/>
            </w:tcMar>
          </w:tcPr>
          <w:p>
            <w:pPr>
              <w:spacing w:before="20" w:after="20"/>
            </w:pPr>
            <w:r>
              <w:rPr>
                <w:color w:val="334155"/>
                <w:sz w:val="15"/>
              </w:rPr>
              <w:t>**Forecasting**</w:t>
            </w:r>
          </w:p>
        </w:tc>
        <w:tc>
          <w:tcPr>
            <w:tcW w:type="dxa" w:w="3202"/>
            <w:shd w:fill="F8FAFC"/>
            <w:tcMar>
              <w:top w:w="60" w:type="dxa"/>
              <w:bottom w:w="60" w:type="dxa"/>
              <w:left w:w="100" w:type="dxa"/>
              <w:right w:w="100" w:type="dxa"/>
            </w:tcMar>
          </w:tcPr>
          <w:p>
            <w:pPr>
              <w:spacing w:before="20" w:after="20"/>
            </w:pPr>
            <w:r>
              <w:rPr>
                <w:color w:val="334155"/>
                <w:sz w:val="15"/>
              </w:rPr>
              <w:t>Continuous daily resampling + Meta Prophet additive GAMs</w:t>
            </w:r>
          </w:p>
        </w:tc>
        <w:tc>
          <w:tcPr>
            <w:tcW w:type="dxa" w:w="3202"/>
            <w:shd w:fill="F8FAFC"/>
            <w:tcMar>
              <w:top w:w="60" w:type="dxa"/>
              <w:bottom w:w="60" w:type="dxa"/>
              <w:left w:w="100" w:type="dxa"/>
              <w:right w:w="100" w:type="dxa"/>
            </w:tcMar>
          </w:tcPr>
          <w:p>
            <w:pPr>
              <w:spacing w:before="20" w:after="20"/>
            </w:pPr>
            <w:r>
              <w:rPr>
                <w:color w:val="334155"/>
                <w:sz w:val="15"/>
              </w:rPr>
              <w:t>Captures weekly seasonality and trend with 80% uncertainty intervals</w:t>
            </w:r>
          </w:p>
        </w:tc>
      </w:tr>
      <w:tr>
        <w:tc>
          <w:tcPr>
            <w:tcW w:type="dxa" w:w="3202"/>
            <w:shd w:fill="FFFFFF"/>
            <w:tcMar>
              <w:top w:w="60" w:type="dxa"/>
              <w:bottom w:w="60" w:type="dxa"/>
              <w:left w:w="100" w:type="dxa"/>
              <w:right w:w="100" w:type="dxa"/>
            </w:tcMar>
          </w:tcPr>
          <w:p>
            <w:pPr>
              <w:spacing w:before="20" w:after="20"/>
            </w:pPr>
            <w:r>
              <w:rPr>
                <w:color w:val="334155"/>
                <w:sz w:val="15"/>
              </w:rPr>
              <w:t>**Debt Simplification**</w:t>
            </w:r>
          </w:p>
        </w:tc>
        <w:tc>
          <w:tcPr>
            <w:tcW w:type="dxa" w:w="3202"/>
            <w:shd w:fill="FFFFFF"/>
            <w:tcMar>
              <w:top w:w="60" w:type="dxa"/>
              <w:bottom w:w="60" w:type="dxa"/>
              <w:left w:w="100" w:type="dxa"/>
              <w:right w:w="100" w:type="dxa"/>
            </w:tcMar>
          </w:tcPr>
          <w:p>
            <w:pPr>
              <w:spacing w:before="20" w:after="20"/>
            </w:pPr>
            <w:r>
              <w:rPr>
                <w:color w:val="334155"/>
                <w:sz w:val="15"/>
              </w:rPr>
              <w:t>Bilateral Max-Heap matching over net balance vectors</w:t>
            </w:r>
          </w:p>
        </w:tc>
        <w:tc>
          <w:tcPr>
            <w:tcW w:type="dxa" w:w="3202"/>
            <w:shd w:fill="FFFFFF"/>
            <w:tcMar>
              <w:top w:w="60" w:type="dxa"/>
              <w:bottom w:w="60" w:type="dxa"/>
              <w:left w:w="100" w:type="dxa"/>
              <w:right w:w="100" w:type="dxa"/>
            </w:tcMar>
          </w:tcPr>
          <w:p>
            <w:pPr>
              <w:spacing w:before="20" w:after="20"/>
            </w:pPr>
            <w:r>
              <w:rPr>
                <w:color w:val="334155"/>
                <w:sz w:val="15"/>
              </w:rPr>
              <w:t>Reduces complex multigraph debts to at most N-1 direct cash transfers</w:t>
            </w:r>
          </w:p>
        </w:tc>
      </w:tr>
      <w:tr>
        <w:tc>
          <w:tcPr>
            <w:tcW w:type="dxa" w:w="3202"/>
            <w:shd w:fill="F8FAFC"/>
            <w:tcMar>
              <w:top w:w="60" w:type="dxa"/>
              <w:bottom w:w="60" w:type="dxa"/>
              <w:left w:w="100" w:type="dxa"/>
              <w:right w:w="100" w:type="dxa"/>
            </w:tcMar>
          </w:tcPr>
          <w:p>
            <w:pPr>
              <w:spacing w:before="20" w:after="20"/>
            </w:pPr>
            <w:r>
              <w:rPr>
                <w:color w:val="334155"/>
                <w:sz w:val="15"/>
              </w:rPr>
              <w:t>**Settlement Tracking**</w:t>
            </w:r>
          </w:p>
        </w:tc>
        <w:tc>
          <w:tcPr>
            <w:tcW w:type="dxa" w:w="3202"/>
            <w:shd w:fill="F8FAFC"/>
            <w:tcMar>
              <w:top w:w="60" w:type="dxa"/>
              <w:bottom w:w="60" w:type="dxa"/>
              <w:left w:w="100" w:type="dxa"/>
              <w:right w:w="100" w:type="dxa"/>
            </w:tcMar>
          </w:tcPr>
          <w:p>
            <w:pPr>
              <w:spacing w:before="20" w:after="20"/>
            </w:pPr>
            <w:r>
              <w:rPr>
                <w:color w:val="334155"/>
                <w:sz w:val="15"/>
              </w:rPr>
              <w:t>In-session client state tracking with remaining balance metrics</w:t>
            </w:r>
          </w:p>
        </w:tc>
        <w:tc>
          <w:tcPr>
            <w:tcW w:type="dxa" w:w="3202"/>
            <w:shd w:fill="F8FAFC"/>
            <w:tcMar>
              <w:top w:w="60" w:type="dxa"/>
              <w:bottom w:w="60" w:type="dxa"/>
              <w:left w:w="100" w:type="dxa"/>
              <w:right w:w="100" w:type="dxa"/>
            </w:tcMar>
          </w:tcPr>
          <w:p>
            <w:pPr>
              <w:spacing w:before="20" w:after="20"/>
            </w:pPr>
            <w:r>
              <w:rPr>
                <w:color w:val="334155"/>
                <w:sz w:val="15"/>
              </w:rPr>
              <w:t>Provides real-time operational feedback on pending/settled transfers</w:t>
            </w:r>
          </w:p>
        </w:tc>
      </w:tr>
    </w:tbl>
    <w:p>
      <w:pPr>
        <w:spacing w:after="120"/>
      </w:pPr>
    </w:p>
    <w:p>
      <w:pPr>
        <w:spacing w:before="320" w:after="120"/>
      </w:pPr>
      <w:r>
        <w:rPr>
          <w:b/>
          <w:color w:val="0F172A"/>
          <w:sz w:val="32"/>
        </w:rPr>
        <w:t>SECTION 2 — SYSTEM ARCHITECTURE &amp; COMPONENT INTERACTION</w:t>
      </w:r>
    </w:p>
    <w:p>
      <w:pPr>
        <w:spacing w:before="280" w:after="80"/>
      </w:pPr>
      <w:r>
        <w:rPr>
          <w:b/>
          <w:color w:val="1E3A8A"/>
          <w:sz w:val="26"/>
        </w:rPr>
        <w:t>2.1 Multi-Tier Architectural Topology</w:t>
      </w:r>
    </w:p>
    <w:p>
      <w:pPr>
        <w:spacing w:before="0" w:after="80" w:line="276" w:lineRule="auto"/>
      </w:pPr>
      <w:r>
        <w:t>The system is structured as a decoupled, multi-tiered enterprise architecture designed to maintain strict boundaries between client interaction, business orchestration, persistent storage, and analytical computation.</w:t>
      </w:r>
    </w:p>
    <w:p>
      <w:pPr>
        <w:spacing w:before="160" w:after="40"/>
        <w:jc w:val="center"/>
      </w:pPr>
      <w:r>
        <w:drawing>
          <wp:inline xmlns:a="http://schemas.openxmlformats.org/drawingml/2006/main" xmlns:pic="http://schemas.openxmlformats.org/drawingml/2006/picture">
            <wp:extent cx="4937760" cy="3070540"/>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10"/>
                    <a:stretch>
                      <a:fillRect/>
                    </a:stretch>
                  </pic:blipFill>
                  <pic:spPr>
                    <a:xfrm>
                      <a:off x="0" y="0"/>
                      <a:ext cx="4937760" cy="3070540"/>
                    </a:xfrm>
                    <a:prstGeom prst="rect"/>
                  </pic:spPr>
                </pic:pic>
              </a:graphicData>
            </a:graphic>
          </wp:inline>
        </w:drawing>
      </w:r>
    </w:p>
    <w:p>
      <w:pPr>
        <w:spacing w:after="160"/>
        <w:jc w:val="center"/>
      </w:pPr>
      <w:r>
        <w:rPr>
          <w:i/>
          <w:color w:val="64748B"/>
          <w:sz w:val="17"/>
        </w:rPr>
        <w:t>Figure 2.1: Architectural topology illustrating the four decoupled tiers of the enhanced-sw platform.</w:t>
      </w:r>
    </w:p>
    <w:p>
      <w:pPr>
        <w:spacing w:before="0" w:after="80" w:line="276" w:lineRule="auto"/>
      </w:pPr>
      <w:r>
        <w:t>The platform partitions concerns across four distinct operational tiers:</w:t>
      </w:r>
    </w:p>
    <w:p>
      <w:pPr>
        <w:spacing w:before="0" w:after="80" w:line="276" w:lineRule="auto"/>
      </w:pPr>
      <w:r>
        <w:t xml:space="preserve">1. </w:t>
      </w:r>
      <w:r>
        <w:rPr>
          <w:b/>
        </w:rPr>
        <w:t>Presentation Tier (Client)</w:t>
      </w:r>
      <w:r>
        <w:t>: Built with React Native and Expo (supporting Android, iOS, and Web environments). It provides an intuitive, Material-style responsive interface featuring custom bottom-bar navigation, modal sheets, and reactive state management.</w:t>
      </w:r>
    </w:p>
    <w:p>
      <w:pPr>
        <w:spacing w:before="0" w:after="80" w:line="276" w:lineRule="auto"/>
      </w:pPr>
      <w:r>
        <w:t xml:space="preserve">2. </w:t>
      </w:r>
      <w:r>
        <w:rPr>
          <w:b/>
        </w:rPr>
        <w:t>Application Gateway Tier (Orchestrator)</w:t>
      </w:r>
      <w:r>
        <w:t>: Implemented in Node.js, Express, and TypeScript running on port 3001. It enforces REST endpoint contracts, performs request validation, manages database transactions, and securely proxies analytical queries to the AI microservice.</w:t>
      </w:r>
    </w:p>
    <w:p>
      <w:pPr>
        <w:spacing w:before="0" w:after="80" w:line="276" w:lineRule="auto"/>
      </w:pPr>
      <w:r>
        <w:t xml:space="preserve">3. </w:t>
      </w:r>
      <w:r>
        <w:rPr>
          <w:b/>
        </w:rPr>
        <w:t>Data Persistence Tier (Storage)</w:t>
      </w:r>
      <w:r>
        <w:t>: A PostgreSQL 16 relational database maintaining tables for expenses and monthly budget configurations, backed by an automated in-memory repository driver for zero-dependency local operation and test execution.</w:t>
      </w:r>
    </w:p>
    <w:p>
      <w:pPr>
        <w:spacing w:before="0" w:after="80" w:line="276" w:lineRule="auto"/>
      </w:pPr>
      <w:r>
        <w:t xml:space="preserve">4. </w:t>
      </w:r>
      <w:r>
        <w:rPr>
          <w:b/>
        </w:rPr>
        <w:t>AI &amp; Analytics Tier (Computation)</w:t>
      </w:r>
      <w:r>
        <w:t>: A Python 3.12 and FastAPI microservice operating on port 8000. It hosts local PaddleOCR inference, multi-provider LLM routing via LangChain, Meta Prophet forecasting, and deterministic financial algorithms.</w:t>
      </w:r>
    </w:p>
    <w:p>
      <w:pPr>
        <w:spacing w:before="280" w:after="80"/>
      </w:pPr>
      <w:r>
        <w:rPr>
          <w:b/>
          <w:color w:val="1E3A8A"/>
          <w:sz w:val="26"/>
        </w:rPr>
        <w:t>2.2 Technology Stack &amp; Design Rationale</w:t>
      </w:r>
    </w:p>
    <w:tbl>
      <w:tblPr>
        <w:tblW w:type="auto" w:w="0"/>
        <w:jc w:val="center"/>
        <w:tblLook w:firstColumn="1" w:firstRow="1" w:lastColumn="0" w:lastRow="0" w:noHBand="0" w:noVBand="1" w:val="04A0"/>
      </w:tblPr>
      <w:tblGrid>
        <w:gridCol w:w="9605"/>
      </w:tblGrid>
      <w:tr>
        <w:tc>
          <w:tcPr>
            <w:tcW w:type="dxa" w:w="9605"/>
            <w:shd w:fill="F8FAFC"/>
            <w:tcMar>
              <w:top w:w="100" w:type="dxa"/>
              <w:bottom w:w="100" w:type="dxa"/>
              <w:left w:w="150" w:type="dxa"/>
              <w:right w:w="150" w:type="dxa"/>
            </w:tcMar>
          </w:tcPr>
          <w:p>
            <w:pPr>
              <w:spacing w:before="80" w:after="80"/>
            </w:pPr>
            <w:r>
              <w:rPr>
                <w:rFonts w:ascii="Consolas" w:hAnsi="Consolas"/>
                <w:color w:val="0F172A"/>
                <w:sz w:val="17"/>
              </w:rPr>
              <w:t>+---------------------------------------------------------------------------------+</w:t>
              <w:br/>
              <w:t>|                               TECHNOLOGY STACK                                  |</w:t>
              <w:br/>
              <w:t>+--------------------+------------------------------------------------------------+</w:t>
              <w:br/>
              <w:t>| Presentation Tier  | React Native 0.76.7, Expo ~52.0.37, React 18.3.1, TypeScript |</w:t>
              <w:br/>
              <w:t>| Gateway Tier       | Node.js 20+, Express 4.21, TypeScript 5.7, Multer 1.4     |</w:t>
              <w:br/>
              <w:t>| Persistence Tier   | PostgreSQL 16 (pg driver), Automated SQL Migrations, Memory DB|</w:t>
              <w:br/>
              <w:t>| AI &amp; ML Analytics  | Python 3.12, FastAPI 0.115, PaddleOCR 2.10, Meta Prophet 1.4|</w:t>
              <w:br/>
              <w:t>| LLM Orchestration  | LangChain Core, Google GenAI, MistralAI, Groq              |</w:t>
              <w:br/>
              <w:t>| Test Frameworks    | Node.js Native Test Runner (tsx), Pytest 9.1, Puppeteer Core|</w:t>
              <w:br/>
              <w:t>+--------------------+------------------------------------------------------------+</w:t>
            </w:r>
          </w:p>
        </w:tc>
      </w:tr>
    </w:tbl>
    <w:p>
      <w:pPr>
        <w:spacing w:after="120"/>
      </w:pPr>
    </w:p>
    <w:p>
      <w:pPr>
        <w:spacing w:before="200" w:after="40"/>
      </w:pPr>
      <w:r>
        <w:rPr>
          <w:b/>
          <w:color w:val="334155"/>
          <w:sz w:val="22"/>
        </w:rPr>
        <w:t>Design Rationale for Component Selection:</w:t>
      </w:r>
    </w:p>
    <w:p>
      <w:pPr>
        <w:spacing w:before="0" w:after="80" w:line="276" w:lineRule="auto"/>
      </w:pPr>
      <w:r>
        <w:t xml:space="preserve">- </w:t>
      </w:r>
      <w:r>
        <w:rPr>
          <w:b/>
        </w:rPr>
        <w:t>Decoupling Node.js and Python</w:t>
      </w:r>
      <w:r>
        <w:t>: Node.js and TypeScript provide exceptional asynchronous I/O performance and strong static typing for user-facing REST APIs and data persistence. Conversely, Python remains the premier ecosystem for scientific computing, OCR models, and statistical time-series forecasting. Separating these environments allows each runtime to scale independently without memory bloat.</w:t>
      </w:r>
    </w:p>
    <w:p>
      <w:pPr>
        <w:spacing w:before="0" w:after="80" w:line="276" w:lineRule="auto"/>
      </w:pPr>
      <w:r>
        <w:t xml:space="preserve">- </w:t>
      </w:r>
      <w:r>
        <w:rPr>
          <w:b/>
        </w:rPr>
        <w:t>Local OCR vs. Cloud Document APIs</w:t>
      </w:r>
      <w:r>
        <w:t>: PaddleOCR runs locally on standard CPU hardware without incurring per-image cloud billing, preserving user privacy and operational autonomy during receipt capture.</w:t>
      </w:r>
    </w:p>
    <w:p>
      <w:pPr>
        <w:spacing w:before="0" w:after="80" w:line="276" w:lineRule="auto"/>
      </w:pPr>
      <w:r>
        <w:t xml:space="preserve">- </w:t>
      </w:r>
      <w:r>
        <w:rPr>
          <w:b/>
        </w:rPr>
        <w:t>Stateless Computational AI Layer</w:t>
      </w:r>
      <w:r>
        <w:t>: The Python FastAPI service maintains zero database state. It receives transaction lists or participant arrays via HTTP POST, computes mathematical or statistical outcomes deterministically, and returns validated JSON payloads. This supports horizontal scalability and straightforward unit testing.</w:t>
      </w:r>
    </w:p>
    <w:p>
      <w:pPr>
        <w:spacing w:before="280" w:after="80"/>
      </w:pPr>
      <w:r>
        <w:rPr>
          <w:b/>
          <w:color w:val="1E3A8A"/>
          <w:sz w:val="26"/>
        </w:rPr>
        <w:t>2.3 Inter-Service Communication &amp; Data Flow</w:t>
      </w:r>
    </w:p>
    <w:p>
      <w:pPr>
        <w:spacing w:before="0" w:after="80" w:line="276" w:lineRule="auto"/>
      </w:pPr>
      <w:r>
        <w:t>All client-to-backend requests target the Application Gateway (</w:t>
      </w:r>
      <w:r>
        <w:rPr>
          <w:rFonts w:ascii="Consolas" w:hAnsi="Consolas"/>
          <w:sz w:val="18"/>
        </w:rPr>
        <w:t>http://localhost:3001</w:t>
      </w:r>
      <w:r>
        <w:t>). The Gateway validates request headers, enforces payload sanitization, interacts with PostgreSQL when persistence is required, and marshals analytical payloads to the Python service (</w:t>
      </w:r>
      <w:r>
        <w:rPr>
          <w:rFonts w:ascii="Consolas" w:hAnsi="Consolas"/>
          <w:sz w:val="18"/>
        </w:rPr>
        <w:t>http://localhost:8000</w:t>
      </w:r>
      <w:r>
        <w:t>).</w:t>
      </w:r>
    </w:p>
    <w:tbl>
      <w:tblPr>
        <w:tblW w:type="auto" w:w="0"/>
        <w:jc w:val="center"/>
        <w:tblLook w:firstColumn="1" w:firstRow="1" w:lastColumn="0" w:lastRow="0" w:noHBand="0" w:noVBand="1" w:val="04A0"/>
      </w:tblPr>
      <w:tblGrid>
        <w:gridCol w:w="9605"/>
      </w:tblGrid>
      <w:tr>
        <w:tc>
          <w:tcPr>
            <w:tcW w:type="dxa" w:w="9605"/>
            <w:shd w:fill="F8FAFC"/>
            <w:tcMar>
              <w:top w:w="100" w:type="dxa"/>
              <w:bottom w:w="100" w:type="dxa"/>
              <w:left w:w="150" w:type="dxa"/>
              <w:right w:w="150" w:type="dxa"/>
            </w:tcMar>
          </w:tcPr>
          <w:p>
            <w:pPr>
              <w:spacing w:before="80" w:after="80"/>
            </w:pPr>
            <w:r>
              <w:rPr>
                <w:rFonts w:ascii="Consolas" w:hAnsi="Consolas"/>
                <w:color w:val="0F172A"/>
                <w:sz w:val="17"/>
              </w:rPr>
              <w:t>[Client / Mobile App]</w:t>
              <w:br/>
              <w:t xml:space="preserve">       |  (Multipart Form-Data / JSON REST)</w:t>
              <w:br/>
              <w:t xml:space="preserve">       v</w:t>
              <w:br/>
              <w:t>[Application Gateway :3001]</w:t>
              <w:br/>
              <w:t xml:space="preserve">       |</w:t>
              <w:br/>
              <w:t xml:space="preserve">       +---&gt; [PostgreSQL Persistence :5432] (Expenses, Budgets, Migrations)</w:t>
              <w:br/>
              <w:t xml:space="preserve">       |</w:t>
              <w:br/>
              <w:t xml:space="preserve">       +---&gt; [Python AI Microservice :8000]</w:t>
              <w:br/>
              <w:t xml:space="preserve">                   |</w:t>
              <w:br/>
              <w:t xml:space="preserve">                   +---&gt; [PaddleOCR Engine] (Local CPU text detection &amp; recognition)</w:t>
              <w:br/>
              <w:t xml:space="preserve">                   +---&gt; [Multi-Provider LLM Router] (Gemini / Mistral / Groq fallback)</w:t>
              <w:br/>
              <w:t xml:space="preserve">                   +---&gt; [Decimal Math Engine] (Penny-balanced tax/split allocations)</w:t>
              <w:br/>
              <w:t xml:space="preserve">                   +---&gt; [Prophet &amp; LOO Analytics] (Forecasting &amp; Outlier scoring)</w:t>
              <w:br/>
              <w:t xml:space="preserve">                   +---&gt; [Greedy Simplifier] (Min-heap bilateral cash matching)</w:t>
            </w:r>
          </w:p>
        </w:tc>
      </w:tr>
    </w:tbl>
    <w:p>
      <w:pPr>
        <w:spacing w:after="120"/>
      </w:pPr>
    </w:p>
    <w:p>
      <w:pPr>
        <w:spacing w:before="320" w:after="120"/>
      </w:pPr>
      <w:r>
        <w:rPr>
          <w:b/>
          <w:color w:val="0F172A"/>
          <w:sz w:val="32"/>
        </w:rPr>
        <w:t>SECTION 3 — RECEIPT OCR &amp; DETERMINISTIC BILL SPLITTING</w:t>
      </w:r>
    </w:p>
    <w:p>
      <w:pPr>
        <w:spacing w:before="280" w:after="80"/>
      </w:pPr>
      <w:r>
        <w:rPr>
          <w:b/>
          <w:color w:val="1E3A8A"/>
          <w:sz w:val="26"/>
        </w:rPr>
        <w:t>3.1 Visual Capture &amp; PaddleOCR Text Recognition</w:t>
      </w:r>
    </w:p>
    <w:p>
      <w:pPr>
        <w:spacing w:before="0" w:after="80" w:line="276" w:lineRule="auto"/>
      </w:pPr>
      <w:r>
        <w:t xml:space="preserve">When a user captures or uploads a bill image via the mobile interface, the client transmits the image as multipart form-data to the backend gateway, which forwards it to the Python service endpoint </w:t>
      </w:r>
      <w:r>
        <w:rPr>
          <w:rFonts w:ascii="Consolas" w:hAnsi="Consolas"/>
          <w:sz w:val="18"/>
        </w:rPr>
        <w:t>/api/bill/process</w:t>
      </w:r>
      <w:r>
        <w:t>.</w:t>
      </w:r>
    </w:p>
    <w:p>
      <w:pPr>
        <w:spacing w:before="0" w:after="80" w:line="276" w:lineRule="auto"/>
      </w:pPr>
      <w:r>
        <w:t xml:space="preserve">Text extraction utilizes </w:t>
      </w:r>
      <w:r>
        <w:rPr>
          <w:b/>
        </w:rPr>
        <w:t>PaddleOCR</w:t>
      </w:r>
      <w:r>
        <w:t>, an efficient, lightweight optical character recognition architecture. The engine executes a two-stage computer vision pipeline:</w:t>
      </w:r>
    </w:p>
    <w:p>
      <w:pPr>
        <w:spacing w:before="0" w:after="80" w:line="276" w:lineRule="auto"/>
      </w:pPr>
      <w:r>
        <w:t xml:space="preserve">1. </w:t>
      </w:r>
      <w:r>
        <w:rPr>
          <w:b/>
        </w:rPr>
        <w:t>Text Detection (DBNet)</w:t>
      </w:r>
      <w:r>
        <w:t>: Real-time differentiable binarization detects arbitrary text bounding boxes [x_min, y_min, x_max, y_max] regardless of aspect ratios or thermal receipt wrinkles.</w:t>
      </w:r>
    </w:p>
    <w:p>
      <w:pPr>
        <w:spacing w:before="0" w:after="80" w:line="276" w:lineRule="auto"/>
      </w:pPr>
      <w:r>
        <w:t xml:space="preserve">2. </w:t>
      </w:r>
      <w:r>
        <w:rPr>
          <w:b/>
        </w:rPr>
        <w:t>Text Recognition (SVTR)</w:t>
      </w:r>
      <w:r>
        <w:t>: A single visual model with text-line pooling decodes alphanumeric text and price glyphs from detected bounding boxes, attaching individual detection confidence scores.</w:t>
      </w:r>
    </w:p>
    <w:p>
      <w:pPr>
        <w:spacing w:before="280" w:after="80"/>
      </w:pPr>
      <w:r>
        <w:rPr>
          <w:b/>
          <w:color w:val="1E3A8A"/>
          <w:sz w:val="26"/>
        </w:rPr>
        <w:t>3.2 Spatial Reading-Order Layout Sorting</w:t>
      </w:r>
    </w:p>
    <w:p>
      <w:pPr>
        <w:spacing w:before="0" w:after="80" w:line="276" w:lineRule="auto"/>
      </w:pPr>
      <w:r>
        <w:t xml:space="preserve">Raw OCR bounding boxes are emitted in visual detection order, which frequently scrambles line-item names and their corresponding prices on two-column cash register receipts. To reconstruct natural reading order prior to language model parsing, </w:t>
      </w:r>
      <w:r>
        <w:rPr>
          <w:rFonts w:ascii="Consolas" w:hAnsi="Consolas"/>
          <w:sz w:val="18"/>
        </w:rPr>
        <w:t>enhanced-sw</w:t>
      </w:r>
      <w:r>
        <w:t xml:space="preserve"> applies a spatial bucket clustering algorithm:</w:t>
      </w:r>
    </w:p>
    <w:tbl>
      <w:tblPr>
        <w:tblW w:type="auto" w:w="0"/>
        <w:jc w:val="center"/>
        <w:tblLook w:firstColumn="1" w:firstRow="1" w:lastColumn="0" w:lastRow="0" w:noHBand="0" w:noVBand="1" w:val="04A0"/>
      </w:tblPr>
      <w:tblGrid>
        <w:gridCol w:w="9605"/>
      </w:tblGrid>
      <w:tr>
        <w:tc>
          <w:tcPr>
            <w:tcW w:type="dxa" w:w="9605"/>
            <w:shd w:fill="F8FAFC"/>
            <w:tcMar>
              <w:top w:w="100" w:type="dxa"/>
              <w:bottom w:w="100" w:type="dxa"/>
              <w:left w:w="150" w:type="dxa"/>
              <w:right w:w="150" w:type="dxa"/>
            </w:tcMar>
          </w:tcPr>
          <w:p>
            <w:pPr>
              <w:spacing w:before="80" w:after="80"/>
            </w:pPr>
            <w:r>
              <w:rPr>
                <w:rFonts w:ascii="Consolas" w:hAnsi="Consolas"/>
                <w:color w:val="0F172A"/>
                <w:sz w:val="17"/>
              </w:rPr>
              <w:t>Algorithm 1: Spatial Reading-Order Layout Sorter</w:t>
              <w:br/>
              <w:t>Input: Tokens T = {(text_k, box_k, confidence_k)}</w:t>
              <w:br/>
              <w:t>Output: Formatted multi-line text buffer</w:t>
              <w:br/>
              <w:br/>
              <w:t>1: Sort tokens T primarily by vertical top coordinate box.y_top ascending</w:t>
              <w:br/>
              <w:t>2: Initialize empty Lines array</w:t>
              <w:br/>
              <w:t>3: For each token t in T:</w:t>
              <w:br/>
              <w:t>4:     Find line L in Lines where |t.box.y_top - L.mean_y| &lt;= 10.0 pixels</w:t>
              <w:br/>
              <w:t>5:     If matching line L exists:</w:t>
              <w:br/>
              <w:t>6:         Append token t to L and update L.mean_y</w:t>
              <w:br/>
              <w:t>7:     Else:</w:t>
              <w:br/>
              <w:t>8:         Create new line L_new = [t] with mean_y = t.box.y_top</w:t>
              <w:br/>
              <w:t>9: Sort all Lines by mean_y ascending</w:t>
              <w:br/>
              <w:t>10: For each Line L:</w:t>
              <w:br/>
              <w:t>11:    Sort tokens in L horizontally by box.x_left ascending</w:t>
              <w:br/>
              <w:t>12: Return joined lines separated by newline characters</w:t>
            </w:r>
          </w:p>
        </w:tc>
      </w:tr>
    </w:tbl>
    <w:p>
      <w:pPr>
        <w:spacing w:after="120"/>
      </w:pPr>
    </w:p>
    <w:p>
      <w:pPr>
        <w:spacing w:before="0" w:after="80" w:line="276" w:lineRule="auto"/>
      </w:pPr>
      <w:r>
        <w:t>This spatial sorting groups horizontally aligned receipt text (such as "Garlic Naan" and "200.00") onto the identical text line, drastically reducing semantic parsing ambiguity.</w:t>
      </w:r>
    </w:p>
    <w:p>
      <w:pPr>
        <w:spacing w:before="280" w:after="80"/>
      </w:pPr>
      <w:r>
        <w:rPr>
          <w:b/>
          <w:color w:val="1E3A8A"/>
          <w:sz w:val="26"/>
        </w:rPr>
        <w:t>3.3 Resilient LLM Routing &amp; Structured Extraction</w:t>
      </w:r>
    </w:p>
    <w:p>
      <w:pPr>
        <w:spacing w:before="0" w:after="80" w:line="276" w:lineRule="auto"/>
      </w:pPr>
      <w:r>
        <w:t xml:space="preserve">Once reconstructed, the text buffer and the user's natural language assignment prompt (e.g., </w:t>
      </w:r>
      <w:r>
        <w:rPr>
          <w:i/>
        </w:rPr>
        <w:t>"Arun and Sneha shared the starters, Vikram had the pasta"</w:t>
      </w:r>
      <w:r>
        <w:t xml:space="preserve">) are dispatched to the </w:t>
      </w:r>
      <w:r>
        <w:rPr>
          <w:rFonts w:ascii="Consolas" w:hAnsi="Consolas"/>
          <w:sz w:val="18"/>
        </w:rPr>
        <w:t>LLMRouter</w:t>
      </w:r>
      <w:r>
        <w:t>.</w:t>
      </w:r>
    </w:p>
    <w:p>
      <w:pPr>
        <w:spacing w:before="160" w:after="40"/>
        <w:jc w:val="center"/>
      </w:pPr>
      <w:r>
        <w:drawing>
          <wp:inline xmlns:a="http://schemas.openxmlformats.org/drawingml/2006/main" xmlns:pic="http://schemas.openxmlformats.org/drawingml/2006/picture">
            <wp:extent cx="4937760" cy="2670563"/>
            <wp:docPr id="2" name="Picture 2"/>
            <wp:cNvGraphicFramePr>
              <a:graphicFrameLocks noChangeAspect="1"/>
            </wp:cNvGraphicFramePr>
            <a:graphic>
              <a:graphicData uri="http://schemas.openxmlformats.org/drawingml/2006/picture">
                <pic:pic>
                  <pic:nvPicPr>
                    <pic:cNvPr id="0" name="bill_splitting_pipeline.png"/>
                    <pic:cNvPicPr/>
                  </pic:nvPicPr>
                  <pic:blipFill>
                    <a:blip r:embed="rId11"/>
                    <a:stretch>
                      <a:fillRect/>
                    </a:stretch>
                  </pic:blipFill>
                  <pic:spPr>
                    <a:xfrm>
                      <a:off x="0" y="0"/>
                      <a:ext cx="4937760" cy="2670563"/>
                    </a:xfrm>
                    <a:prstGeom prst="rect"/>
                  </pic:spPr>
                </pic:pic>
              </a:graphicData>
            </a:graphic>
          </wp:inline>
        </w:drawing>
      </w:r>
    </w:p>
    <w:p>
      <w:pPr>
        <w:spacing w:after="160"/>
        <w:jc w:val="center"/>
      </w:pPr>
      <w:r>
        <w:rPr>
          <w:i/>
          <w:color w:val="64748B"/>
          <w:sz w:val="17"/>
        </w:rPr>
        <w:t>Figure 3.1: Hybrid bill splitting pipeline enforcing the boundary between LLM semantic perception and deterministic Decimal reconciliation.</w:t>
      </w:r>
    </w:p>
    <w:p>
      <w:pPr>
        <w:spacing w:before="200" w:after="40"/>
      </w:pPr>
      <w:r>
        <w:rPr>
          <w:b/>
          <w:color w:val="334155"/>
          <w:sz w:val="22"/>
        </w:rPr>
        <w:t>Multi-Provider Fallback Architecture</w:t>
      </w:r>
    </w:p>
    <w:p>
      <w:pPr>
        <w:spacing w:before="0" w:after="80" w:line="276" w:lineRule="auto"/>
      </w:pPr>
      <w:r>
        <w:t xml:space="preserve">To improve operational availability against transient API outages or rate limits, the </w:t>
      </w:r>
      <w:r>
        <w:rPr>
          <w:rFonts w:ascii="Consolas" w:hAnsi="Consolas"/>
          <w:sz w:val="18"/>
        </w:rPr>
        <w:t>LLMRouter</w:t>
      </w:r>
      <w:r>
        <w:t xml:space="preserve"> implements an automated fallback chain across three independent language model providers:</w:t>
      </w:r>
    </w:p>
    <w:p>
      <w:pPr>
        <w:spacing w:before="0" w:after="80" w:line="276" w:lineRule="auto"/>
      </w:pPr>
      <w:r>
        <w:t xml:space="preserve">1. </w:t>
      </w:r>
      <w:r>
        <w:rPr>
          <w:b/>
        </w:rPr>
        <w:t>Primary</w:t>
      </w:r>
      <w:r>
        <w:t>: Google Gemini (</w:t>
      </w:r>
      <w:r>
        <w:rPr>
          <w:rFonts w:ascii="Consolas" w:hAnsi="Consolas"/>
          <w:sz w:val="18"/>
        </w:rPr>
        <w:t>gemini-3.6-flash</w:t>
      </w:r>
      <w:r>
        <w:t xml:space="preserve"> via </w:t>
      </w:r>
      <w:r>
        <w:rPr>
          <w:rFonts w:ascii="Consolas" w:hAnsi="Consolas"/>
          <w:sz w:val="18"/>
        </w:rPr>
        <w:t>langchain_google_genai.ChatGoogleGenerativeAI</w:t>
      </w:r>
      <w:r>
        <w:t>).</w:t>
      </w:r>
    </w:p>
    <w:p>
      <w:pPr>
        <w:spacing w:before="0" w:after="80" w:line="276" w:lineRule="auto"/>
      </w:pPr>
      <w:r>
        <w:t xml:space="preserve">2. </w:t>
      </w:r>
      <w:r>
        <w:rPr>
          <w:b/>
        </w:rPr>
        <w:t>Secondary</w:t>
      </w:r>
      <w:r>
        <w:t>: Mistral AI (</w:t>
      </w:r>
      <w:r>
        <w:rPr>
          <w:rFonts w:ascii="Consolas" w:hAnsi="Consolas"/>
          <w:sz w:val="18"/>
        </w:rPr>
        <w:t>mistral-small-latest</w:t>
      </w:r>
      <w:r>
        <w:t xml:space="preserve"> via </w:t>
      </w:r>
      <w:r>
        <w:rPr>
          <w:rFonts w:ascii="Consolas" w:hAnsi="Consolas"/>
          <w:sz w:val="18"/>
        </w:rPr>
        <w:t>langchain_mistralai.ChatMistralAI</w:t>
      </w:r>
      <w:r>
        <w:t>).</w:t>
      </w:r>
    </w:p>
    <w:p>
      <w:pPr>
        <w:spacing w:before="0" w:after="80" w:line="276" w:lineRule="auto"/>
      </w:pPr>
      <w:r>
        <w:t xml:space="preserve">3. </w:t>
      </w:r>
      <w:r>
        <w:rPr>
          <w:b/>
        </w:rPr>
        <w:t>Tertiary</w:t>
      </w:r>
      <w:r>
        <w:t>: Groq Cloud (</w:t>
      </w:r>
      <w:r>
        <w:rPr>
          <w:rFonts w:ascii="Consolas" w:hAnsi="Consolas"/>
          <w:sz w:val="18"/>
        </w:rPr>
        <w:t>openai/gpt-oss-20b</w:t>
      </w:r>
      <w:r>
        <w:t xml:space="preserve"> via </w:t>
      </w:r>
      <w:r>
        <w:rPr>
          <w:rFonts w:ascii="Consolas" w:hAnsi="Consolas"/>
          <w:sz w:val="18"/>
        </w:rPr>
        <w:t>langchain_groq.ChatGroq</w:t>
      </w:r>
      <w:r>
        <w:t>).</w:t>
      </w:r>
    </w:p>
    <w:p>
      <w:pPr>
        <w:spacing w:before="0" w:after="80" w:line="276" w:lineRule="auto"/>
      </w:pPr>
      <w:r>
        <w:t xml:space="preserve">If the primary provider encounters HTTP 429 rate-limiting, quota exhaustion, or connectivity timeouts, the router catches the exception and attempts execution through the next configured provider. The resulting JSON payload is strictly coerced into a structured </w:t>
      </w:r>
      <w:r>
        <w:rPr>
          <w:b/>
        </w:rPr>
        <w:t>Pydantic</w:t>
      </w:r>
      <w:r>
        <w:t xml:space="preserve"> schema:</w:t>
      </w:r>
    </w:p>
    <w:tbl>
      <w:tblPr>
        <w:tblW w:type="auto" w:w="0"/>
        <w:jc w:val="center"/>
        <w:tblLook w:firstColumn="1" w:firstRow="1" w:lastColumn="0" w:lastRow="0" w:noHBand="0" w:noVBand="1" w:val="04A0"/>
      </w:tblPr>
      <w:tblGrid>
        <w:gridCol w:w="9605"/>
      </w:tblGrid>
      <w:tr>
        <w:tc>
          <w:tcPr>
            <w:tcW w:type="dxa" w:w="9605"/>
            <w:shd w:fill="F8FAFC"/>
            <w:tcMar>
              <w:top w:w="100" w:type="dxa"/>
              <w:bottom w:w="100" w:type="dxa"/>
              <w:left w:w="150" w:type="dxa"/>
              <w:right w:w="150" w:type="dxa"/>
            </w:tcMar>
          </w:tcPr>
          <w:p>
            <w:pPr>
              <w:spacing w:before="80" w:after="80"/>
            </w:pPr>
            <w:r>
              <w:rPr>
                <w:rFonts w:ascii="Consolas" w:hAnsi="Consolas"/>
                <w:color w:val="0F172A"/>
                <w:sz w:val="17"/>
              </w:rPr>
              <w:t>class ParsedBillItem(BaseModel):</w:t>
              <w:br/>
              <w:t xml:space="preserve">    name: str = Field(..., description="Name of the line item")</w:t>
              <w:br/>
              <w:t xml:space="preserve">    price: float = Field(..., ge=0, description="Item base price")</w:t>
              <w:br/>
              <w:t xml:space="preserve">    quantity: int = Field(default=1, ge=1)</w:t>
              <w:br/>
              <w:t xml:space="preserve">    assigned_to: List[str] = Field(..., description="List of participant names")</w:t>
              <w:br/>
              <w:br/>
              <w:t>class ParsedBill(BaseModel):</w:t>
              <w:br/>
              <w:t xml:space="preserve">    merchant: Optional[str] = None</w:t>
              <w:br/>
              <w:t xml:space="preserve">    subtotal: float</w:t>
              <w:br/>
              <w:t xml:space="preserve">    tax: float = 0.0</w:t>
              <w:br/>
              <w:t xml:space="preserve">    discount: float = 0.0</w:t>
              <w:br/>
              <w:t xml:space="preserve">    tip: float = 0.0</w:t>
              <w:br/>
              <w:t xml:space="preserve">    total: float</w:t>
              <w:br/>
              <w:t xml:space="preserve">    items: List[ParsedBillItem]</w:t>
            </w:r>
          </w:p>
        </w:tc>
      </w:tr>
    </w:tbl>
    <w:p>
      <w:pPr>
        <w:spacing w:after="120"/>
      </w:pPr>
    </w:p>
    <w:p>
      <w:pPr>
        <w:spacing w:before="280" w:after="80"/>
      </w:pPr>
      <w:r>
        <w:rPr>
          <w:b/>
          <w:color w:val="1E3A8A"/>
          <w:sz w:val="26"/>
        </w:rPr>
        <w:t>3.4 Proportional Tax Allocation &amp; Penny Reconciliation</w:t>
      </w:r>
    </w:p>
    <w:p>
      <w:pPr>
        <w:spacing w:before="0" w:after="80" w:line="276" w:lineRule="auto"/>
      </w:pPr>
      <w:r>
        <w:t xml:space="preserve">Crucially, </w:t>
      </w:r>
      <w:r>
        <w:rPr>
          <w:b/>
        </w:rPr>
        <w:t>the LLM is strictly prohibited from calculating final per-person monetary totals</w:t>
      </w:r>
      <w:r>
        <w:t xml:space="preserve">. LLMs frequently make simple arithmetic errors when distributing taxes, service charges, and discounts across unevenly shared items. Instead, all parsed figures are converted into Python </w:t>
      </w:r>
      <w:r>
        <w:rPr>
          <w:rFonts w:ascii="Consolas" w:hAnsi="Consolas"/>
          <w:sz w:val="18"/>
        </w:rPr>
        <w:t>Decimal</w:t>
      </w:r>
      <w:r>
        <w:t xml:space="preserve"> instances with fixed two-decimal-place quantization (</w:t>
      </w:r>
      <w:r>
        <w:rPr>
          <w:rFonts w:ascii="Consolas" w:hAnsi="Consolas"/>
          <w:sz w:val="18"/>
        </w:rPr>
        <w:t>ROUND_HALF_UP</w:t>
      </w:r>
      <w:r>
        <w:t>).</w:t>
      </w:r>
    </w:p>
    <w:p>
      <w:pPr>
        <w:spacing w:before="200" w:after="40"/>
      </w:pPr>
      <w:r>
        <w:rPr>
          <w:b/>
          <w:color w:val="334155"/>
          <w:sz w:val="22"/>
        </w:rPr>
        <w:t>Mathematical Formulation of Share Allocation</w:t>
      </w:r>
    </w:p>
    <w:p>
      <w:pPr>
        <w:spacing w:before="0" w:after="80" w:line="276" w:lineRule="auto"/>
      </w:pPr>
      <w:r>
        <w:t>Let I be the set of parsed line items, and let P denote the set of participants. For each item i ∈ I with base cost C_i and assigned consumer subset P_i \subseteq P, the unweighted item share assigned to participant j ∈ P_i is:</w:t>
      </w:r>
    </w:p>
    <w:p>
      <w:pPr>
        <w:spacing w:before="0" w:after="80" w:line="276" w:lineRule="auto"/>
      </w:pPr>
      <w:r>
        <w:t>S_i, j = (C_i / |P_i|)</w:t>
      </w:r>
    </w:p>
    <w:p>
      <w:pPr>
        <w:spacing w:before="0" w:after="80" w:line="276" w:lineRule="auto"/>
      </w:pPr>
      <w:r>
        <w:t>The pre-tax, pre-discount subtotal for participant j is given by:</w:t>
      </w:r>
    </w:p>
    <w:p>
      <w:pPr>
        <w:spacing w:before="0" w:after="80" w:line="276" w:lineRule="auto"/>
      </w:pPr>
      <w:r>
        <w:t>Subtotal_j = ∑_i ∈ I \,:\, j ∈ P_i S_i, j</w:t>
      </w:r>
    </w:p>
    <w:p>
      <w:pPr>
        <w:spacing w:before="0" w:after="80" w:line="276" w:lineRule="auto"/>
      </w:pPr>
      <w:r>
        <w:t>Receipt surcharges and credits (Tax T, Tip Tip, Discount D) yield a net multiplier ratio \rho relative to the receipt base subtotal B = ∑_i ∈ I C_i:</w:t>
      </w:r>
    </w:p>
    <w:p>
      <w:pPr>
        <w:spacing w:before="0" w:after="80" w:line="276" w:lineRule="auto"/>
      </w:pPr>
      <w:r>
        <w:t>\rho = \frac{(T + Tip - D)}{B}</w:t>
      </w:r>
    </w:p>
    <w:p>
      <w:pPr>
        <w:spacing w:before="0" w:after="80" w:line="276" w:lineRule="auto"/>
      </w:pPr>
      <w:r>
        <w:t>The preliminary allocated share for participant j is calculated as:</w:t>
      </w:r>
    </w:p>
    <w:p>
      <w:pPr>
        <w:spacing w:before="0" w:after="80" w:line="276" w:lineRule="auto"/>
      </w:pPr>
      <w:r>
        <w:t>\widetilde{S}_j = round\Big(Subtotal_j  ·  (1 + \rho), \, 2\Big)</w:t>
      </w:r>
    </w:p>
    <w:p>
      <w:pPr>
        <w:spacing w:before="200" w:after="40"/>
      </w:pPr>
      <w:r>
        <w:rPr>
          <w:b/>
          <w:color w:val="334155"/>
          <w:sz w:val="22"/>
        </w:rPr>
        <w:t>Exact Penny Rounding Reconciliation</w:t>
      </w:r>
    </w:p>
    <w:p>
      <w:pPr>
        <w:spacing w:before="0" w:after="80" w:line="276" w:lineRule="auto"/>
      </w:pPr>
      <w:r>
        <w:t>Because independent rounding of rounded floating fractions can cause ∑_j ∈ P \widetilde{S}_j ≠ Total, the deterministic engine calculates the exact residual discrepancy:</w:t>
      </w:r>
    </w:p>
    <w:p>
      <w:pPr>
        <w:spacing w:before="0" w:after="80" w:line="276" w:lineRule="auto"/>
      </w:pPr>
      <w:r>
        <w:t>Δ = Total - ∑_j ∈ P \widetilde{S}_j</w:t>
      </w:r>
    </w:p>
    <w:p>
      <w:pPr>
        <w:spacing w:before="0" w:after="80" w:line="276" w:lineRule="auto"/>
      </w:pPr>
      <w:r>
        <w:t>If Δ ≠ 0.00, the engine reconciles the difference in increments of the lowest currency unit (0.01). If Δ &gt; 0, pennies are systematically allocated to the highest-paying participant shares until the discrepancy is eliminated; if Δ &lt; 0, pennies are similarly subtracted. This deterministic adjustment ensures that the quantized shares reconcile exactly to the evaluated receipt total (Δ ≡ 0.00).</w:t>
      </w:r>
    </w:p>
    <w:p>
      <w:pPr>
        <w:spacing w:before="320" w:after="120"/>
      </w:pPr>
      <w:r>
        <w:rPr>
          <w:b/>
          <w:color w:val="0F172A"/>
          <w:sz w:val="32"/>
        </w:rPr>
        <w:t>SECTION 4 — CATEGORIZATION, BUDGETING &amp; SPENDING INSIGHTS</w:t>
      </w:r>
    </w:p>
    <w:p>
      <w:pPr>
        <w:spacing w:before="280" w:after="80"/>
      </w:pPr>
      <w:r>
        <w:rPr>
          <w:b/>
          <w:color w:val="1E3A8A"/>
          <w:sz w:val="26"/>
        </w:rPr>
        <w:t>4.1 Automatic Classification into 11 Canonical Categories</w:t>
      </w:r>
    </w:p>
    <w:p>
      <w:pPr>
        <w:spacing w:before="0" w:after="80" w:line="276" w:lineRule="auto"/>
      </w:pPr>
      <w:r>
        <w:t>Every recorded expense requires appropriate categorization for meaningful budgeting and analytics. When an expense is recorded without an explicit category, the system routes the description and merchant to the AI microservice (</w:t>
      </w:r>
      <w:r>
        <w:rPr>
          <w:rFonts w:ascii="Consolas" w:hAnsi="Consolas"/>
          <w:sz w:val="18"/>
        </w:rPr>
        <w:t>/api/expense/categorize</w:t>
      </w:r>
      <w:r>
        <w:t>).</w:t>
      </w:r>
    </w:p>
    <w:p>
      <w:pPr>
        <w:spacing w:before="160" w:after="40"/>
        <w:jc w:val="center"/>
      </w:pPr>
      <w:r>
        <w:drawing>
          <wp:inline xmlns:a="http://schemas.openxmlformats.org/drawingml/2006/main" xmlns:pic="http://schemas.openxmlformats.org/drawingml/2006/picture">
            <wp:extent cx="4937760" cy="2448133"/>
            <wp:docPr id="3" name="Picture 3"/>
            <wp:cNvGraphicFramePr>
              <a:graphicFrameLocks noChangeAspect="1"/>
            </wp:cNvGraphicFramePr>
            <a:graphic>
              <a:graphicData uri="http://schemas.openxmlformats.org/drawingml/2006/picture">
                <pic:pic>
                  <pic:nvPicPr>
                    <pic:cNvPr id="0" name="categorization_insights_flow.png"/>
                    <pic:cNvPicPr/>
                  </pic:nvPicPr>
                  <pic:blipFill>
                    <a:blip r:embed="rId12"/>
                    <a:stretch>
                      <a:fillRect/>
                    </a:stretch>
                  </pic:blipFill>
                  <pic:spPr>
                    <a:xfrm>
                      <a:off x="0" y="0"/>
                      <a:ext cx="4937760" cy="2448133"/>
                    </a:xfrm>
                    <a:prstGeom prst="rect"/>
                  </pic:spPr>
                </pic:pic>
              </a:graphicData>
            </a:graphic>
          </wp:inline>
        </w:drawing>
      </w:r>
    </w:p>
    <w:p>
      <w:pPr>
        <w:spacing w:after="160"/>
        <w:jc w:val="center"/>
      </w:pPr>
      <w:r>
        <w:rPr>
          <w:i/>
          <w:color w:val="64748B"/>
          <w:sz w:val="17"/>
        </w:rPr>
        <w:t>Figure 4.1: Dual pipeline for automated transaction categorization and decoupled qualitative insight synthesis.</w:t>
      </w:r>
    </w:p>
    <w:p>
      <w:pPr>
        <w:spacing w:before="0" w:after="80" w:line="276" w:lineRule="auto"/>
      </w:pPr>
      <w:r>
        <w:t xml:space="preserve">The platform enforces a standardized taxonomy of </w:t>
      </w:r>
      <w:r>
        <w:rPr>
          <w:b/>
        </w:rPr>
        <w:t>11 canonical expense categories</w:t>
      </w:r>
      <w:r>
        <w:t>:</w:t>
      </w:r>
    </w:p>
    <w:p>
      <w:pPr>
        <w:spacing w:before="0" w:after="80" w:line="276" w:lineRule="auto"/>
      </w:pPr>
      <w:r>
        <w:t xml:space="preserve">1. </w:t>
      </w:r>
      <w:r>
        <w:rPr>
          <w:rFonts w:ascii="Consolas" w:hAnsi="Consolas"/>
          <w:sz w:val="18"/>
        </w:rPr>
        <w:t>Food &amp; Dining</w:t>
      </w:r>
      <w:r/>
    </w:p>
    <w:p>
      <w:pPr>
        <w:spacing w:before="0" w:after="80" w:line="276" w:lineRule="auto"/>
      </w:pPr>
      <w:r>
        <w:t xml:space="preserve">2. </w:t>
      </w:r>
      <w:r>
        <w:rPr>
          <w:rFonts w:ascii="Consolas" w:hAnsi="Consolas"/>
          <w:sz w:val="18"/>
        </w:rPr>
        <w:t>Transportation</w:t>
      </w:r>
      <w:r/>
    </w:p>
    <w:p>
      <w:pPr>
        <w:spacing w:before="0" w:after="80" w:line="276" w:lineRule="auto"/>
      </w:pPr>
      <w:r>
        <w:t xml:space="preserve">3. </w:t>
      </w:r>
      <w:r>
        <w:rPr>
          <w:rFonts w:ascii="Consolas" w:hAnsi="Consolas"/>
          <w:sz w:val="18"/>
        </w:rPr>
        <w:t>Shopping</w:t>
      </w:r>
      <w:r/>
    </w:p>
    <w:p>
      <w:pPr>
        <w:spacing w:before="0" w:after="80" w:line="276" w:lineRule="auto"/>
      </w:pPr>
      <w:r>
        <w:t xml:space="preserve">4. </w:t>
      </w:r>
      <w:r>
        <w:rPr>
          <w:rFonts w:ascii="Consolas" w:hAnsi="Consolas"/>
          <w:sz w:val="18"/>
        </w:rPr>
        <w:t>Entertainment</w:t>
      </w:r>
      <w:r/>
    </w:p>
    <w:p>
      <w:pPr>
        <w:spacing w:before="0" w:after="80" w:line="276" w:lineRule="auto"/>
      </w:pPr>
      <w:r>
        <w:t xml:space="preserve">5. </w:t>
      </w:r>
      <w:r>
        <w:rPr>
          <w:rFonts w:ascii="Consolas" w:hAnsi="Consolas"/>
          <w:sz w:val="18"/>
        </w:rPr>
        <w:t>Bills &amp; Utilities</w:t>
      </w:r>
      <w:r/>
    </w:p>
    <w:p>
      <w:pPr>
        <w:spacing w:before="0" w:after="80" w:line="276" w:lineRule="auto"/>
      </w:pPr>
      <w:r>
        <w:t xml:space="preserve">6. </w:t>
      </w:r>
      <w:r>
        <w:rPr>
          <w:rFonts w:ascii="Consolas" w:hAnsi="Consolas"/>
          <w:sz w:val="18"/>
        </w:rPr>
        <w:t>Healthcare</w:t>
      </w:r>
      <w:r/>
    </w:p>
    <w:p>
      <w:pPr>
        <w:spacing w:before="0" w:after="80" w:line="276" w:lineRule="auto"/>
      </w:pPr>
      <w:r>
        <w:t xml:space="preserve">7. </w:t>
      </w:r>
      <w:r>
        <w:rPr>
          <w:rFonts w:ascii="Consolas" w:hAnsi="Consolas"/>
          <w:sz w:val="18"/>
        </w:rPr>
        <w:t>Education</w:t>
      </w:r>
      <w:r/>
    </w:p>
    <w:p>
      <w:pPr>
        <w:spacing w:before="0" w:after="80" w:line="276" w:lineRule="auto"/>
      </w:pPr>
      <w:r>
        <w:t xml:space="preserve">8. </w:t>
      </w:r>
      <w:r>
        <w:rPr>
          <w:rFonts w:ascii="Consolas" w:hAnsi="Consolas"/>
          <w:sz w:val="18"/>
        </w:rPr>
        <w:t>Travel</w:t>
      </w:r>
      <w:r/>
    </w:p>
    <w:p>
      <w:pPr>
        <w:spacing w:before="0" w:after="80" w:line="276" w:lineRule="auto"/>
      </w:pPr>
      <w:r>
        <w:t xml:space="preserve">9. </w:t>
      </w:r>
      <w:r>
        <w:rPr>
          <w:rFonts w:ascii="Consolas" w:hAnsi="Consolas"/>
          <w:sz w:val="18"/>
        </w:rPr>
        <w:t>Groceries</w:t>
      </w:r>
      <w:r/>
    </w:p>
    <w:p>
      <w:pPr>
        <w:spacing w:before="0" w:after="80" w:line="276" w:lineRule="auto"/>
      </w:pPr>
      <w:r>
        <w:t xml:space="preserve">10. </w:t>
      </w:r>
      <w:r>
        <w:rPr>
          <w:rFonts w:ascii="Consolas" w:hAnsi="Consolas"/>
          <w:sz w:val="18"/>
        </w:rPr>
        <w:t>Personal Care</w:t>
      </w:r>
      <w:r/>
    </w:p>
    <w:p>
      <w:pPr>
        <w:spacing w:before="0" w:after="80" w:line="276" w:lineRule="auto"/>
      </w:pPr>
      <w:r>
        <w:t xml:space="preserve">11. </w:t>
      </w:r>
      <w:r>
        <w:rPr>
          <w:rFonts w:ascii="Consolas" w:hAnsi="Consolas"/>
          <w:sz w:val="18"/>
        </w:rPr>
        <w:t>Other</w:t>
      </w:r>
      <w:r/>
    </w:p>
    <w:p>
      <w:pPr>
        <w:spacing w:before="0" w:after="80" w:line="276" w:lineRule="auto"/>
      </w:pPr>
      <w:r>
        <w:t xml:space="preserve">The LLM is provided with contextual category definitions and constrained via Pydantic to select exactly one valid category along with an associated confidence score and a concise rationale. If the model fails or outputs an unrecognized string, the system safely defaults to </w:t>
      </w:r>
      <w:r>
        <w:rPr>
          <w:rFonts w:ascii="Consolas" w:hAnsi="Consolas"/>
          <w:sz w:val="18"/>
        </w:rPr>
        <w:t>Other</w:t>
      </w:r>
      <w:r>
        <w:t>.</w:t>
      </w:r>
    </w:p>
    <w:p>
      <w:pPr>
        <w:spacing w:before="280" w:after="80"/>
      </w:pPr>
      <w:r>
        <w:rPr>
          <w:b/>
          <w:color w:val="1E3A8A"/>
          <w:sz w:val="26"/>
        </w:rPr>
        <w:t>4.2 Monthly &amp; Category Envelope Budgeting</w:t>
      </w:r>
    </w:p>
    <w:p>
      <w:pPr>
        <w:spacing w:before="0" w:after="80" w:line="276" w:lineRule="auto"/>
      </w:pPr>
      <w:r>
        <w:t xml:space="preserve">The persistence tier stores monthly spending targets in the </w:t>
      </w:r>
      <w:r>
        <w:rPr>
          <w:rFonts w:ascii="Consolas" w:hAnsi="Consolas"/>
          <w:sz w:val="18"/>
        </w:rPr>
        <w:t>budgets</w:t>
      </w:r>
      <w:r>
        <w:t xml:space="preserve"> table keyed by month (</w:t>
      </w:r>
      <w:r>
        <w:rPr>
          <w:rFonts w:ascii="Consolas" w:hAnsi="Consolas"/>
          <w:sz w:val="18"/>
        </w:rPr>
        <w:t>YYYY-MM</w:t>
      </w:r>
      <w:r>
        <w:t>). Each record defines an overall monthly target alongside an optional JSON dictionary of category-specific spending caps.</w:t>
      </w:r>
    </w:p>
    <w:p>
      <w:pPr>
        <w:spacing w:before="0" w:after="80" w:line="276" w:lineRule="auto"/>
      </w:pPr>
      <w:r>
        <w:t xml:space="preserve">The Node.js </w:t>
      </w:r>
      <w:r>
        <w:rPr>
          <w:rFonts w:ascii="Consolas" w:hAnsi="Consolas"/>
          <w:sz w:val="18"/>
        </w:rPr>
        <w:t>BudgetService</w:t>
      </w:r>
      <w:r>
        <w:t xml:space="preserve"> computes deterministic budget progress on demand:</w:t>
      </w:r>
    </w:p>
    <w:p>
      <w:pPr>
        <w:spacing w:before="0" w:after="80" w:line="276" w:lineRule="auto"/>
      </w:pPr>
      <w:r>
        <w:t xml:space="preserve">- </w:t>
      </w:r>
      <w:r>
        <w:rPr>
          <w:b/>
        </w:rPr>
        <w:t>Total Consumption</w:t>
      </w:r>
      <w:r>
        <w:t>: Sums all persisted expenses for the calendar month and calculates the remaining balance and percentage utilized.</w:t>
      </w:r>
    </w:p>
    <w:p>
      <w:pPr>
        <w:spacing w:before="0" w:after="80" w:line="276" w:lineRule="auto"/>
      </w:pPr>
      <w:r>
        <w:t xml:space="preserve">- </w:t>
      </w:r>
      <w:r>
        <w:rPr>
          <w:b/>
        </w:rPr>
        <w:t>Envelope Health Indicators</w:t>
      </w:r>
      <w:r>
        <w:t>: Evaluates category-level expenditure against assigned caps, tagging each category with status indicators:</w:t>
      </w:r>
    </w:p>
    <w:p>
      <w:pPr>
        <w:spacing w:before="0" w:after="80" w:line="276" w:lineRule="auto"/>
      </w:pPr>
      <w:r>
        <w:t xml:space="preserve">- </w:t>
      </w:r>
      <w:r>
        <w:rPr>
          <w:rFonts w:ascii="Consolas" w:hAnsi="Consolas"/>
          <w:sz w:val="18"/>
        </w:rPr>
        <w:t>OK</w:t>
      </w:r>
      <w:r>
        <w:t xml:space="preserve"> (&lt; 80% consumed)</w:t>
      </w:r>
    </w:p>
    <w:p>
      <w:pPr>
        <w:spacing w:before="0" w:after="80" w:line="276" w:lineRule="auto"/>
      </w:pPr>
      <w:r>
        <w:t xml:space="preserve">- </w:t>
      </w:r>
      <w:r>
        <w:rPr>
          <w:rFonts w:ascii="Consolas" w:hAnsi="Consolas"/>
          <w:sz w:val="18"/>
        </w:rPr>
        <w:t>WARNING</w:t>
      </w:r>
      <w:r>
        <w:t xml:space="preserve"> (80% - 100% consumed)</w:t>
      </w:r>
    </w:p>
    <w:p>
      <w:pPr>
        <w:spacing w:before="0" w:after="80" w:line="276" w:lineRule="auto"/>
      </w:pPr>
      <w:r>
        <w:t xml:space="preserve">- </w:t>
      </w:r>
      <w:r>
        <w:rPr>
          <w:rFonts w:ascii="Consolas" w:hAnsi="Consolas"/>
          <w:sz w:val="18"/>
        </w:rPr>
        <w:t>EXCEEDED</w:t>
      </w:r>
      <w:r>
        <w:t xml:space="preserve"> (&gt; 100% consumed)</w:t>
      </w:r>
    </w:p>
    <w:p>
      <w:pPr>
        <w:spacing w:before="280" w:after="80"/>
      </w:pPr>
      <w:r>
        <w:rPr>
          <w:b/>
          <w:color w:val="1E3A8A"/>
          <w:sz w:val="26"/>
        </w:rPr>
        <w:t>4.3 Decoupled Natural Language Spending Insights</w:t>
      </w:r>
    </w:p>
    <w:p>
      <w:pPr>
        <w:spacing w:before="0" w:after="80" w:line="276" w:lineRule="auto"/>
      </w:pPr>
      <w:r>
        <w:t>To generate narrative monthly financial summaries, the application adheres to a decoupled architecture:</w:t>
      </w:r>
    </w:p>
    <w:p>
      <w:pPr>
        <w:spacing w:before="0" w:after="80" w:line="276" w:lineRule="auto"/>
      </w:pPr>
      <w:r>
        <w:t xml:space="preserve">1. </w:t>
      </w:r>
      <w:r>
        <w:rPr>
          <w:b/>
        </w:rPr>
        <w:t>Deterministic Aggregation</w:t>
      </w:r>
      <w:r>
        <w:t>: The backend queries all transactions for the specified month and computes hard mathematical metrics directly: total expenditure, top spending category, category percentage breakdown, daily burn rate, and projected end-of-month spend.</w:t>
      </w:r>
    </w:p>
    <w:p>
      <w:pPr>
        <w:spacing w:before="0" w:after="80" w:line="276" w:lineRule="auto"/>
      </w:pPr>
      <w:r>
        <w:t xml:space="preserve">2. </w:t>
      </w:r>
      <w:r>
        <w:rPr>
          <w:b/>
        </w:rPr>
        <w:t>Qualitative Synthesis</w:t>
      </w:r>
      <w:r>
        <w:t>: These verified metrics are supplied as structured parameters into a tailored prompt for the LLM. The model generates qualitative narrative commentary, identifies spending trends, and offers practical savings advice without performing any independent arithmetic.</w:t>
      </w:r>
    </w:p>
    <w:p>
      <w:pPr>
        <w:spacing w:before="320" w:after="120"/>
      </w:pPr>
      <w:r>
        <w:rPr>
          <w:b/>
          <w:color w:val="0F172A"/>
          <w:sz w:val="32"/>
        </w:rPr>
        <w:t>SECTION 5 — STATISTICAL ANOMALIES &amp; EXPENDITURE FORECASTING</w:t>
      </w:r>
    </w:p>
    <w:p>
      <w:pPr>
        <w:spacing w:before="280" w:after="80"/>
      </w:pPr>
      <w:r>
        <w:rPr>
          <w:b/>
          <w:color w:val="1E3A8A"/>
          <w:sz w:val="26"/>
        </w:rPr>
        <w:t>5.1 Leave-One-Out (LOO) Statistical Outlier Detection</w:t>
      </w:r>
    </w:p>
    <w:p>
      <w:pPr>
        <w:spacing w:before="0" w:after="80" w:line="276" w:lineRule="auto"/>
      </w:pPr>
      <w:r>
        <w:t>Traditional anomaly detection often compares a candidate transaction x_t against the mean μ and standard deviation σ of the entire historical sample. However, an extreme outlier can artificially inflate both μ and σ, thereby masking its own anomalous nature.</w:t>
      </w:r>
    </w:p>
    <w:p>
      <w:pPr>
        <w:spacing w:before="160" w:after="40"/>
        <w:jc w:val="center"/>
      </w:pPr>
      <w:r>
        <w:drawing>
          <wp:inline xmlns:a="http://schemas.openxmlformats.org/drawingml/2006/main" xmlns:pic="http://schemas.openxmlformats.org/drawingml/2006/picture">
            <wp:extent cx="4937760" cy="2448133"/>
            <wp:docPr id="4" name="Picture 4"/>
            <wp:cNvGraphicFramePr>
              <a:graphicFrameLocks noChangeAspect="1"/>
            </wp:cNvGraphicFramePr>
            <a:graphic>
              <a:graphicData uri="http://schemas.openxmlformats.org/drawingml/2006/picture">
                <pic:pic>
                  <pic:nvPicPr>
                    <pic:cNvPr id="0" name="anomaly_detection_pipeline.png"/>
                    <pic:cNvPicPr/>
                  </pic:nvPicPr>
                  <pic:blipFill>
                    <a:blip r:embed="rId13"/>
                    <a:stretch>
                      <a:fillRect/>
                    </a:stretch>
                  </pic:blipFill>
                  <pic:spPr>
                    <a:xfrm>
                      <a:off x="0" y="0"/>
                      <a:ext cx="4937760" cy="2448133"/>
                    </a:xfrm>
                    <a:prstGeom prst="rect"/>
                  </pic:spPr>
                </pic:pic>
              </a:graphicData>
            </a:graphic>
          </wp:inline>
        </w:drawing>
      </w:r>
    </w:p>
    <w:p>
      <w:pPr>
        <w:spacing w:after="160"/>
        <w:jc w:val="center"/>
      </w:pPr>
      <w:r>
        <w:rPr>
          <w:i/>
          <w:color w:val="64748B"/>
          <w:sz w:val="17"/>
        </w:rPr>
        <w:t>Figure 5.1: Leave-One-Out (LOO) statistical outlier detection pipeline preventing baseline contamination.</w:t>
      </w:r>
    </w:p>
    <w:p>
      <w:pPr>
        <w:spacing w:before="0" w:after="80" w:line="276" w:lineRule="auto"/>
      </w:pPr>
      <w:r>
        <w:t xml:space="preserve">To solve this, </w:t>
      </w:r>
      <w:r>
        <w:rPr>
          <w:rFonts w:ascii="Consolas" w:hAnsi="Consolas"/>
          <w:sz w:val="18"/>
        </w:rPr>
        <w:t>enhanced-sw</w:t>
      </w:r>
      <w:r>
        <w:t xml:space="preserve"> implements a </w:t>
      </w:r>
      <w:r>
        <w:rPr>
          <w:b/>
        </w:rPr>
        <w:t>Leave-One-Out (LOO)</w:t>
      </w:r>
      <w:r>
        <w:t xml:space="preserve"> statistical evaluation across category histories:</w:t>
      </w:r>
    </w:p>
    <w:tbl>
      <w:tblPr>
        <w:tblW w:type="auto" w:w="0"/>
        <w:jc w:val="center"/>
        <w:tblLook w:firstColumn="1" w:firstRow="1" w:lastColumn="0" w:lastRow="0" w:noHBand="0" w:noVBand="1" w:val="04A0"/>
      </w:tblPr>
      <w:tblGrid>
        <w:gridCol w:w="9605"/>
      </w:tblGrid>
      <w:tr>
        <w:tc>
          <w:tcPr>
            <w:tcW w:type="dxa" w:w="9605"/>
            <w:shd w:fill="F8FAFC"/>
            <w:tcMar>
              <w:top w:w="100" w:type="dxa"/>
              <w:bottom w:w="100" w:type="dxa"/>
              <w:left w:w="150" w:type="dxa"/>
              <w:right w:w="150" w:type="dxa"/>
            </w:tcMar>
          </w:tcPr>
          <w:p>
            <w:pPr>
              <w:spacing w:before="80" w:after="80"/>
            </w:pPr>
            <w:r>
              <w:rPr>
                <w:rFonts w:ascii="Consolas" w:hAnsi="Consolas"/>
                <w:color w:val="0F172A"/>
                <w:sz w:val="17"/>
              </w:rPr>
              <w:t>Algorithm 2: Leave-One-Out Category Outlier Evaluation</w:t>
              <w:br/>
              <w:t>Input: Category historical transactions H = {x_1, x_2, ..., x_N}, Candidate item x_t</w:t>
              <w:br/>
              <w:t>Parameters: Sensitivity factor k = 2.5, Absolute floor T_floor = ₹250.00</w:t>
              <w:br/>
              <w:t>Output: is_anomaly (bool), severity (str), reason (str)</w:t>
              <w:br/>
              <w:br/>
              <w:t>1: If |H| &lt; 3: Return (False, "NONE", "Insufficient sample size")</w:t>
              <w:br/>
              <w:t>2: Compute LOO baseline excluding x_t: H_loo = H \ {x_t}</w:t>
              <w:br/>
              <w:t>3: mu_loo = Mean(H_loo)</w:t>
              <w:br/>
              <w:t>4: sigma_loo = StandardDeviation(H_loo)</w:t>
              <w:br/>
              <w:t>5: Dynamic threshold T_upper = Max(mu_loo + (k * Max(sigma_loo, 0.3 * mu_loo)), T_floor)</w:t>
              <w:br/>
              <w:t>6: If x_t &gt; T_upper AND x_t &gt;= T_floor:</w:t>
              <w:br/>
              <w:t>7:     ratio = x_t / mu_loo</w:t>
              <w:br/>
              <w:t>8:     If x_t &gt;= mu_loo + 3.0 * sigma_loo OR ratio &gt;= 3.0: severity = "HIGH"</w:t>
              <w:br/>
              <w:t>9:     Else If x_t &gt;= mu_loo + 2.0 * sigma_loo OR ratio &gt;= 2.0: severity = "MEDIUM"</w:t>
              <w:br/>
              <w:t>10:    Else: severity = "MILD"</w:t>
              <w:br/>
              <w:t>11:    Return (True, severity, Format("₹{x_t} is {ratio:.1f}x higher than category baseline"))</w:t>
              <w:br/>
              <w:t>12: Return (False, "NONE", "Transaction within expected variance")</w:t>
            </w:r>
          </w:p>
        </w:tc>
      </w:tr>
    </w:tbl>
    <w:p>
      <w:pPr>
        <w:spacing w:after="120"/>
      </w:pPr>
    </w:p>
    <w:p>
      <w:pPr>
        <w:spacing w:before="0" w:after="80" w:line="276" w:lineRule="auto"/>
      </w:pPr>
      <w:r>
        <w:t>Because this is a statistical heuristic rather than a heavy black-box machine learning model, anomaly flags are fully transparent, computationally instantaneous (O(N)), and accompanied by plain-English explanations.</w:t>
      </w:r>
    </w:p>
    <w:p>
      <w:pPr>
        <w:spacing w:before="280" w:after="80"/>
      </w:pPr>
      <w:r>
        <w:rPr>
          <w:b/>
          <w:color w:val="1E3A8A"/>
          <w:sz w:val="26"/>
        </w:rPr>
        <w:t>5.2 Time-Series Expenditure Forecasting with Meta Prophet</w:t>
      </w:r>
    </w:p>
    <w:p>
      <w:pPr>
        <w:spacing w:before="0" w:after="80" w:line="276" w:lineRule="auto"/>
      </w:pPr>
      <w:r>
        <w:t>Predicting forward expenses requires modeling underlying spending trajectories alongside periodic weekly spikes (e.g., weekend leisure or grocery runs).</w:t>
      </w:r>
    </w:p>
    <w:p>
      <w:pPr>
        <w:spacing w:before="160" w:after="40"/>
        <w:jc w:val="center"/>
      </w:pPr>
      <w:r>
        <w:drawing>
          <wp:inline xmlns:a="http://schemas.openxmlformats.org/drawingml/2006/main" xmlns:pic="http://schemas.openxmlformats.org/drawingml/2006/picture">
            <wp:extent cx="4937760" cy="2448133"/>
            <wp:docPr id="5" name="Picture 5"/>
            <wp:cNvGraphicFramePr>
              <a:graphicFrameLocks noChangeAspect="1"/>
            </wp:cNvGraphicFramePr>
            <a:graphic>
              <a:graphicData uri="http://schemas.openxmlformats.org/drawingml/2006/picture">
                <pic:pic>
                  <pic:nvPicPr>
                    <pic:cNvPr id="0" name="forecasting_pipeline.png"/>
                    <pic:cNvPicPr/>
                  </pic:nvPicPr>
                  <pic:blipFill>
                    <a:blip r:embed="rId14"/>
                    <a:stretch>
                      <a:fillRect/>
                    </a:stretch>
                  </pic:blipFill>
                  <pic:spPr>
                    <a:xfrm>
                      <a:off x="0" y="0"/>
                      <a:ext cx="4937760" cy="2448133"/>
                    </a:xfrm>
                    <a:prstGeom prst="rect"/>
                  </pic:spPr>
                </pic:pic>
              </a:graphicData>
            </a:graphic>
          </wp:inline>
        </w:drawing>
      </w:r>
    </w:p>
    <w:p>
      <w:pPr>
        <w:spacing w:after="160"/>
        <w:jc w:val="center"/>
      </w:pPr>
      <w:r>
        <w:rPr>
          <w:i/>
          <w:color w:val="64748B"/>
          <w:sz w:val="17"/>
        </w:rPr>
        <w:t>Figure 5.2: Continuous time-series preprocessing, Prophet GAM fitting, and cold-start fallback flow.</w:t>
      </w:r>
    </w:p>
    <w:p>
      <w:pPr>
        <w:spacing w:before="200" w:after="40"/>
      </w:pPr>
      <w:r>
        <w:rPr>
          <w:b/>
          <w:color w:val="334155"/>
          <w:sz w:val="22"/>
        </w:rPr>
        <w:t>Preprocessing &amp; Continuous Daily Resampling</w:t>
      </w:r>
    </w:p>
    <w:p>
      <w:pPr>
        <w:spacing w:before="0" w:after="80" w:line="276" w:lineRule="auto"/>
      </w:pPr>
      <w:r>
        <w:t>Expense timestamps are aggregated by calendar day. Because consumers do not transact every single day, standard raw series contain temporal gaps. The service reindexes the date index continuously over the entire historical range, explicitly imputing zero spend (</w:t>
      </w:r>
      <w:r>
        <w:rPr>
          <w:rFonts w:ascii="Consolas" w:hAnsi="Consolas"/>
          <w:sz w:val="18"/>
        </w:rPr>
        <w:t>0.00</w:t>
      </w:r>
      <w:r>
        <w:t>) for non-active days. This prevents the model from misinterpreting missing dates as compressed time intervals.</w:t>
      </w:r>
    </w:p>
    <w:p>
      <w:pPr>
        <w:spacing w:before="200" w:after="40"/>
      </w:pPr>
      <w:r>
        <w:rPr>
          <w:b/>
          <w:color w:val="334155"/>
          <w:sz w:val="22"/>
        </w:rPr>
        <w:t>Model Specification &amp; Uncertainty Bounds</w:t>
      </w:r>
    </w:p>
    <w:p>
      <w:pPr>
        <w:spacing w:before="0" w:after="80" w:line="276" w:lineRule="auto"/>
      </w:pPr>
      <w:r>
        <w:t xml:space="preserve">The forecasting engine deploys </w:t>
      </w:r>
      <w:r>
        <w:rPr>
          <w:b/>
        </w:rPr>
        <w:t>Meta Prophet</w:t>
      </w:r>
      <w:r>
        <w:t>, a Generalized Additive Model (GAM) defined as:</w:t>
      </w:r>
    </w:p>
    <w:p>
      <w:pPr>
        <w:spacing w:before="0" w:after="80" w:line="276" w:lineRule="auto"/>
      </w:pPr>
      <w:r>
        <w:t>y(t) = g(t) + s(t) + ε_t</w:t>
      </w:r>
    </w:p>
    <w:p>
      <w:pPr>
        <w:spacing w:before="0" w:after="80" w:line="276" w:lineRule="auto"/>
      </w:pPr>
      <w:r>
        <w:t>where g(t) represents a piecewise linear growth trend, s(t) models weekly Fourier seasonality (P = 7 days), and ε_t captures residual variance.</w:t>
      </w:r>
    </w:p>
    <w:p>
      <w:pPr>
        <w:spacing w:before="0" w:after="80" w:line="276" w:lineRule="auto"/>
      </w:pPr>
      <w:r>
        <w:t xml:space="preserve">- </w:t>
      </w:r>
      <w:r>
        <w:rPr>
          <w:b/>
        </w:rPr>
        <w:t>Uncertainty Intervals</w:t>
      </w:r>
      <w:r>
        <w:t xml:space="preserve">: Configured at an </w:t>
      </w:r>
      <w:r>
        <w:rPr>
          <w:b/>
        </w:rPr>
        <w:t>80% uncertainty interval</w:t>
      </w:r>
      <w:r>
        <w:t xml:space="preserve"> (</w:t>
      </w:r>
      <w:r>
        <w:rPr>
          <w:rFonts w:ascii="Consolas" w:hAnsi="Consolas"/>
          <w:sz w:val="18"/>
        </w:rPr>
        <w:t>interval_width=0.80</w:t>
      </w:r>
      <w:r>
        <w:t>), producing upper and lower forward bounds (ŷ_lower, ŷ_upper).</w:t>
      </w:r>
    </w:p>
    <w:p>
      <w:pPr>
        <w:spacing w:before="0" w:after="80" w:line="276" w:lineRule="auto"/>
      </w:pPr>
      <w:r>
        <w:t xml:space="preserve">- </w:t>
      </w:r>
      <w:r>
        <w:rPr>
          <w:b/>
        </w:rPr>
        <w:t>Gating &amp; Fallback Behavior</w:t>
      </w:r>
      <w:r>
        <w:t>: Time-series fitting requires adequate temporal structure:</w:t>
      </w:r>
    </w:p>
    <w:p>
      <w:pPr>
        <w:spacing w:before="0" w:after="80" w:line="276" w:lineRule="auto"/>
      </w:pPr>
      <w:r>
        <w:t xml:space="preserve">- </w:t>
      </w:r>
      <w:r>
        <w:rPr>
          <w:b/>
        </w:rPr>
        <w:t>Data Sufficiency Threshold</w:t>
      </w:r>
      <w:r>
        <w:t xml:space="preserve">: The service requires at least 5 valid expense transactions spanning at least 3 distinct calendar days. If these thresholds are not satisfied, the forecaster returns </w:t>
      </w:r>
      <w:r>
        <w:rPr>
          <w:rFonts w:ascii="Consolas" w:hAnsi="Consolas"/>
          <w:sz w:val="18"/>
        </w:rPr>
        <w:t>has_sufficient_data = False</w:t>
      </w:r>
      <w:r>
        <w:t xml:space="preserve"> with an empty forecast points list (</w:t>
      </w:r>
      <w:r>
        <w:rPr>
          <w:rFonts w:ascii="Consolas" w:hAnsi="Consolas"/>
          <w:sz w:val="18"/>
        </w:rPr>
        <w:t>[]</w:t>
      </w:r>
      <w:r>
        <w:t>) and zero projected expenditure, explicitly signaling to the client that sample history is insufficient for projection.</w:t>
      </w:r>
    </w:p>
    <w:p>
      <w:pPr>
        <w:spacing w:before="0" w:after="80" w:line="276" w:lineRule="auto"/>
      </w:pPr>
      <w:r>
        <w:t xml:space="preserve">- </w:t>
      </w:r>
      <w:r>
        <w:rPr>
          <w:b/>
        </w:rPr>
        <w:t>Model Fitting Exception Fallback</w:t>
      </w:r>
      <w:r>
        <w:t>: When sufficient data is present but Prophet model optimization fails (e.g., numerical convergence issues or linear algebra exceptions during MCMC/L-BFGS), the service executes a graceful fallback (</w:t>
      </w:r>
      <w:r>
        <w:rPr>
          <w:rFonts w:ascii="Consolas" w:hAnsi="Consolas"/>
          <w:sz w:val="18"/>
        </w:rPr>
        <w:t>_build_fallback_response</w:t>
      </w:r>
      <w:r>
        <w:t>). This baseline projects future spending using a deterministic 7-day historical daily average with heuristic \pm 30% uncertainty bounds (</w:t>
      </w:r>
      <w:r>
        <w:rPr>
          <w:rFonts w:ascii="Consolas" w:hAnsi="Consolas"/>
          <w:sz w:val="18"/>
        </w:rPr>
        <w:t>lower = 0.7 * pred</w:t>
      </w:r>
      <w:r>
        <w:t xml:space="preserve">, </w:t>
      </w:r>
      <w:r>
        <w:rPr>
          <w:rFonts w:ascii="Consolas" w:hAnsi="Consolas"/>
          <w:sz w:val="18"/>
        </w:rPr>
        <w:t>upper = 1.3 * pred</w:t>
      </w:r>
      <w:r>
        <w:t xml:space="preserve">), labeled as </w:t>
      </w:r>
      <w:r>
        <w:rPr>
          <w:rFonts w:ascii="Consolas" w:hAnsi="Consolas"/>
          <w:sz w:val="18"/>
        </w:rPr>
        <w:t>Baseline (Prophet Fallback)</w:t>
      </w:r>
      <w:r>
        <w:t>.</w:t>
      </w:r>
    </w:p>
    <w:p>
      <w:pPr>
        <w:spacing w:before="320" w:after="120"/>
      </w:pPr>
      <w:r>
        <w:rPr>
          <w:b/>
          <w:color w:val="0F172A"/>
          <w:sz w:val="32"/>
        </w:rPr>
        <w:t>SECTION 6 — GROUP DEBT SIMPLIFICATION &amp; SETTLEMENT TRACKING</w:t>
      </w:r>
    </w:p>
    <w:p>
      <w:pPr>
        <w:spacing w:before="280" w:after="80"/>
      </w:pPr>
      <w:r>
        <w:rPr>
          <w:b/>
          <w:color w:val="1E3A8A"/>
          <w:sz w:val="26"/>
        </w:rPr>
        <w:t>6.1 Greedy Debt Simplification with Bipartite Matching</w:t>
      </w:r>
    </w:p>
    <w:p>
      <w:pPr>
        <w:spacing w:before="0" w:after="80" w:line="276" w:lineRule="auto"/>
      </w:pPr>
      <w:r>
        <w:t>In a peer group where multiple members pay for varied activities, informal IOUs create dense, circular debt graphs. For N participants, arbitrary bilateral agreements can require up to (N(N-1) / 2) separate transactions.</w:t>
      </w:r>
    </w:p>
    <w:p>
      <w:pPr>
        <w:spacing w:before="160" w:after="40"/>
        <w:jc w:val="center"/>
      </w:pPr>
      <w:r>
        <w:drawing>
          <wp:inline xmlns:a="http://schemas.openxmlformats.org/drawingml/2006/main" xmlns:pic="http://schemas.openxmlformats.org/drawingml/2006/picture">
            <wp:extent cx="4937760" cy="2655602"/>
            <wp:docPr id="6" name="Picture 6"/>
            <wp:cNvGraphicFramePr>
              <a:graphicFrameLocks noChangeAspect="1"/>
            </wp:cNvGraphicFramePr>
            <a:graphic>
              <a:graphicData uri="http://schemas.openxmlformats.org/drawingml/2006/picture">
                <pic:pic>
                  <pic:nvPicPr>
                    <pic:cNvPr id="0" name="debt_simplification_flow.png"/>
                    <pic:cNvPicPr/>
                  </pic:nvPicPr>
                  <pic:blipFill>
                    <a:blip r:embed="rId15"/>
                    <a:stretch>
                      <a:fillRect/>
                    </a:stretch>
                  </pic:blipFill>
                  <pic:spPr>
                    <a:xfrm>
                      <a:off x="0" y="0"/>
                      <a:ext cx="4937760" cy="2655602"/>
                    </a:xfrm>
                    <a:prstGeom prst="rect"/>
                  </pic:spPr>
                </pic:pic>
              </a:graphicData>
            </a:graphic>
          </wp:inline>
        </w:drawing>
      </w:r>
    </w:p>
    <w:p>
      <w:pPr>
        <w:spacing w:after="160"/>
        <w:jc w:val="center"/>
      </w:pPr>
      <w:r>
        <w:rPr>
          <w:i/>
          <w:color w:val="64748B"/>
          <w:sz w:val="17"/>
        </w:rPr>
        <w:t>Figure 6.1: Greedy Debt Simplification Algorithm showing net balance extraction, max-heaps, and greedy settlement matching.</w:t>
      </w:r>
    </w:p>
    <w:p>
      <w:pPr>
        <w:spacing w:before="200" w:after="40"/>
      </w:pPr>
      <w:r>
        <w:rPr>
          <w:b/>
          <w:color w:val="334155"/>
          <w:sz w:val="22"/>
        </w:rPr>
        <w:t>Algorithmic Execution</w:t>
      </w:r>
    </w:p>
    <w:p>
      <w:pPr>
        <w:spacing w:before="0" w:after="80" w:line="276" w:lineRule="auto"/>
      </w:pPr>
      <w:r>
        <w:t>The debt simplifier models the group as a directed cash-flow network and reduces it to a compact settlement plan with at most N-1 direct transfers:</w:t>
      </w:r>
    </w:p>
    <w:p>
      <w:pPr>
        <w:spacing w:before="0" w:after="80" w:line="276" w:lineRule="auto"/>
      </w:pPr>
      <w:r>
        <w:t xml:space="preserve">1. </w:t>
      </w:r>
      <w:r>
        <w:rPr>
          <w:b/>
        </w:rPr>
        <w:t>Net Balance Vector Extraction</w:t>
      </w:r>
      <w:r>
        <w:t>: For each participant u, compute net position: Net(u) = Amount Paid_u - Fair Share_u. Conservation of currency ensures ∑_u ∈ V Net(u) = 0.00. Participants with Net &lt; 0 are net debtors; those with Net &gt; 0 are net creditors.</w:t>
      </w:r>
    </w:p>
    <w:p>
      <w:pPr>
        <w:spacing w:before="0" w:after="80" w:line="276" w:lineRule="auto"/>
      </w:pPr>
      <w:r>
        <w:t xml:space="preserve">2. </w:t>
      </w:r>
      <w:r>
        <w:rPr>
          <w:b/>
        </w:rPr>
        <w:t>Priority Queue Matching</w:t>
      </w:r>
      <w:r>
        <w:t>: Debtors and creditors are inserted into two distinct Max-Heaps ordered by absolute magnitude.</w:t>
      </w:r>
    </w:p>
    <w:p>
      <w:pPr>
        <w:spacing w:before="0" w:after="80" w:line="276" w:lineRule="auto"/>
      </w:pPr>
      <w:r>
        <w:t xml:space="preserve">3. </w:t>
      </w:r>
      <w:r>
        <w:rPr>
          <w:b/>
        </w:rPr>
        <w:t>Greedy Bilateral Elimination</w:t>
      </w:r>
      <w:r>
        <w:t>: At each step, pop the largest debtor D_max and largest creditor C_max. Settle transfer\_amount = min(|D_max|, C_max), emit the transfer, and reinsert any remaining balance back into the corresponding heap.</w:t>
      </w:r>
    </w:p>
    <w:tbl>
      <w:tblPr>
        <w:tblW w:type="auto" w:w="0"/>
        <w:jc w:val="center"/>
        <w:tblLook w:firstColumn="1" w:firstRow="1" w:lastColumn="0" w:lastRow="0" w:noHBand="0" w:noVBand="1" w:val="04A0"/>
      </w:tblPr>
      <w:tblGrid>
        <w:gridCol w:w="9605"/>
      </w:tblGrid>
      <w:tr>
        <w:tc>
          <w:tcPr>
            <w:tcW w:type="dxa" w:w="9605"/>
            <w:shd w:fill="F8FAFC"/>
            <w:tcMar>
              <w:top w:w="100" w:type="dxa"/>
              <w:bottom w:w="100" w:type="dxa"/>
              <w:left w:w="150" w:type="dxa"/>
              <w:right w:w="150" w:type="dxa"/>
            </w:tcMar>
          </w:tcPr>
          <w:p>
            <w:pPr>
              <w:spacing w:before="80" w:after="80"/>
            </w:pPr>
            <w:r>
              <w:rPr>
                <w:rFonts w:ascii="Consolas" w:hAnsi="Consolas"/>
                <w:color w:val="0F172A"/>
                <w:sz w:val="17"/>
              </w:rPr>
              <w:t>Algorithm 3: Greedy Debt Simplification</w:t>
              <w:br/>
              <w:t>Input: Participant payments List P = {(person_i, amount_paid_i)}</w:t>
              <w:br/>
              <w:t>Output: Compact transfers List T = {(from_person, to_person, amount, instruction)}</w:t>
              <w:br/>
              <w:br/>
              <w:t>1: total_spent = Sum(p.amount_paid for p in P)</w:t>
              <w:br/>
              <w:t>2: fair_share = total_spent / |P|</w:t>
              <w:br/>
              <w:t>3: Initialize MaxHeap Debtors, Creditors</w:t>
              <w:br/>
              <w:t>4: For each p in P:</w:t>
              <w:br/>
              <w:t>5:     net = p.amount_paid - fair_share</w:t>
              <w:br/>
              <w:t>6:     If net &lt; -0.01: Debtors.Push(|net|, p.person)</w:t>
              <w:br/>
              <w:t>7:     Else If net &gt; 0.01: Creditors.Push(net, p.person)</w:t>
              <w:br/>
              <w:t>8: Initialize Transfers = []</w:t>
              <w:br/>
              <w:t>9: While Debtors and Creditors are not empty:</w:t>
              <w:br/>
              <w:t>10:    (d_amt, debtor) = Debtors.PopMax()</w:t>
              <w:br/>
              <w:t>11:    (c_amt, creditor) = Creditors.PopMax()</w:t>
              <w:br/>
              <w:t>12:    settle_amt = Min(d_amt, c_amt)</w:t>
              <w:br/>
              <w:t>13:    Append (debtor, creditor, settle_amt) to Transfers</w:t>
              <w:br/>
              <w:t>14:    If d_amt - settle_amt &gt; 0.01: Debtors.Push(d_amt - settle_amt, debtor)</w:t>
              <w:br/>
              <w:t>15:    If c_amt - settle_amt &gt; 0.01: Creditors.Push(c_amt - settle_amt, creditor)</w:t>
              <w:br/>
              <w:t>16: Return Transfers</w:t>
            </w:r>
          </w:p>
        </w:tc>
      </w:tr>
    </w:tbl>
    <w:p>
      <w:pPr>
        <w:spacing w:after="120"/>
      </w:pPr>
    </w:p>
    <w:p>
      <w:pPr>
        <w:spacing w:before="280" w:after="80"/>
      </w:pPr>
      <w:r>
        <w:rPr>
          <w:b/>
          <w:color w:val="1E3A8A"/>
          <w:sz w:val="26"/>
        </w:rPr>
        <w:t>6.2 Interactive In-Session Settlement Tracking</w:t>
      </w:r>
    </w:p>
    <w:p>
      <w:pPr>
        <w:spacing w:before="0" w:after="80" w:line="276" w:lineRule="auto"/>
      </w:pPr>
      <w:r>
        <w:t>Generating transfers resolves mathematical debts, but participants need an intuitive workflow to track payments in progress.</w:t>
      </w:r>
    </w:p>
    <w:p>
      <w:pPr>
        <w:spacing w:before="200" w:after="40"/>
      </w:pPr>
      <w:r>
        <w:rPr>
          <w:b/>
          <w:color w:val="334155"/>
          <w:sz w:val="22"/>
        </w:rPr>
        <w:t>In-Session Status Workflow</w:t>
      </w:r>
    </w:p>
    <w:p>
      <w:pPr>
        <w:spacing w:before="0" w:after="80" w:line="276" w:lineRule="auto"/>
      </w:pPr>
      <w:r>
        <w:t>The mobile client provides interactive settlement tracking directly on calculated results:</w:t>
      </w:r>
    </w:p>
    <w:p>
      <w:pPr>
        <w:spacing w:before="0" w:after="80" w:line="276" w:lineRule="auto"/>
      </w:pPr>
      <w:r>
        <w:t xml:space="preserve">- </w:t>
      </w:r>
      <w:r>
        <w:rPr>
          <w:b/>
        </w:rPr>
        <w:t>Pending vs. Settled Status</w:t>
      </w:r>
      <w:r>
        <w:t xml:space="preserve">: Each transfer card features an interactive checkmark allowing users to toggle status between </w:t>
      </w:r>
      <w:r>
        <w:rPr>
          <w:rFonts w:ascii="Consolas" w:hAnsi="Consolas"/>
          <w:sz w:val="18"/>
        </w:rPr>
        <w:t>Pending</w:t>
      </w:r>
      <w:r>
        <w:t xml:space="preserve"> and </w:t>
      </w:r>
      <w:r>
        <w:rPr>
          <w:rFonts w:ascii="Consolas" w:hAnsi="Consolas"/>
          <w:sz w:val="18"/>
        </w:rPr>
        <w:t>Settled</w:t>
      </w:r>
      <w:r>
        <w:t>. Settled transfers are visually struck through and badged in green.</w:t>
      </w:r>
    </w:p>
    <w:p>
      <w:pPr>
        <w:spacing w:before="0" w:after="80" w:line="276" w:lineRule="auto"/>
      </w:pPr>
      <w:r>
        <w:t xml:space="preserve">- </w:t>
      </w:r>
      <w:r>
        <w:rPr>
          <w:b/>
        </w:rPr>
        <w:t>Dynamic Real-Time Overview</w:t>
      </w:r>
      <w:r>
        <w:t>: The interface recalculates the count of pending and settled transfers, the remaining unsettled cash balance, and displays an all-settled completion banner when all transfers are marked settled.</w:t>
      </w:r>
    </w:p>
    <w:p>
      <w:pPr>
        <w:spacing w:before="0" w:after="80" w:line="276" w:lineRule="auto"/>
      </w:pPr>
      <w:r>
        <w:t xml:space="preserve">- </w:t>
      </w:r>
      <w:r>
        <w:rPr>
          <w:b/>
        </w:rPr>
        <w:t>Architectural Scope &amp; Session Limitation</w:t>
      </w:r>
      <w:r>
        <w:t xml:space="preserve">: The settlement engine is completely </w:t>
      </w:r>
      <w:r>
        <w:rPr>
          <w:b/>
        </w:rPr>
        <w:t>stateless</w:t>
      </w:r>
      <w:r>
        <w:t xml:space="preserve">. No persistent group ledger or multi-user identity system exists in the database. Consequently, settlement tracking is maintained </w:t>
      </w:r>
      <w:r>
        <w:rPr>
          <w:b/>
        </w:rPr>
        <w:t>in client memory during the active session only</w:t>
      </w:r>
      <w:r>
        <w:t xml:space="preserve"> and is reset upon navigating away or restarting the application. The system does not verify actual UPI, bank, or payment transfers.</w:t>
      </w:r>
    </w:p>
    <w:p>
      <w:pPr>
        <w:spacing w:before="320" w:after="120"/>
      </w:pPr>
      <w:r>
        <w:rPr>
          <w:b/>
          <w:color w:val="0F172A"/>
          <w:sz w:val="32"/>
        </w:rPr>
        <w:t>SECTION 7 — DATA PERSISTENCE &amp; API DESIGN</w:t>
      </w:r>
    </w:p>
    <w:p>
      <w:pPr>
        <w:spacing w:before="280" w:after="80"/>
      </w:pPr>
      <w:r>
        <w:rPr>
          <w:b/>
          <w:color w:val="1E3A8A"/>
          <w:sz w:val="26"/>
        </w:rPr>
        <w:t>7.1 Relational Schema &amp; In-Memory Fallback Driver</w:t>
      </w:r>
    </w:p>
    <w:p>
      <w:pPr>
        <w:spacing w:before="0" w:after="80" w:line="276" w:lineRule="auto"/>
      </w:pPr>
      <w:r>
        <w:t>The persistence architecture utilizes PostgreSQL with automated SQL schema migrations executed during gateway startup.</w:t>
      </w:r>
    </w:p>
    <w:tbl>
      <w:tblPr>
        <w:tblW w:type="auto" w:w="0"/>
        <w:jc w:val="center"/>
        <w:tblLook w:firstColumn="1" w:firstRow="1" w:lastColumn="0" w:lastRow="0" w:noHBand="0" w:noVBand="1" w:val="04A0"/>
      </w:tblPr>
      <w:tblGrid>
        <w:gridCol w:w="9605"/>
      </w:tblGrid>
      <w:tr>
        <w:tc>
          <w:tcPr>
            <w:tcW w:type="dxa" w:w="9605"/>
            <w:shd w:fill="F8FAFC"/>
            <w:tcMar>
              <w:top w:w="100" w:type="dxa"/>
              <w:bottom w:w="100" w:type="dxa"/>
              <w:left w:w="150" w:type="dxa"/>
              <w:right w:w="150" w:type="dxa"/>
            </w:tcMar>
          </w:tcPr>
          <w:p>
            <w:pPr>
              <w:spacing w:before="80" w:after="80"/>
            </w:pPr>
            <w:r>
              <w:rPr>
                <w:rFonts w:ascii="Consolas" w:hAnsi="Consolas"/>
                <w:color w:val="0F172A"/>
                <w:sz w:val="17"/>
              </w:rPr>
              <w:t>-- Core Relational Tables (PostgreSQL 16)</w:t>
              <w:br/>
              <w:t>CREATE TABLE IF NOT EXISTS expenses (</w:t>
              <w:br/>
              <w:t xml:space="preserve">    id UUID PRIMARY KEY DEFAULT gen_random_uuid(),</w:t>
              <w:br/>
              <w:t xml:space="preserve">    description TEXT NOT NULL CHECK (length(trim(description)) &gt; 0),</w:t>
              <w:br/>
              <w:t xml:space="preserve">    amount NUMERIC(12, 2) NOT NULL CHECK (amount &gt;= 0),</w:t>
              <w:br/>
              <w:t xml:space="preserve">    category TEXT NOT NULL CHECK (category IN (</w:t>
              <w:br/>
              <w:t xml:space="preserve">        'Food &amp; Dining', 'Transportation', 'Shopping', 'Entertainment',</w:t>
              <w:br/>
              <w:t xml:space="preserve">        'Bills &amp; Utilities', 'Healthcare', 'Education', 'Travel',</w:t>
              <w:br/>
              <w:t xml:space="preserve">        'Groceries', 'Personal Care', 'Other'</w:t>
              <w:br/>
              <w:t xml:space="preserve">    )),</w:t>
              <w:br/>
              <w:t xml:space="preserve">    merchant TEXT,</w:t>
              <w:br/>
              <w:t xml:space="preserve">    expense_date DATE NOT NULL DEFAULT CURRENT_DATE,</w:t>
              <w:br/>
              <w:t xml:space="preserve">    created_at TIMESTAMPTZ NOT NULL DEFAULT NOW(),</w:t>
              <w:br/>
              <w:t xml:space="preserve">    updated_at TIMESTAMPTZ NOT NULL DEFAULT NOW()</w:t>
              <w:br/>
              <w:t>);</w:t>
              <w:br/>
              <w:br/>
              <w:t>CREATE TABLE IF NOT EXISTS budgets (</w:t>
              <w:br/>
              <w:t xml:space="preserve">    id UUID PRIMARY KEY DEFAULT gen_random_uuid(),</w:t>
              <w:br/>
              <w:t xml:space="preserve">    month_year VARCHAR(7) NOT NULL UNIQUE, -- 'YYYY-MM'</w:t>
              <w:br/>
              <w:t xml:space="preserve">    monthly_budget NUMERIC(12, 2) NOT NULL CHECK (monthly_budget &gt;= 0),</w:t>
              <w:br/>
              <w:t xml:space="preserve">    category_budgets JSONB NOT NULL DEFAULT '{}'::jsonb,</w:t>
              <w:br/>
              <w:t xml:space="preserve">    created_at TIMESTAMPTZ NOT NULL DEFAULT NOW(),</w:t>
              <w:br/>
              <w:t xml:space="preserve">    updated_at TIMESTAMPTZ NOT NULL DEFAULT NOW()</w:t>
              <w:br/>
              <w:t>);</w:t>
            </w:r>
          </w:p>
        </w:tc>
      </w:tr>
    </w:tbl>
    <w:p>
      <w:pPr>
        <w:spacing w:after="120"/>
      </w:pPr>
    </w:p>
    <w:p>
      <w:pPr>
        <w:spacing w:before="200" w:after="40"/>
      </w:pPr>
      <w:r>
        <w:rPr>
          <w:b/>
          <w:color w:val="334155"/>
          <w:sz w:val="22"/>
        </w:rPr>
        <w:t>In-Memory Database Fallback</w:t>
      </w:r>
    </w:p>
    <w:p>
      <w:pPr>
        <w:spacing w:before="0" w:after="80" w:line="276" w:lineRule="auto"/>
      </w:pPr>
      <w:r>
        <w:t>To facilitate zero-configuration local development, CI testing, and seamless demonstration without requiring a live PostgreSQL instance, the database client (</w:t>
      </w:r>
      <w:r>
        <w:rPr>
          <w:rFonts w:ascii="Consolas" w:hAnsi="Consolas"/>
          <w:sz w:val="18"/>
        </w:rPr>
        <w:t>client.ts</w:t>
      </w:r>
      <w:r>
        <w:t>) includes an automatic fallback driver. If connecting to PostgreSQL fails, the repository seamlessly switches to an in-memory data store that emulates SQL operations and UUID generation.</w:t>
      </w:r>
    </w:p>
    <w:p>
      <w:pPr>
        <w:spacing w:before="280" w:after="80"/>
      </w:pPr>
      <w:r>
        <w:rPr>
          <w:b/>
          <w:color w:val="1E3A8A"/>
          <w:sz w:val="26"/>
        </w:rPr>
        <w:t>7.2 Core API Endpoints &amp; Contract Validation</w:t>
      </w:r>
    </w:p>
    <w:tbl>
      <w:tblPr>
        <w:tblW w:type="auto" w:w="0"/>
        <w:jc w:val="center"/>
        <w:tblLook w:firstColumn="1" w:firstRow="1" w:lastColumn="0" w:lastRow="0" w:noHBand="0" w:noVBand="1" w:val="04A0"/>
      </w:tblPr>
      <w:tblGrid>
        <w:gridCol w:w="2401"/>
        <w:gridCol w:w="2401"/>
        <w:gridCol w:w="2401"/>
        <w:gridCol w:w="2401"/>
      </w:tblGrid>
      <w:tr>
        <w:tc>
          <w:tcPr>
            <w:tcW w:type="dxa" w:w="2401"/>
            <w:shd w:fill="1E293B"/>
            <w:tcMar>
              <w:top w:w="80" w:type="dxa"/>
              <w:bottom w:w="80" w:type="dxa"/>
              <w:left w:w="100" w:type="dxa"/>
              <w:right w:w="100" w:type="dxa"/>
            </w:tcMar>
          </w:tcPr>
          <w:p>
            <w:pPr>
              <w:spacing w:before="40" w:after="40"/>
            </w:pPr>
            <w:r>
              <w:rPr>
                <w:b/>
                <w:color w:val="FFFFFF"/>
                <w:sz w:val="16"/>
              </w:rPr>
              <w:t>Route</w:t>
            </w:r>
          </w:p>
        </w:tc>
        <w:tc>
          <w:tcPr>
            <w:tcW w:type="dxa" w:w="2401"/>
            <w:shd w:fill="1E293B"/>
            <w:tcMar>
              <w:top w:w="80" w:type="dxa"/>
              <w:bottom w:w="80" w:type="dxa"/>
              <w:left w:w="100" w:type="dxa"/>
              <w:right w:w="100" w:type="dxa"/>
            </w:tcMar>
          </w:tcPr>
          <w:p>
            <w:pPr>
              <w:spacing w:before="40" w:after="40"/>
            </w:pPr>
            <w:r>
              <w:rPr>
                <w:b/>
                <w:color w:val="FFFFFF"/>
                <w:sz w:val="16"/>
              </w:rPr>
              <w:t>Method</w:t>
            </w:r>
          </w:p>
        </w:tc>
        <w:tc>
          <w:tcPr>
            <w:tcW w:type="dxa" w:w="2401"/>
            <w:shd w:fill="1E293B"/>
            <w:tcMar>
              <w:top w:w="80" w:type="dxa"/>
              <w:bottom w:w="80" w:type="dxa"/>
              <w:left w:w="100" w:type="dxa"/>
              <w:right w:w="100" w:type="dxa"/>
            </w:tcMar>
          </w:tcPr>
          <w:p>
            <w:pPr>
              <w:spacing w:before="40" w:after="40"/>
            </w:pPr>
            <w:r>
              <w:rPr>
                <w:b/>
                <w:color w:val="FFFFFF"/>
                <w:sz w:val="16"/>
              </w:rPr>
              <w:t>Tier / Service</w:t>
            </w:r>
          </w:p>
        </w:tc>
        <w:tc>
          <w:tcPr>
            <w:tcW w:type="dxa" w:w="2401"/>
            <w:shd w:fill="1E293B"/>
            <w:tcMar>
              <w:top w:w="80" w:type="dxa"/>
              <w:bottom w:w="80" w:type="dxa"/>
              <w:left w:w="100" w:type="dxa"/>
              <w:right w:w="100" w:type="dxa"/>
            </w:tcMar>
          </w:tcPr>
          <w:p>
            <w:pPr>
              <w:spacing w:before="40" w:after="40"/>
            </w:pPr>
            <w:r>
              <w:rPr>
                <w:b/>
                <w:color w:val="FFFFFF"/>
                <w:sz w:val="16"/>
              </w:rPr>
              <w:t>Responsibility</w:t>
            </w:r>
          </w:p>
        </w:tc>
      </w:tr>
      <w:tr>
        <w:tc>
          <w:tcPr>
            <w:tcW w:type="dxa" w:w="2401"/>
            <w:shd w:fill="FFFFFF"/>
            <w:tcMar>
              <w:top w:w="60" w:type="dxa"/>
              <w:bottom w:w="60" w:type="dxa"/>
              <w:left w:w="100" w:type="dxa"/>
              <w:right w:w="100" w:type="dxa"/>
            </w:tcMar>
          </w:tcPr>
          <w:p>
            <w:pPr>
              <w:spacing w:before="20" w:after="20"/>
            </w:pPr>
            <w:r>
              <w:rPr>
                <w:color w:val="334155"/>
                <w:sz w:val="15"/>
              </w:rPr>
              <w:t>`/api/expenses`</w:t>
            </w:r>
          </w:p>
        </w:tc>
        <w:tc>
          <w:tcPr>
            <w:tcW w:type="dxa" w:w="2401"/>
            <w:shd w:fill="FFFFFF"/>
            <w:tcMar>
              <w:top w:w="60" w:type="dxa"/>
              <w:bottom w:w="60" w:type="dxa"/>
              <w:left w:w="100" w:type="dxa"/>
              <w:right w:w="100" w:type="dxa"/>
            </w:tcMar>
          </w:tcPr>
          <w:p>
            <w:pPr>
              <w:spacing w:before="20" w:after="20"/>
            </w:pPr>
            <w:r>
              <w:rPr>
                <w:color w:val="334155"/>
                <w:sz w:val="15"/>
              </w:rPr>
              <w:t>`GET`, `POST`</w:t>
            </w:r>
          </w:p>
        </w:tc>
        <w:tc>
          <w:tcPr>
            <w:tcW w:type="dxa" w:w="2401"/>
            <w:shd w:fill="FFFFFF"/>
            <w:tcMar>
              <w:top w:w="60" w:type="dxa"/>
              <w:bottom w:w="60" w:type="dxa"/>
              <w:left w:w="100" w:type="dxa"/>
              <w:right w:w="100" w:type="dxa"/>
            </w:tcMar>
          </w:tcPr>
          <w:p>
            <w:pPr>
              <w:spacing w:before="20" w:after="20"/>
            </w:pPr>
            <w:r>
              <w:rPr>
                <w:color w:val="334155"/>
                <w:sz w:val="15"/>
              </w:rPr>
              <w:t>Gateway → DB</w:t>
            </w:r>
          </w:p>
        </w:tc>
        <w:tc>
          <w:tcPr>
            <w:tcW w:type="dxa" w:w="2401"/>
            <w:shd w:fill="FFFFFF"/>
            <w:tcMar>
              <w:top w:w="60" w:type="dxa"/>
              <w:bottom w:w="60" w:type="dxa"/>
              <w:left w:w="100" w:type="dxa"/>
              <w:right w:w="100" w:type="dxa"/>
            </w:tcMar>
          </w:tcPr>
          <w:p>
            <w:pPr>
              <w:spacing w:before="20" w:after="20"/>
            </w:pPr>
            <w:r>
              <w:rPr>
                <w:color w:val="334155"/>
                <w:sz w:val="15"/>
              </w:rPr>
              <w:t>List expenses; create expense with automatic categorization fallback</w:t>
            </w:r>
          </w:p>
        </w:tc>
      </w:tr>
      <w:tr>
        <w:tc>
          <w:tcPr>
            <w:tcW w:type="dxa" w:w="2401"/>
            <w:shd w:fill="F8FAFC"/>
            <w:tcMar>
              <w:top w:w="60" w:type="dxa"/>
              <w:bottom w:w="60" w:type="dxa"/>
              <w:left w:w="100" w:type="dxa"/>
              <w:right w:w="100" w:type="dxa"/>
            </w:tcMar>
          </w:tcPr>
          <w:p>
            <w:pPr>
              <w:spacing w:before="20" w:after="20"/>
            </w:pPr>
            <w:r>
              <w:rPr>
                <w:color w:val="334155"/>
                <w:sz w:val="15"/>
              </w:rPr>
              <w:t>`/api/expenses/:id`</w:t>
            </w:r>
          </w:p>
        </w:tc>
        <w:tc>
          <w:tcPr>
            <w:tcW w:type="dxa" w:w="2401"/>
            <w:shd w:fill="F8FAFC"/>
            <w:tcMar>
              <w:top w:w="60" w:type="dxa"/>
              <w:bottom w:w="60" w:type="dxa"/>
              <w:left w:w="100" w:type="dxa"/>
              <w:right w:w="100" w:type="dxa"/>
            </w:tcMar>
          </w:tcPr>
          <w:p>
            <w:pPr>
              <w:spacing w:before="20" w:after="20"/>
            </w:pPr>
            <w:r>
              <w:rPr>
                <w:color w:val="334155"/>
                <w:sz w:val="15"/>
              </w:rPr>
              <w:t>`DELETE`</w:t>
            </w:r>
          </w:p>
        </w:tc>
        <w:tc>
          <w:tcPr>
            <w:tcW w:type="dxa" w:w="2401"/>
            <w:shd w:fill="F8FAFC"/>
            <w:tcMar>
              <w:top w:w="60" w:type="dxa"/>
              <w:bottom w:w="60" w:type="dxa"/>
              <w:left w:w="100" w:type="dxa"/>
              <w:right w:w="100" w:type="dxa"/>
            </w:tcMar>
          </w:tcPr>
          <w:p>
            <w:pPr>
              <w:spacing w:before="20" w:after="20"/>
            </w:pPr>
            <w:r>
              <w:rPr>
                <w:color w:val="334155"/>
                <w:sz w:val="15"/>
              </w:rPr>
              <w:t>Gateway → DB</w:t>
            </w:r>
          </w:p>
        </w:tc>
        <w:tc>
          <w:tcPr>
            <w:tcW w:type="dxa" w:w="2401"/>
            <w:shd w:fill="F8FAFC"/>
            <w:tcMar>
              <w:top w:w="60" w:type="dxa"/>
              <w:bottom w:w="60" w:type="dxa"/>
              <w:left w:w="100" w:type="dxa"/>
              <w:right w:w="100" w:type="dxa"/>
            </w:tcMar>
          </w:tcPr>
          <w:p>
            <w:pPr>
              <w:spacing w:before="20" w:after="20"/>
            </w:pPr>
            <w:r>
              <w:rPr>
                <w:color w:val="334155"/>
                <w:sz w:val="15"/>
              </w:rPr>
              <w:t>Remove recorded expense item</w:t>
            </w:r>
          </w:p>
        </w:tc>
      </w:tr>
      <w:tr>
        <w:tc>
          <w:tcPr>
            <w:tcW w:type="dxa" w:w="2401"/>
            <w:shd w:fill="FFFFFF"/>
            <w:tcMar>
              <w:top w:w="60" w:type="dxa"/>
              <w:bottom w:w="60" w:type="dxa"/>
              <w:left w:w="100" w:type="dxa"/>
              <w:right w:w="100" w:type="dxa"/>
            </w:tcMar>
          </w:tcPr>
          <w:p>
            <w:pPr>
              <w:spacing w:before="20" w:after="20"/>
            </w:pPr>
            <w:r>
              <w:rPr>
                <w:color w:val="334155"/>
                <w:sz w:val="15"/>
              </w:rPr>
              <w:t>`/api/budgets/:month`</w:t>
            </w:r>
          </w:p>
        </w:tc>
        <w:tc>
          <w:tcPr>
            <w:tcW w:type="dxa" w:w="2401"/>
            <w:shd w:fill="FFFFFF"/>
            <w:tcMar>
              <w:top w:w="60" w:type="dxa"/>
              <w:bottom w:w="60" w:type="dxa"/>
              <w:left w:w="100" w:type="dxa"/>
              <w:right w:w="100" w:type="dxa"/>
            </w:tcMar>
          </w:tcPr>
          <w:p>
            <w:pPr>
              <w:spacing w:before="20" w:after="20"/>
            </w:pPr>
            <w:r>
              <w:rPr>
                <w:color w:val="334155"/>
                <w:sz w:val="15"/>
              </w:rPr>
              <w:t>`GET`, `POST`</w:t>
            </w:r>
          </w:p>
        </w:tc>
        <w:tc>
          <w:tcPr>
            <w:tcW w:type="dxa" w:w="2401"/>
            <w:shd w:fill="FFFFFF"/>
            <w:tcMar>
              <w:top w:w="60" w:type="dxa"/>
              <w:bottom w:w="60" w:type="dxa"/>
              <w:left w:w="100" w:type="dxa"/>
              <w:right w:w="100" w:type="dxa"/>
            </w:tcMar>
          </w:tcPr>
          <w:p>
            <w:pPr>
              <w:spacing w:before="20" w:after="20"/>
            </w:pPr>
            <w:r>
              <w:rPr>
                <w:color w:val="334155"/>
                <w:sz w:val="15"/>
              </w:rPr>
              <w:t>Gateway → DB</w:t>
            </w:r>
          </w:p>
        </w:tc>
        <w:tc>
          <w:tcPr>
            <w:tcW w:type="dxa" w:w="2401"/>
            <w:shd w:fill="FFFFFF"/>
            <w:tcMar>
              <w:top w:w="60" w:type="dxa"/>
              <w:bottom w:w="60" w:type="dxa"/>
              <w:left w:w="100" w:type="dxa"/>
              <w:right w:w="100" w:type="dxa"/>
            </w:tcMar>
          </w:tcPr>
          <w:p>
            <w:pPr>
              <w:spacing w:before="20" w:after="20"/>
            </w:pPr>
            <w:r>
              <w:rPr>
                <w:color w:val="334155"/>
                <w:sz w:val="15"/>
              </w:rPr>
              <w:t>Retrieve monthly budget status; upsert monthly &amp; category targets</w:t>
            </w:r>
          </w:p>
        </w:tc>
      </w:tr>
      <w:tr>
        <w:tc>
          <w:tcPr>
            <w:tcW w:type="dxa" w:w="2401"/>
            <w:shd w:fill="F8FAFC"/>
            <w:tcMar>
              <w:top w:w="60" w:type="dxa"/>
              <w:bottom w:w="60" w:type="dxa"/>
              <w:left w:w="100" w:type="dxa"/>
              <w:right w:w="100" w:type="dxa"/>
            </w:tcMar>
          </w:tcPr>
          <w:p>
            <w:pPr>
              <w:spacing w:before="20" w:after="20"/>
            </w:pPr>
            <w:r>
              <w:rPr>
                <w:color w:val="334155"/>
                <w:sz w:val="15"/>
              </w:rPr>
              <w:t>`/api/bill/process`</w:t>
            </w:r>
          </w:p>
        </w:tc>
        <w:tc>
          <w:tcPr>
            <w:tcW w:type="dxa" w:w="2401"/>
            <w:shd w:fill="F8FAFC"/>
            <w:tcMar>
              <w:top w:w="60" w:type="dxa"/>
              <w:bottom w:w="60" w:type="dxa"/>
              <w:left w:w="100" w:type="dxa"/>
              <w:right w:w="100" w:type="dxa"/>
            </w:tcMar>
          </w:tcPr>
          <w:p>
            <w:pPr>
              <w:spacing w:before="20" w:after="20"/>
            </w:pPr>
            <w:r>
              <w:rPr>
                <w:color w:val="334155"/>
                <w:sz w:val="15"/>
              </w:rPr>
              <w:t>`POST`</w:t>
            </w:r>
          </w:p>
        </w:tc>
        <w:tc>
          <w:tcPr>
            <w:tcW w:type="dxa" w:w="2401"/>
            <w:shd w:fill="F8FAFC"/>
            <w:tcMar>
              <w:top w:w="60" w:type="dxa"/>
              <w:bottom w:w="60" w:type="dxa"/>
              <w:left w:w="100" w:type="dxa"/>
              <w:right w:w="100" w:type="dxa"/>
            </w:tcMar>
          </w:tcPr>
          <w:p>
            <w:pPr>
              <w:spacing w:before="20" w:after="20"/>
            </w:pPr>
            <w:r>
              <w:rPr>
                <w:color w:val="334155"/>
                <w:sz w:val="15"/>
              </w:rPr>
              <w:t>Gateway → AI</w:t>
            </w:r>
          </w:p>
        </w:tc>
        <w:tc>
          <w:tcPr>
            <w:tcW w:type="dxa" w:w="2401"/>
            <w:shd w:fill="F8FAFC"/>
            <w:tcMar>
              <w:top w:w="60" w:type="dxa"/>
              <w:bottom w:w="60" w:type="dxa"/>
              <w:left w:w="100" w:type="dxa"/>
              <w:right w:w="100" w:type="dxa"/>
            </w:tcMar>
          </w:tcPr>
          <w:p>
            <w:pPr>
              <w:spacing w:before="20" w:after="20"/>
            </w:pPr>
            <w:r>
              <w:rPr>
                <w:color w:val="334155"/>
                <w:sz w:val="15"/>
              </w:rPr>
              <w:t>Upload receipt image and prompt; returns item shares &amp; tax breakdown</w:t>
            </w:r>
          </w:p>
        </w:tc>
      </w:tr>
      <w:tr>
        <w:tc>
          <w:tcPr>
            <w:tcW w:type="dxa" w:w="2401"/>
            <w:shd w:fill="FFFFFF"/>
            <w:tcMar>
              <w:top w:w="60" w:type="dxa"/>
              <w:bottom w:w="60" w:type="dxa"/>
              <w:left w:w="100" w:type="dxa"/>
              <w:right w:w="100" w:type="dxa"/>
            </w:tcMar>
          </w:tcPr>
          <w:p>
            <w:pPr>
              <w:spacing w:before="20" w:after="20"/>
            </w:pPr>
            <w:r>
              <w:rPr>
                <w:color w:val="334155"/>
                <w:sz w:val="15"/>
              </w:rPr>
              <w:t>`/api/expense/categorize`</w:t>
            </w:r>
          </w:p>
        </w:tc>
        <w:tc>
          <w:tcPr>
            <w:tcW w:type="dxa" w:w="2401"/>
            <w:shd w:fill="FFFFFF"/>
            <w:tcMar>
              <w:top w:w="60" w:type="dxa"/>
              <w:bottom w:w="60" w:type="dxa"/>
              <w:left w:w="100" w:type="dxa"/>
              <w:right w:w="100" w:type="dxa"/>
            </w:tcMar>
          </w:tcPr>
          <w:p>
            <w:pPr>
              <w:spacing w:before="20" w:after="20"/>
            </w:pPr>
            <w:r>
              <w:rPr>
                <w:color w:val="334155"/>
                <w:sz w:val="15"/>
              </w:rPr>
              <w:t>`POST`</w:t>
            </w:r>
          </w:p>
        </w:tc>
        <w:tc>
          <w:tcPr>
            <w:tcW w:type="dxa" w:w="2401"/>
            <w:shd w:fill="FFFFFF"/>
            <w:tcMar>
              <w:top w:w="60" w:type="dxa"/>
              <w:bottom w:w="60" w:type="dxa"/>
              <w:left w:w="100" w:type="dxa"/>
              <w:right w:w="100" w:type="dxa"/>
            </w:tcMar>
          </w:tcPr>
          <w:p>
            <w:pPr>
              <w:spacing w:before="20" w:after="20"/>
            </w:pPr>
            <w:r>
              <w:rPr>
                <w:color w:val="334155"/>
                <w:sz w:val="15"/>
              </w:rPr>
              <w:t>Gateway → AI</w:t>
            </w:r>
          </w:p>
        </w:tc>
        <w:tc>
          <w:tcPr>
            <w:tcW w:type="dxa" w:w="2401"/>
            <w:shd w:fill="FFFFFF"/>
            <w:tcMar>
              <w:top w:w="60" w:type="dxa"/>
              <w:bottom w:w="60" w:type="dxa"/>
              <w:left w:w="100" w:type="dxa"/>
              <w:right w:w="100" w:type="dxa"/>
            </w:tcMar>
          </w:tcPr>
          <w:p>
            <w:pPr>
              <w:spacing w:before="20" w:after="20"/>
            </w:pPr>
            <w:r>
              <w:rPr>
                <w:color w:val="334155"/>
                <w:sz w:val="15"/>
              </w:rPr>
              <w:t>Zero-shot LLM classification into 11 canonical categories</w:t>
            </w:r>
          </w:p>
        </w:tc>
      </w:tr>
      <w:tr>
        <w:tc>
          <w:tcPr>
            <w:tcW w:type="dxa" w:w="2401"/>
            <w:shd w:fill="F8FAFC"/>
            <w:tcMar>
              <w:top w:w="60" w:type="dxa"/>
              <w:bottom w:w="60" w:type="dxa"/>
              <w:left w:w="100" w:type="dxa"/>
              <w:right w:w="100" w:type="dxa"/>
            </w:tcMar>
          </w:tcPr>
          <w:p>
            <w:pPr>
              <w:spacing w:before="20" w:after="20"/>
            </w:pPr>
            <w:r>
              <w:rPr>
                <w:color w:val="334155"/>
                <w:sz w:val="15"/>
              </w:rPr>
              <w:t>`/api/spending/insights`</w:t>
            </w:r>
          </w:p>
        </w:tc>
        <w:tc>
          <w:tcPr>
            <w:tcW w:type="dxa" w:w="2401"/>
            <w:shd w:fill="F8FAFC"/>
            <w:tcMar>
              <w:top w:w="60" w:type="dxa"/>
              <w:bottom w:w="60" w:type="dxa"/>
              <w:left w:w="100" w:type="dxa"/>
              <w:right w:w="100" w:type="dxa"/>
            </w:tcMar>
          </w:tcPr>
          <w:p>
            <w:pPr>
              <w:spacing w:before="20" w:after="20"/>
            </w:pPr>
            <w:r>
              <w:rPr>
                <w:color w:val="334155"/>
                <w:sz w:val="15"/>
              </w:rPr>
              <w:t>`GET`, `POST`</w:t>
            </w:r>
          </w:p>
        </w:tc>
        <w:tc>
          <w:tcPr>
            <w:tcW w:type="dxa" w:w="2401"/>
            <w:shd w:fill="F8FAFC"/>
            <w:tcMar>
              <w:top w:w="60" w:type="dxa"/>
              <w:bottom w:w="60" w:type="dxa"/>
              <w:left w:w="100" w:type="dxa"/>
              <w:right w:w="100" w:type="dxa"/>
            </w:tcMar>
          </w:tcPr>
          <w:p>
            <w:pPr>
              <w:spacing w:before="20" w:after="20"/>
            </w:pPr>
            <w:r>
              <w:rPr>
                <w:color w:val="334155"/>
                <w:sz w:val="15"/>
              </w:rPr>
              <w:t>Gateway → AI</w:t>
            </w:r>
          </w:p>
        </w:tc>
        <w:tc>
          <w:tcPr>
            <w:tcW w:type="dxa" w:w="2401"/>
            <w:shd w:fill="F8FAFC"/>
            <w:tcMar>
              <w:top w:w="60" w:type="dxa"/>
              <w:bottom w:w="60" w:type="dxa"/>
              <w:left w:w="100" w:type="dxa"/>
              <w:right w:w="100" w:type="dxa"/>
            </w:tcMar>
          </w:tcPr>
          <w:p>
            <w:pPr>
              <w:spacing w:before="20" w:after="20"/>
            </w:pPr>
            <w:r>
              <w:rPr>
                <w:color w:val="334155"/>
                <w:sz w:val="15"/>
              </w:rPr>
              <w:t>Computes monthly burn rate, category health, and LLM advice</w:t>
            </w:r>
          </w:p>
        </w:tc>
      </w:tr>
      <w:tr>
        <w:tc>
          <w:tcPr>
            <w:tcW w:type="dxa" w:w="2401"/>
            <w:shd w:fill="FFFFFF"/>
            <w:tcMar>
              <w:top w:w="60" w:type="dxa"/>
              <w:bottom w:w="60" w:type="dxa"/>
              <w:left w:w="100" w:type="dxa"/>
              <w:right w:w="100" w:type="dxa"/>
            </w:tcMar>
          </w:tcPr>
          <w:p>
            <w:pPr>
              <w:spacing w:before="20" w:after="20"/>
            </w:pPr>
            <w:r>
              <w:rPr>
                <w:color w:val="334155"/>
                <w:sz w:val="15"/>
              </w:rPr>
              <w:t>`/api/spending/forecast`</w:t>
            </w:r>
          </w:p>
        </w:tc>
        <w:tc>
          <w:tcPr>
            <w:tcW w:type="dxa" w:w="2401"/>
            <w:shd w:fill="FFFFFF"/>
            <w:tcMar>
              <w:top w:w="60" w:type="dxa"/>
              <w:bottom w:w="60" w:type="dxa"/>
              <w:left w:w="100" w:type="dxa"/>
              <w:right w:w="100" w:type="dxa"/>
            </w:tcMar>
          </w:tcPr>
          <w:p>
            <w:pPr>
              <w:spacing w:before="20" w:after="20"/>
            </w:pPr>
            <w:r>
              <w:rPr>
                <w:color w:val="334155"/>
                <w:sz w:val="15"/>
              </w:rPr>
              <w:t>`POST`</w:t>
            </w:r>
          </w:p>
        </w:tc>
        <w:tc>
          <w:tcPr>
            <w:tcW w:type="dxa" w:w="2401"/>
            <w:shd w:fill="FFFFFF"/>
            <w:tcMar>
              <w:top w:w="60" w:type="dxa"/>
              <w:bottom w:w="60" w:type="dxa"/>
              <w:left w:w="100" w:type="dxa"/>
              <w:right w:w="100" w:type="dxa"/>
            </w:tcMar>
          </w:tcPr>
          <w:p>
            <w:pPr>
              <w:spacing w:before="20" w:after="20"/>
            </w:pPr>
            <w:r>
              <w:rPr>
                <w:color w:val="334155"/>
                <w:sz w:val="15"/>
              </w:rPr>
              <w:t>Gateway → AI</w:t>
            </w:r>
          </w:p>
        </w:tc>
        <w:tc>
          <w:tcPr>
            <w:tcW w:type="dxa" w:w="2401"/>
            <w:shd w:fill="FFFFFF"/>
            <w:tcMar>
              <w:top w:w="60" w:type="dxa"/>
              <w:bottom w:w="60" w:type="dxa"/>
              <w:left w:w="100" w:type="dxa"/>
              <w:right w:w="100" w:type="dxa"/>
            </w:tcMar>
          </w:tcPr>
          <w:p>
            <w:pPr>
              <w:spacing w:before="20" w:after="20"/>
            </w:pPr>
            <w:r>
              <w:rPr>
                <w:color w:val="334155"/>
                <w:sz w:val="15"/>
              </w:rPr>
              <w:t>Computes 30-day Meta Prophet spending forecast and bounds</w:t>
            </w:r>
          </w:p>
        </w:tc>
      </w:tr>
      <w:tr>
        <w:tc>
          <w:tcPr>
            <w:tcW w:type="dxa" w:w="2401"/>
            <w:shd w:fill="F8FAFC"/>
            <w:tcMar>
              <w:top w:w="60" w:type="dxa"/>
              <w:bottom w:w="60" w:type="dxa"/>
              <w:left w:w="100" w:type="dxa"/>
              <w:right w:w="100" w:type="dxa"/>
            </w:tcMar>
          </w:tcPr>
          <w:p>
            <w:pPr>
              <w:spacing w:before="20" w:after="20"/>
            </w:pPr>
            <w:r>
              <w:rPr>
                <w:color w:val="334155"/>
                <w:sz w:val="15"/>
              </w:rPr>
              <w:t>`/api/settlement/simplify`</w:t>
            </w:r>
          </w:p>
        </w:tc>
        <w:tc>
          <w:tcPr>
            <w:tcW w:type="dxa" w:w="2401"/>
            <w:shd w:fill="F8FAFC"/>
            <w:tcMar>
              <w:top w:w="60" w:type="dxa"/>
              <w:bottom w:w="60" w:type="dxa"/>
              <w:left w:w="100" w:type="dxa"/>
              <w:right w:w="100" w:type="dxa"/>
            </w:tcMar>
          </w:tcPr>
          <w:p>
            <w:pPr>
              <w:spacing w:before="20" w:after="20"/>
            </w:pPr>
            <w:r>
              <w:rPr>
                <w:color w:val="334155"/>
                <w:sz w:val="15"/>
              </w:rPr>
              <w:t>`POST`</w:t>
            </w:r>
          </w:p>
        </w:tc>
        <w:tc>
          <w:tcPr>
            <w:tcW w:type="dxa" w:w="2401"/>
            <w:shd w:fill="F8FAFC"/>
            <w:tcMar>
              <w:top w:w="60" w:type="dxa"/>
              <w:bottom w:w="60" w:type="dxa"/>
              <w:left w:w="100" w:type="dxa"/>
              <w:right w:w="100" w:type="dxa"/>
            </w:tcMar>
          </w:tcPr>
          <w:p>
            <w:pPr>
              <w:spacing w:before="20" w:after="20"/>
            </w:pPr>
            <w:r>
              <w:rPr>
                <w:color w:val="334155"/>
                <w:sz w:val="15"/>
              </w:rPr>
              <w:t>Gateway → AI</w:t>
            </w:r>
          </w:p>
        </w:tc>
        <w:tc>
          <w:tcPr>
            <w:tcW w:type="dxa" w:w="2401"/>
            <w:shd w:fill="F8FAFC"/>
            <w:tcMar>
              <w:top w:w="60" w:type="dxa"/>
              <w:bottom w:w="60" w:type="dxa"/>
              <w:left w:w="100" w:type="dxa"/>
              <w:right w:w="100" w:type="dxa"/>
            </w:tcMar>
          </w:tcPr>
          <w:p>
            <w:pPr>
              <w:spacing w:before="20" w:after="20"/>
            </w:pPr>
            <w:r>
              <w:rPr>
                <w:color w:val="334155"/>
                <w:sz w:val="15"/>
              </w:rPr>
              <w:t>Stateless greedy debt simplification across participant payments</w:t>
            </w:r>
          </w:p>
        </w:tc>
      </w:tr>
      <w:tr>
        <w:tc>
          <w:tcPr>
            <w:tcW w:type="dxa" w:w="2401"/>
            <w:shd w:fill="FFFFFF"/>
            <w:tcMar>
              <w:top w:w="60" w:type="dxa"/>
              <w:bottom w:w="60" w:type="dxa"/>
              <w:left w:w="100" w:type="dxa"/>
              <w:right w:w="100" w:type="dxa"/>
            </w:tcMar>
          </w:tcPr>
          <w:p>
            <w:pPr>
              <w:spacing w:before="20" w:after="20"/>
            </w:pPr>
            <w:r>
              <w:rPr>
                <w:color w:val="334155"/>
                <w:sz w:val="15"/>
              </w:rPr>
              <w:t>`/api/dev/seed`</w:t>
            </w:r>
          </w:p>
        </w:tc>
        <w:tc>
          <w:tcPr>
            <w:tcW w:type="dxa" w:w="2401"/>
            <w:shd w:fill="FFFFFF"/>
            <w:tcMar>
              <w:top w:w="60" w:type="dxa"/>
              <w:bottom w:w="60" w:type="dxa"/>
              <w:left w:w="100" w:type="dxa"/>
              <w:right w:w="100" w:type="dxa"/>
            </w:tcMar>
          </w:tcPr>
          <w:p>
            <w:pPr>
              <w:spacing w:before="20" w:after="20"/>
            </w:pPr>
            <w:r>
              <w:rPr>
                <w:color w:val="334155"/>
                <w:sz w:val="15"/>
              </w:rPr>
              <w:t>`POST`</w:t>
            </w:r>
          </w:p>
        </w:tc>
        <w:tc>
          <w:tcPr>
            <w:tcW w:type="dxa" w:w="2401"/>
            <w:shd w:fill="FFFFFF"/>
            <w:tcMar>
              <w:top w:w="60" w:type="dxa"/>
              <w:bottom w:w="60" w:type="dxa"/>
              <w:left w:w="100" w:type="dxa"/>
              <w:right w:w="100" w:type="dxa"/>
            </w:tcMar>
          </w:tcPr>
          <w:p>
            <w:pPr>
              <w:spacing w:before="20" w:after="20"/>
            </w:pPr>
            <w:r>
              <w:rPr>
                <w:color w:val="334155"/>
                <w:sz w:val="15"/>
              </w:rPr>
              <w:t>Gateway → DB</w:t>
            </w:r>
          </w:p>
        </w:tc>
        <w:tc>
          <w:tcPr>
            <w:tcW w:type="dxa" w:w="2401"/>
            <w:shd w:fill="FFFFFF"/>
            <w:tcMar>
              <w:top w:w="60" w:type="dxa"/>
              <w:bottom w:w="60" w:type="dxa"/>
              <w:left w:w="100" w:type="dxa"/>
              <w:right w:w="100" w:type="dxa"/>
            </w:tcMar>
          </w:tcPr>
          <w:p>
            <w:pPr>
              <w:spacing w:before="20" w:after="20"/>
            </w:pPr>
            <w:r>
              <w:rPr>
                <w:color w:val="334155"/>
                <w:sz w:val="15"/>
              </w:rPr>
              <w:t>Seeds realistic 60-day transactions and demo budget data</w:t>
            </w:r>
          </w:p>
        </w:tc>
      </w:tr>
    </w:tbl>
    <w:p>
      <w:pPr>
        <w:spacing w:after="120"/>
      </w:pPr>
    </w:p>
    <w:p>
      <w:pPr>
        <w:spacing w:before="280" w:after="80"/>
      </w:pPr>
      <w:r>
        <w:rPr>
          <w:b/>
          <w:color w:val="1E3A8A"/>
          <w:sz w:val="26"/>
        </w:rPr>
        <w:t>7.3 Demo-Data Seeding Infrastructure</w:t>
      </w:r>
    </w:p>
    <w:p>
      <w:pPr>
        <w:spacing w:before="0" w:after="80" w:line="276" w:lineRule="auto"/>
      </w:pPr>
      <w:r>
        <w:t>For viva demonstrations and evaluation, the backend includes an automated seeder (</w:t>
      </w:r>
      <w:r>
        <w:rPr>
          <w:rFonts w:ascii="Consolas" w:hAnsi="Consolas"/>
          <w:sz w:val="18"/>
        </w:rPr>
        <w:t>POST /api/dev/seed</w:t>
      </w:r>
      <w:r>
        <w:t>) that populates the repository with over 45 realistic transactions spanning the past 60 days. The seeded dataset includes diverse merchants, authentic weekend spending spikes for Prophet time-series modeling, intentional statistical anomalies (e.g., a ₹9,800 banquet dinner and a ₹14,500 gaming keyboard), and an active monthly budget.</w:t>
      </w:r>
    </w:p>
    <w:p>
      <w:pPr>
        <w:spacing w:before="320" w:after="120"/>
      </w:pPr>
      <w:r>
        <w:rPr>
          <w:b/>
          <w:color w:val="0F172A"/>
          <w:sz w:val="32"/>
        </w:rPr>
        <w:t>SECTION 8 — SYSTEM VERIFICATION &amp; REPRESENTATIVE WORKFLOWS</w:t>
      </w:r>
    </w:p>
    <w:p>
      <w:pPr>
        <w:spacing w:before="280" w:after="80"/>
      </w:pPr>
      <w:r>
        <w:rPr>
          <w:b/>
          <w:color w:val="1E3A8A"/>
          <w:sz w:val="26"/>
        </w:rPr>
        <w:t>8.1 Multi-Tier Test Suite Execution</w:t>
      </w:r>
    </w:p>
    <w:p>
      <w:pPr>
        <w:spacing w:before="0" w:after="80" w:line="276" w:lineRule="auto"/>
      </w:pPr>
      <w:r>
        <w:t>Platform stability was verified across both backend and AI service runtimes using dedicated automated test suites.</w:t>
      </w:r>
    </w:p>
    <w:tbl>
      <w:tblPr>
        <w:tblW w:type="auto" w:w="0"/>
        <w:jc w:val="center"/>
        <w:tblLook w:firstColumn="1" w:firstRow="1" w:lastColumn="0" w:lastRow="0" w:noHBand="0" w:noVBand="1" w:val="04A0"/>
      </w:tblPr>
      <w:tblGrid>
        <w:gridCol w:w="9605"/>
      </w:tblGrid>
      <w:tr>
        <w:tc>
          <w:tcPr>
            <w:tcW w:type="dxa" w:w="9605"/>
            <w:shd w:fill="F8FAFC"/>
            <w:tcMar>
              <w:top w:w="100" w:type="dxa"/>
              <w:bottom w:w="100" w:type="dxa"/>
              <w:left w:w="150" w:type="dxa"/>
              <w:right w:w="150" w:type="dxa"/>
            </w:tcMar>
          </w:tcPr>
          <w:p>
            <w:pPr>
              <w:spacing w:before="80" w:after="80"/>
            </w:pPr>
            <w:r>
              <w:rPr>
                <w:rFonts w:ascii="Consolas" w:hAnsi="Consolas"/>
                <w:color w:val="0F172A"/>
                <w:sz w:val="17"/>
              </w:rPr>
              <w:t>========================= AUTOMATED TEST SUITE SUMMARY =========================</w:t>
              <w:br/>
              <w:t>1. Python AI &amp; Analytics Test Suite (pytest 9.1):</w:t>
              <w:br/>
              <w:t xml:space="preserve">   - 109 Passed, 6 Skipped (live API keys), 0 Failed across 115 test cases</w:t>
              <w:br/>
              <w:t xml:space="preserve">   - Verified: OCR layout sorting, Pydantic schemas, Decimal penny reconciliation,</w:t>
              <w:br/>
              <w:t xml:space="preserve">     LOO anomaly scoring, Meta Prophet forecasting, and debt simplification.</w:t>
              <w:br/>
              <w:br/>
              <w:t>2. Node.js Gateway &amp; Persistence Test Suite (npm test):</w:t>
              <w:br/>
              <w:t xml:space="preserve">   - 48 Passed, 0 Failed across 9 test suites</w:t>
              <w:br/>
              <w:t xml:space="preserve">   - Verified: REST routing, input validation, in-memory repository CRUD,</w:t>
              <w:br/>
              <w:t xml:space="preserve">     category normalization, budget calculations, and proxy error handling.</w:t>
              <w:br/>
              <w:br/>
              <w:t>3. Frontend Static Type Checking (tsc --noEmit):</w:t>
              <w:br/>
              <w:t xml:space="preserve">   - 0 TypeScript compilation errors across all React Native/Expo components.</w:t>
              <w:br/>
              <w:br/>
              <w:t>4. Backend TypeScript Build (npm run build):</w:t>
              <w:br/>
              <w:t xml:space="preserve">   - 0 TypeScript compilation errors; compiled cleanly to JavaScript.</w:t>
              <w:br/>
              <w:t>================================================================================</w:t>
            </w:r>
          </w:p>
        </w:tc>
      </w:tr>
    </w:tbl>
    <w:p>
      <w:pPr>
        <w:spacing w:after="120"/>
      </w:pPr>
    </w:p>
    <w:p>
      <w:pPr>
        <w:spacing w:before="280" w:after="80"/>
      </w:pPr>
      <w:r>
        <w:rPr>
          <w:b/>
          <w:color w:val="1E3A8A"/>
          <w:sz w:val="26"/>
        </w:rPr>
        <w:t>8.2 Algorithmic Computational Complexity Analysis</w:t>
      </w:r>
    </w:p>
    <w:tbl>
      <w:tblPr>
        <w:tblW w:type="auto" w:w="0"/>
        <w:jc w:val="center"/>
        <w:tblLook w:firstColumn="1" w:firstRow="1" w:lastColumn="0" w:lastRow="0" w:noHBand="0" w:noVBand="1" w:val="04A0"/>
      </w:tblPr>
      <w:tblGrid>
        <w:gridCol w:w="1921"/>
        <w:gridCol w:w="1921"/>
        <w:gridCol w:w="1921"/>
        <w:gridCol w:w="1921"/>
        <w:gridCol w:w="1921"/>
      </w:tblGrid>
      <w:tr>
        <w:tc>
          <w:tcPr>
            <w:tcW w:type="dxa" w:w="1921"/>
            <w:shd w:fill="1E293B"/>
            <w:tcMar>
              <w:top w:w="80" w:type="dxa"/>
              <w:bottom w:w="80" w:type="dxa"/>
              <w:left w:w="100" w:type="dxa"/>
              <w:right w:w="100" w:type="dxa"/>
            </w:tcMar>
          </w:tcPr>
          <w:p>
            <w:pPr>
              <w:spacing w:before="40" w:after="40"/>
            </w:pPr>
            <w:r>
              <w:rPr>
                <w:b/>
                <w:color w:val="FFFFFF"/>
                <w:sz w:val="16"/>
              </w:rPr>
              <w:t>Algorithmic Component</w:t>
            </w:r>
          </w:p>
        </w:tc>
        <w:tc>
          <w:tcPr>
            <w:tcW w:type="dxa" w:w="1921"/>
            <w:shd w:fill="1E293B"/>
            <w:tcMar>
              <w:top w:w="80" w:type="dxa"/>
              <w:bottom w:w="80" w:type="dxa"/>
              <w:left w:w="100" w:type="dxa"/>
              <w:right w:w="100" w:type="dxa"/>
            </w:tcMar>
          </w:tcPr>
          <w:p>
            <w:pPr>
              <w:spacing w:before="40" w:after="40"/>
            </w:pPr>
            <w:r>
              <w:rPr>
                <w:b/>
                <w:color w:val="FFFFFF"/>
                <w:sz w:val="16"/>
              </w:rPr>
              <w:t>Underlying Mechanism</w:t>
            </w:r>
          </w:p>
        </w:tc>
        <w:tc>
          <w:tcPr>
            <w:tcW w:type="dxa" w:w="1921"/>
            <w:shd w:fill="1E293B"/>
            <w:tcMar>
              <w:top w:w="80" w:type="dxa"/>
              <w:bottom w:w="80" w:type="dxa"/>
              <w:left w:w="100" w:type="dxa"/>
              <w:right w:w="100" w:type="dxa"/>
            </w:tcMar>
          </w:tcPr>
          <w:p>
            <w:pPr>
              <w:spacing w:before="40" w:after="40"/>
            </w:pPr>
            <w:r>
              <w:rPr>
                <w:b/>
                <w:color w:val="FFFFFF"/>
                <w:sz w:val="16"/>
              </w:rPr>
              <w:t>Time Complexity</w:t>
            </w:r>
          </w:p>
        </w:tc>
        <w:tc>
          <w:tcPr>
            <w:tcW w:type="dxa" w:w="1921"/>
            <w:shd w:fill="1E293B"/>
            <w:tcMar>
              <w:top w:w="80" w:type="dxa"/>
              <w:bottom w:w="80" w:type="dxa"/>
              <w:left w:w="100" w:type="dxa"/>
              <w:right w:w="100" w:type="dxa"/>
            </w:tcMar>
          </w:tcPr>
          <w:p>
            <w:pPr>
              <w:spacing w:before="40" w:after="40"/>
            </w:pPr>
            <w:r>
              <w:rPr>
                <w:b/>
                <w:color w:val="FFFFFF"/>
                <w:sz w:val="16"/>
              </w:rPr>
              <w:t>Space Complexity</w:t>
            </w:r>
          </w:p>
        </w:tc>
        <w:tc>
          <w:tcPr>
            <w:tcW w:type="dxa" w:w="1921"/>
            <w:shd w:fill="1E293B"/>
            <w:tcMar>
              <w:top w:w="80" w:type="dxa"/>
              <w:bottom w:w="80" w:type="dxa"/>
              <w:left w:w="100" w:type="dxa"/>
              <w:right w:w="100" w:type="dxa"/>
            </w:tcMar>
          </w:tcPr>
          <w:p>
            <w:pPr>
              <w:spacing w:before="40" w:after="40"/>
            </w:pPr>
            <w:r>
              <w:rPr>
                <w:b/>
                <w:color w:val="FFFFFF"/>
                <w:sz w:val="16"/>
              </w:rPr>
              <w:t>Operational Guarantee</w:t>
            </w:r>
          </w:p>
        </w:tc>
      </w:tr>
      <w:tr>
        <w:tc>
          <w:tcPr>
            <w:tcW w:type="dxa" w:w="1921"/>
            <w:shd w:fill="FFFFFF"/>
            <w:tcMar>
              <w:top w:w="60" w:type="dxa"/>
              <w:bottom w:w="60" w:type="dxa"/>
              <w:left w:w="100" w:type="dxa"/>
              <w:right w:w="100" w:type="dxa"/>
            </w:tcMar>
          </w:tcPr>
          <w:p>
            <w:pPr>
              <w:spacing w:before="20" w:after="20"/>
            </w:pPr>
            <w:r>
              <w:rPr>
                <w:color w:val="334155"/>
                <w:sz w:val="15"/>
              </w:rPr>
              <w:t>**Reading-Order Sorter**</w:t>
            </w:r>
          </w:p>
        </w:tc>
        <w:tc>
          <w:tcPr>
            <w:tcW w:type="dxa" w:w="1921"/>
            <w:shd w:fill="FFFFFF"/>
            <w:tcMar>
              <w:top w:w="60" w:type="dxa"/>
              <w:bottom w:w="60" w:type="dxa"/>
              <w:left w:w="100" w:type="dxa"/>
              <w:right w:w="100" w:type="dxa"/>
            </w:tcMar>
          </w:tcPr>
          <w:p>
            <w:pPr>
              <w:spacing w:before="20" w:after="20"/>
            </w:pPr>
            <w:r>
              <w:rPr>
                <w:color w:val="334155"/>
                <w:sz w:val="15"/>
              </w:rPr>
              <w:t>Spatial Y-bucket clustering &amp; X-sort</w:t>
            </w:r>
          </w:p>
        </w:tc>
        <w:tc>
          <w:tcPr>
            <w:tcW w:type="dxa" w:w="1921"/>
            <w:shd w:fill="FFFFFF"/>
            <w:tcMar>
              <w:top w:w="60" w:type="dxa"/>
              <w:bottom w:w="60" w:type="dxa"/>
              <w:left w:w="100" w:type="dxa"/>
              <w:right w:w="100" w:type="dxa"/>
            </w:tcMar>
          </w:tcPr>
          <w:p>
            <w:pPr>
              <w:spacing w:before="20" w:after="20"/>
            </w:pPr>
            <w:r>
              <w:rPr>
                <w:color w:val="334155"/>
                <w:sz w:val="15"/>
              </w:rPr>
              <w:t>O(N log N)</w:t>
            </w:r>
          </w:p>
        </w:tc>
        <w:tc>
          <w:tcPr>
            <w:tcW w:type="dxa" w:w="1921"/>
            <w:shd w:fill="FFFFFF"/>
            <w:tcMar>
              <w:top w:w="60" w:type="dxa"/>
              <w:bottom w:w="60" w:type="dxa"/>
              <w:left w:w="100" w:type="dxa"/>
              <w:right w:w="100" w:type="dxa"/>
            </w:tcMar>
          </w:tcPr>
          <w:p>
            <w:pPr>
              <w:spacing w:before="20" w:after="20"/>
            </w:pPr>
            <w:r>
              <w:rPr>
                <w:color w:val="334155"/>
                <w:sz w:val="15"/>
              </w:rPr>
              <w:t>O(N)</w:t>
            </w:r>
          </w:p>
        </w:tc>
        <w:tc>
          <w:tcPr>
            <w:tcW w:type="dxa" w:w="1921"/>
            <w:shd w:fill="FFFFFF"/>
            <w:tcMar>
              <w:top w:w="60" w:type="dxa"/>
              <w:bottom w:w="60" w:type="dxa"/>
              <w:left w:w="100" w:type="dxa"/>
              <w:right w:w="100" w:type="dxa"/>
            </w:tcMar>
          </w:tcPr>
          <w:p>
            <w:pPr>
              <w:spacing w:before="20" w:after="20"/>
            </w:pPr>
            <w:r>
              <w:rPr>
                <w:color w:val="334155"/>
                <w:sz w:val="15"/>
              </w:rPr>
              <w:t>Correct horizontal text association</w:t>
            </w:r>
          </w:p>
        </w:tc>
      </w:tr>
      <w:tr>
        <w:tc>
          <w:tcPr>
            <w:tcW w:type="dxa" w:w="1921"/>
            <w:shd w:fill="F8FAFC"/>
            <w:tcMar>
              <w:top w:w="60" w:type="dxa"/>
              <w:bottom w:w="60" w:type="dxa"/>
              <w:left w:w="100" w:type="dxa"/>
              <w:right w:w="100" w:type="dxa"/>
            </w:tcMar>
          </w:tcPr>
          <w:p>
            <w:pPr>
              <w:spacing w:before="20" w:after="20"/>
            </w:pPr>
            <w:r>
              <w:rPr>
                <w:color w:val="334155"/>
                <w:sz w:val="15"/>
              </w:rPr>
              <w:t>**Penny Splitting**</w:t>
            </w:r>
          </w:p>
        </w:tc>
        <w:tc>
          <w:tcPr>
            <w:tcW w:type="dxa" w:w="1921"/>
            <w:shd w:fill="F8FAFC"/>
            <w:tcMar>
              <w:top w:w="60" w:type="dxa"/>
              <w:bottom w:w="60" w:type="dxa"/>
              <w:left w:w="100" w:type="dxa"/>
              <w:right w:w="100" w:type="dxa"/>
            </w:tcMar>
          </w:tcPr>
          <w:p>
            <w:pPr>
              <w:spacing w:before="20" w:after="20"/>
            </w:pPr>
            <w:r>
              <w:rPr>
                <w:color w:val="334155"/>
                <w:sz w:val="15"/>
              </w:rPr>
              <w:t>Python `Decimal` fixed-point arithmetic</w:t>
            </w:r>
          </w:p>
        </w:tc>
        <w:tc>
          <w:tcPr>
            <w:tcW w:type="dxa" w:w="1921"/>
            <w:shd w:fill="F8FAFC"/>
            <w:tcMar>
              <w:top w:w="60" w:type="dxa"/>
              <w:bottom w:w="60" w:type="dxa"/>
              <w:left w:w="100" w:type="dxa"/>
              <w:right w:w="100" w:type="dxa"/>
            </w:tcMar>
          </w:tcPr>
          <w:p>
            <w:pPr>
              <w:spacing w:before="20" w:after="20"/>
            </w:pPr>
            <w:r>
              <w:rPr>
                <w:color w:val="334155"/>
                <w:sz w:val="15"/>
              </w:rPr>
              <w:t>O(N  ·  M)</w:t>
            </w:r>
          </w:p>
        </w:tc>
        <w:tc>
          <w:tcPr>
            <w:tcW w:type="dxa" w:w="1921"/>
            <w:shd w:fill="F8FAFC"/>
            <w:tcMar>
              <w:top w:w="60" w:type="dxa"/>
              <w:bottom w:w="60" w:type="dxa"/>
              <w:left w:w="100" w:type="dxa"/>
              <w:right w:w="100" w:type="dxa"/>
            </w:tcMar>
          </w:tcPr>
          <w:p>
            <w:pPr>
              <w:spacing w:before="20" w:after="20"/>
            </w:pPr>
            <w:r>
              <w:rPr>
                <w:color w:val="334155"/>
                <w:sz w:val="15"/>
              </w:rPr>
              <w:t>O(M)</w:t>
            </w:r>
          </w:p>
        </w:tc>
        <w:tc>
          <w:tcPr>
            <w:tcW w:type="dxa" w:w="1921"/>
            <w:shd w:fill="F8FAFC"/>
            <w:tcMar>
              <w:top w:w="60" w:type="dxa"/>
              <w:bottom w:w="60" w:type="dxa"/>
              <w:left w:w="100" w:type="dxa"/>
              <w:right w:w="100" w:type="dxa"/>
            </w:tcMar>
          </w:tcPr>
          <w:p>
            <w:pPr>
              <w:spacing w:before="20" w:after="20"/>
            </w:pPr>
            <w:r>
              <w:rPr>
                <w:color w:val="334155"/>
                <w:sz w:val="15"/>
              </w:rPr>
              <w:t>∑ S_j ≡ Total (Reconciled rounding residual)</w:t>
            </w:r>
          </w:p>
        </w:tc>
      </w:tr>
      <w:tr>
        <w:tc>
          <w:tcPr>
            <w:tcW w:type="dxa" w:w="1921"/>
            <w:shd w:fill="FFFFFF"/>
            <w:tcMar>
              <w:top w:w="60" w:type="dxa"/>
              <w:bottom w:w="60" w:type="dxa"/>
              <w:left w:w="100" w:type="dxa"/>
              <w:right w:w="100" w:type="dxa"/>
            </w:tcMar>
          </w:tcPr>
          <w:p>
            <w:pPr>
              <w:spacing w:before="20" w:after="20"/>
            </w:pPr>
            <w:r>
              <w:rPr>
                <w:color w:val="334155"/>
                <w:sz w:val="15"/>
              </w:rPr>
              <w:t>**Greedy Debt Simplifier**</w:t>
            </w:r>
          </w:p>
        </w:tc>
        <w:tc>
          <w:tcPr>
            <w:tcW w:type="dxa" w:w="1921"/>
            <w:shd w:fill="FFFFFF"/>
            <w:tcMar>
              <w:top w:w="60" w:type="dxa"/>
              <w:bottom w:w="60" w:type="dxa"/>
              <w:left w:w="100" w:type="dxa"/>
              <w:right w:w="100" w:type="dxa"/>
            </w:tcMar>
          </w:tcPr>
          <w:p>
            <w:pPr>
              <w:spacing w:before="20" w:after="20"/>
            </w:pPr>
            <w:r>
              <w:rPr>
                <w:color w:val="334155"/>
                <w:sz w:val="15"/>
              </w:rPr>
              <w:t>Bipartite Max-Heap matching</w:t>
            </w:r>
          </w:p>
        </w:tc>
        <w:tc>
          <w:tcPr>
            <w:tcW w:type="dxa" w:w="1921"/>
            <w:shd w:fill="FFFFFF"/>
            <w:tcMar>
              <w:top w:w="60" w:type="dxa"/>
              <w:bottom w:w="60" w:type="dxa"/>
              <w:left w:w="100" w:type="dxa"/>
              <w:right w:w="100" w:type="dxa"/>
            </w:tcMar>
          </w:tcPr>
          <w:p>
            <w:pPr>
              <w:spacing w:before="20" w:after="20"/>
            </w:pPr>
            <w:r>
              <w:rPr>
                <w:color w:val="334155"/>
                <w:sz w:val="15"/>
              </w:rPr>
              <w:t>O(V log V)</w:t>
            </w:r>
          </w:p>
        </w:tc>
        <w:tc>
          <w:tcPr>
            <w:tcW w:type="dxa" w:w="1921"/>
            <w:shd w:fill="FFFFFF"/>
            <w:tcMar>
              <w:top w:w="60" w:type="dxa"/>
              <w:bottom w:w="60" w:type="dxa"/>
              <w:left w:w="100" w:type="dxa"/>
              <w:right w:w="100" w:type="dxa"/>
            </w:tcMar>
          </w:tcPr>
          <w:p>
            <w:pPr>
              <w:spacing w:before="20" w:after="20"/>
            </w:pPr>
            <w:r>
              <w:rPr>
                <w:color w:val="334155"/>
                <w:sz w:val="15"/>
              </w:rPr>
              <w:t>O(V)</w:t>
            </w:r>
          </w:p>
        </w:tc>
        <w:tc>
          <w:tcPr>
            <w:tcW w:type="dxa" w:w="1921"/>
            <w:shd w:fill="FFFFFF"/>
            <w:tcMar>
              <w:top w:w="60" w:type="dxa"/>
              <w:bottom w:w="60" w:type="dxa"/>
              <w:left w:w="100" w:type="dxa"/>
              <w:right w:w="100" w:type="dxa"/>
            </w:tcMar>
          </w:tcPr>
          <w:p>
            <w:pPr>
              <w:spacing w:before="20" w:after="20"/>
            </w:pPr>
            <w:r>
              <w:rPr>
                <w:color w:val="334155"/>
                <w:sz w:val="15"/>
              </w:rPr>
              <w:t>≤ N-1 direct transfers emitted</w:t>
            </w:r>
          </w:p>
        </w:tc>
      </w:tr>
      <w:tr>
        <w:tc>
          <w:tcPr>
            <w:tcW w:type="dxa" w:w="1921"/>
            <w:shd w:fill="F8FAFC"/>
            <w:tcMar>
              <w:top w:w="60" w:type="dxa"/>
              <w:bottom w:w="60" w:type="dxa"/>
              <w:left w:w="100" w:type="dxa"/>
              <w:right w:w="100" w:type="dxa"/>
            </w:tcMar>
          </w:tcPr>
          <w:p>
            <w:pPr>
              <w:spacing w:before="20" w:after="20"/>
            </w:pPr>
            <w:r>
              <w:rPr>
                <w:color w:val="334155"/>
                <w:sz w:val="15"/>
              </w:rPr>
              <w:t>**LOO Anomaly Detector**</w:t>
            </w:r>
          </w:p>
        </w:tc>
        <w:tc>
          <w:tcPr>
            <w:tcW w:type="dxa" w:w="1921"/>
            <w:shd w:fill="F8FAFC"/>
            <w:tcMar>
              <w:top w:w="60" w:type="dxa"/>
              <w:bottom w:w="60" w:type="dxa"/>
              <w:left w:w="100" w:type="dxa"/>
              <w:right w:w="100" w:type="dxa"/>
            </w:tcMar>
          </w:tcPr>
          <w:p>
            <w:pPr>
              <w:spacing w:before="20" w:after="20"/>
            </w:pPr>
            <w:r>
              <w:rPr>
                <w:color w:val="334155"/>
                <w:sz w:val="15"/>
              </w:rPr>
              <w:t>Vectorized Leave-One-Out variance</w:t>
            </w:r>
          </w:p>
        </w:tc>
        <w:tc>
          <w:tcPr>
            <w:tcW w:type="dxa" w:w="1921"/>
            <w:shd w:fill="F8FAFC"/>
            <w:tcMar>
              <w:top w:w="60" w:type="dxa"/>
              <w:bottom w:w="60" w:type="dxa"/>
              <w:left w:w="100" w:type="dxa"/>
              <w:right w:w="100" w:type="dxa"/>
            </w:tcMar>
          </w:tcPr>
          <w:p>
            <w:pPr>
              <w:spacing w:before="20" w:after="20"/>
            </w:pPr>
            <w:r>
              <w:rPr>
                <w:color w:val="334155"/>
                <w:sz w:val="15"/>
              </w:rPr>
              <w:t>O(N) per candidate</w:t>
            </w:r>
          </w:p>
        </w:tc>
        <w:tc>
          <w:tcPr>
            <w:tcW w:type="dxa" w:w="1921"/>
            <w:shd w:fill="F8FAFC"/>
            <w:tcMar>
              <w:top w:w="60" w:type="dxa"/>
              <w:bottom w:w="60" w:type="dxa"/>
              <w:left w:w="100" w:type="dxa"/>
              <w:right w:w="100" w:type="dxa"/>
            </w:tcMar>
          </w:tcPr>
          <w:p>
            <w:pPr>
              <w:spacing w:before="20" w:after="20"/>
            </w:pPr>
            <w:r>
              <w:rPr>
                <w:color w:val="334155"/>
                <w:sz w:val="15"/>
              </w:rPr>
              <w:t>O(N)</w:t>
            </w:r>
          </w:p>
        </w:tc>
        <w:tc>
          <w:tcPr>
            <w:tcW w:type="dxa" w:w="1921"/>
            <w:shd w:fill="F8FAFC"/>
            <w:tcMar>
              <w:top w:w="60" w:type="dxa"/>
              <w:bottom w:w="60" w:type="dxa"/>
              <w:left w:w="100" w:type="dxa"/>
              <w:right w:w="100" w:type="dxa"/>
            </w:tcMar>
          </w:tcPr>
          <w:p>
            <w:pPr>
              <w:spacing w:before="20" w:after="20"/>
            </w:pPr>
            <w:r>
              <w:rPr>
                <w:color w:val="334155"/>
                <w:sz w:val="15"/>
              </w:rPr>
              <w:t>Eliminates outlier baseline masking</w:t>
            </w:r>
          </w:p>
        </w:tc>
      </w:tr>
      <w:tr>
        <w:tc>
          <w:tcPr>
            <w:tcW w:type="dxa" w:w="1921"/>
            <w:shd w:fill="FFFFFF"/>
            <w:tcMar>
              <w:top w:w="60" w:type="dxa"/>
              <w:bottom w:w="60" w:type="dxa"/>
              <w:left w:w="100" w:type="dxa"/>
              <w:right w:w="100" w:type="dxa"/>
            </w:tcMar>
          </w:tcPr>
          <w:p>
            <w:pPr>
              <w:spacing w:before="20" w:after="20"/>
            </w:pPr>
            <w:r>
              <w:rPr>
                <w:color w:val="334155"/>
                <w:sz w:val="15"/>
              </w:rPr>
              <w:t>**Prophet Forecaster**</w:t>
            </w:r>
          </w:p>
        </w:tc>
        <w:tc>
          <w:tcPr>
            <w:tcW w:type="dxa" w:w="1921"/>
            <w:shd w:fill="FFFFFF"/>
            <w:tcMar>
              <w:top w:w="60" w:type="dxa"/>
              <w:bottom w:w="60" w:type="dxa"/>
              <w:left w:w="100" w:type="dxa"/>
              <w:right w:w="100" w:type="dxa"/>
            </w:tcMar>
          </w:tcPr>
          <w:p>
            <w:pPr>
              <w:spacing w:before="20" w:after="20"/>
            </w:pPr>
            <w:r>
              <w:rPr>
                <w:color w:val="334155"/>
                <w:sz w:val="15"/>
              </w:rPr>
              <w:t>L-BFGS Bayesian GAM fitting</w:t>
            </w:r>
          </w:p>
        </w:tc>
        <w:tc>
          <w:tcPr>
            <w:tcW w:type="dxa" w:w="1921"/>
            <w:shd w:fill="FFFFFF"/>
            <w:tcMar>
              <w:top w:w="60" w:type="dxa"/>
              <w:bottom w:w="60" w:type="dxa"/>
              <w:left w:w="100" w:type="dxa"/>
              <w:right w:w="100" w:type="dxa"/>
            </w:tcMar>
          </w:tcPr>
          <w:p>
            <w:pPr>
              <w:spacing w:before="20" w:after="20"/>
            </w:pPr>
            <w:r>
              <w:rPr>
                <w:color w:val="334155"/>
                <w:sz w:val="15"/>
              </w:rPr>
              <w:t>Depends on series length</w:t>
            </w:r>
          </w:p>
        </w:tc>
        <w:tc>
          <w:tcPr>
            <w:tcW w:type="dxa" w:w="1921"/>
            <w:shd w:fill="FFFFFF"/>
            <w:tcMar>
              <w:top w:w="60" w:type="dxa"/>
              <w:bottom w:w="60" w:type="dxa"/>
              <w:left w:w="100" w:type="dxa"/>
              <w:right w:w="100" w:type="dxa"/>
            </w:tcMar>
          </w:tcPr>
          <w:p>
            <w:pPr>
              <w:spacing w:before="20" w:after="20"/>
            </w:pPr>
            <w:r>
              <w:rPr>
                <w:color w:val="334155"/>
                <w:sz w:val="15"/>
              </w:rPr>
              <w:t>Not characterized by app</w:t>
            </w:r>
          </w:p>
        </w:tc>
        <w:tc>
          <w:tcPr>
            <w:tcW w:type="dxa" w:w="1921"/>
            <w:shd w:fill="FFFFFF"/>
            <w:tcMar>
              <w:top w:w="60" w:type="dxa"/>
              <w:bottom w:w="60" w:type="dxa"/>
              <w:left w:w="100" w:type="dxa"/>
              <w:right w:w="100" w:type="dxa"/>
            </w:tcMar>
          </w:tcPr>
          <w:p>
            <w:pPr>
              <w:spacing w:before="20" w:after="20"/>
            </w:pPr>
            <w:r>
              <w:rPr>
                <w:color w:val="334155"/>
                <w:sz w:val="15"/>
              </w:rPr>
              <w:t>80% uncertainty bounds &amp; trend curves</w:t>
            </w:r>
          </w:p>
        </w:tc>
      </w:tr>
      <w:tr>
        <w:tc>
          <w:tcPr>
            <w:tcW w:type="dxa" w:w="1921"/>
            <w:shd w:fill="F8FAFC"/>
            <w:tcMar>
              <w:top w:w="60" w:type="dxa"/>
              <w:bottom w:w="60" w:type="dxa"/>
              <w:left w:w="100" w:type="dxa"/>
              <w:right w:w="100" w:type="dxa"/>
            </w:tcMar>
          </w:tcPr>
          <w:p>
            <w:pPr>
              <w:spacing w:before="20" w:after="20"/>
            </w:pPr>
            <w:r>
              <w:rPr>
                <w:color w:val="334155"/>
                <w:sz w:val="15"/>
              </w:rPr>
              <w:t>**LLM Router**</w:t>
            </w:r>
          </w:p>
        </w:tc>
        <w:tc>
          <w:tcPr>
            <w:tcW w:type="dxa" w:w="1921"/>
            <w:shd w:fill="F8FAFC"/>
            <w:tcMar>
              <w:top w:w="60" w:type="dxa"/>
              <w:bottom w:w="60" w:type="dxa"/>
              <w:left w:w="100" w:type="dxa"/>
              <w:right w:w="100" w:type="dxa"/>
            </w:tcMar>
          </w:tcPr>
          <w:p>
            <w:pPr>
              <w:spacing w:before="20" w:after="20"/>
            </w:pPr>
            <w:r>
              <w:rPr>
                <w:color w:val="334155"/>
                <w:sz w:val="15"/>
              </w:rPr>
              <w:t>Fallback HTTP proxy with schema validation</w:t>
            </w:r>
          </w:p>
        </w:tc>
        <w:tc>
          <w:tcPr>
            <w:tcW w:type="dxa" w:w="1921"/>
            <w:shd w:fill="F8FAFC"/>
            <w:tcMar>
              <w:top w:w="60" w:type="dxa"/>
              <w:bottom w:w="60" w:type="dxa"/>
              <w:left w:w="100" w:type="dxa"/>
              <w:right w:w="100" w:type="dxa"/>
            </w:tcMar>
          </w:tcPr>
          <w:p>
            <w:pPr>
              <w:spacing w:before="20" w:after="20"/>
            </w:pPr>
            <w:r>
              <w:rPr>
                <w:color w:val="334155"/>
                <w:sz w:val="15"/>
              </w:rPr>
              <w:t>External model inference</w:t>
            </w:r>
          </w:p>
        </w:tc>
        <w:tc>
          <w:tcPr>
            <w:tcW w:type="dxa" w:w="1921"/>
            <w:shd w:fill="F8FAFC"/>
            <w:tcMar>
              <w:top w:w="60" w:type="dxa"/>
              <w:bottom w:w="60" w:type="dxa"/>
              <w:left w:w="100" w:type="dxa"/>
              <w:right w:w="100" w:type="dxa"/>
            </w:tcMar>
          </w:tcPr>
          <w:p>
            <w:pPr>
              <w:spacing w:before="20" w:after="20"/>
            </w:pPr>
            <w:r>
              <w:rPr>
                <w:color w:val="334155"/>
                <w:sz w:val="15"/>
              </w:rPr>
              <w:t>Not characterized by app</w:t>
            </w:r>
          </w:p>
        </w:tc>
        <w:tc>
          <w:tcPr>
            <w:tcW w:type="dxa" w:w="1921"/>
            <w:shd w:fill="F8FAFC"/>
            <w:tcMar>
              <w:top w:w="60" w:type="dxa"/>
              <w:bottom w:w="60" w:type="dxa"/>
              <w:left w:w="100" w:type="dxa"/>
              <w:right w:w="100" w:type="dxa"/>
            </w:tcMar>
          </w:tcPr>
          <w:p>
            <w:pPr>
              <w:spacing w:before="20" w:after="20"/>
            </w:pPr>
            <w:r>
              <w:rPr>
                <w:color w:val="334155"/>
                <w:sz w:val="15"/>
              </w:rPr>
              <w:t>Strict Pydantic JSON structure</w:t>
            </w:r>
          </w:p>
        </w:tc>
      </w:tr>
    </w:tbl>
    <w:p>
      <w:pPr>
        <w:spacing w:after="120"/>
      </w:pPr>
    </w:p>
    <w:p>
      <w:pPr>
        <w:spacing w:before="280" w:after="80"/>
      </w:pPr>
      <w:r>
        <w:rPr>
          <w:b/>
          <w:color w:val="1E3A8A"/>
          <w:sz w:val="26"/>
        </w:rPr>
        <w:t>8.3 Representative User Interface Workflows</w:t>
      </w:r>
    </w:p>
    <w:p>
      <w:pPr>
        <w:spacing w:before="0" w:after="80" w:line="276" w:lineRule="auto"/>
      </w:pPr>
      <w:r>
        <w:t>Visual verification of the implemented application interface was conducted across core functional workflows:</w:t>
      </w:r>
    </w:p>
    <w:p>
      <w:pPr>
        <w:spacing w:before="200" w:after="40"/>
      </w:pPr>
      <w:r>
        <w:rPr>
          <w:b/>
          <w:color w:val="334155"/>
          <w:sz w:val="22"/>
        </w:rPr>
        <w:t>Workflow A: Expense Management &amp; Ledger</w:t>
      </w:r>
    </w:p>
    <w:p>
      <w:pPr>
        <w:spacing w:before="160" w:after="40"/>
        <w:jc w:val="center"/>
      </w:pPr>
      <w:r>
        <w:drawing>
          <wp:inline xmlns:a="http://schemas.openxmlformats.org/drawingml/2006/main" xmlns:pic="http://schemas.openxmlformats.org/drawingml/2006/picture">
            <wp:extent cx="4937760" cy="10702308"/>
            <wp:docPr id="7" name="Picture 7"/>
            <wp:cNvGraphicFramePr>
              <a:graphicFrameLocks noChangeAspect="1"/>
            </wp:cNvGraphicFramePr>
            <a:graphic>
              <a:graphicData uri="http://schemas.openxmlformats.org/drawingml/2006/picture">
                <pic:pic>
                  <pic:nvPicPr>
                    <pic:cNvPr id="0" name="01_home_dashboard.png"/>
                    <pic:cNvPicPr/>
                  </pic:nvPicPr>
                  <pic:blipFill>
                    <a:blip r:embed="rId16"/>
                    <a:stretch>
                      <a:fillRect/>
                    </a:stretch>
                  </pic:blipFill>
                  <pic:spPr>
                    <a:xfrm>
                      <a:off x="0" y="0"/>
                      <a:ext cx="4937760" cy="10702308"/>
                    </a:xfrm>
                    <a:prstGeom prst="rect"/>
                  </pic:spPr>
                </pic:pic>
              </a:graphicData>
            </a:graphic>
          </wp:inline>
        </w:drawing>
      </w:r>
    </w:p>
    <w:p>
      <w:pPr>
        <w:spacing w:after="160"/>
        <w:jc w:val="center"/>
      </w:pPr>
      <w:r>
        <w:rPr>
          <w:i/>
          <w:color w:val="64748B"/>
          <w:sz w:val="17"/>
        </w:rPr>
        <w:t>Figure 8.1: Home Dashboard displaying current month spend (₹7,740 / ₹35,000 budget), active budget progress bar, recent transactions, and anomaly alert banner.</w:t>
      </w:r>
    </w:p>
    <w:p>
      <w:pPr>
        <w:spacing w:before="160" w:after="40"/>
        <w:jc w:val="center"/>
      </w:pPr>
      <w:r>
        <w:drawing>
          <wp:inline xmlns:a="http://schemas.openxmlformats.org/drawingml/2006/main" xmlns:pic="http://schemas.openxmlformats.org/drawingml/2006/picture">
            <wp:extent cx="4937760" cy="10966142"/>
            <wp:docPr id="8" name="Picture 8"/>
            <wp:cNvGraphicFramePr>
              <a:graphicFrameLocks noChangeAspect="1"/>
            </wp:cNvGraphicFramePr>
            <a:graphic>
              <a:graphicData uri="http://schemas.openxmlformats.org/drawingml/2006/picture">
                <pic:pic>
                  <pic:nvPicPr>
                    <pic:cNvPr id="0" name="03_expense_add_form.png"/>
                    <pic:cNvPicPr/>
                  </pic:nvPicPr>
                  <pic:blipFill>
                    <a:blip r:embed="rId17"/>
                    <a:stretch>
                      <a:fillRect/>
                    </a:stretch>
                  </pic:blipFill>
                  <pic:spPr>
                    <a:xfrm>
                      <a:off x="0" y="0"/>
                      <a:ext cx="4937760" cy="10966142"/>
                    </a:xfrm>
                    <a:prstGeom prst="rect"/>
                  </pic:spPr>
                </pic:pic>
              </a:graphicData>
            </a:graphic>
          </wp:inline>
        </w:drawing>
      </w:r>
    </w:p>
    <w:p>
      <w:pPr>
        <w:spacing w:after="160"/>
        <w:jc w:val="center"/>
      </w:pPr>
      <w:r>
        <w:rPr>
          <w:i/>
          <w:color w:val="64748B"/>
          <w:sz w:val="17"/>
        </w:rPr>
        <w:t>Figure 8.2: Material-style bottom sheet modal showing description, amount, optional merchant, and date selector with automatic AI categorization upon saving.</w:t>
      </w:r>
    </w:p>
    <w:p>
      <w:pPr>
        <w:spacing w:before="160" w:after="40"/>
        <w:jc w:val="center"/>
      </w:pPr>
      <w:r>
        <w:drawing>
          <wp:inline xmlns:a="http://schemas.openxmlformats.org/drawingml/2006/main" xmlns:pic="http://schemas.openxmlformats.org/drawingml/2006/picture">
            <wp:extent cx="4937760" cy="10702308"/>
            <wp:docPr id="9" name="Picture 9"/>
            <wp:cNvGraphicFramePr>
              <a:graphicFrameLocks noChangeAspect="1"/>
            </wp:cNvGraphicFramePr>
            <a:graphic>
              <a:graphicData uri="http://schemas.openxmlformats.org/drawingml/2006/picture">
                <pic:pic>
                  <pic:nvPicPr>
                    <pic:cNvPr id="0" name="04_expense_added.png"/>
                    <pic:cNvPicPr/>
                  </pic:nvPicPr>
                  <pic:blipFill>
                    <a:blip r:embed="rId18"/>
                    <a:stretch>
                      <a:fillRect/>
                    </a:stretch>
                  </pic:blipFill>
                  <pic:spPr>
                    <a:xfrm>
                      <a:off x="0" y="0"/>
                      <a:ext cx="4937760" cy="10702308"/>
                    </a:xfrm>
                    <a:prstGeom prst="rect"/>
                  </pic:spPr>
                </pic:pic>
              </a:graphicData>
            </a:graphic>
          </wp:inline>
        </w:drawing>
      </w:r>
    </w:p>
    <w:p>
      <w:pPr>
        <w:spacing w:after="160"/>
        <w:jc w:val="center"/>
      </w:pPr>
      <w:r>
        <w:rPr>
          <w:i/>
          <w:color w:val="64748B"/>
          <w:sz w:val="17"/>
        </w:rPr>
        <w:t>Figure 8.3: Expense ledger showing newly added transaction recorded with automatic category badge.</w:t>
      </w:r>
    </w:p>
    <w:p>
      <w:pPr>
        <w:spacing w:before="200" w:after="40"/>
      </w:pPr>
      <w:r>
        <w:rPr>
          <w:b/>
          <w:color w:val="334155"/>
          <w:sz w:val="22"/>
        </w:rPr>
        <w:t>Workflow B: Receipt OCR &amp; Intelligent Bill Splitting</w:t>
      </w:r>
    </w:p>
    <w:p>
      <w:pPr>
        <w:spacing w:before="160" w:after="40"/>
        <w:jc w:val="center"/>
      </w:pPr>
      <w:r>
        <w:drawing>
          <wp:inline xmlns:a="http://schemas.openxmlformats.org/drawingml/2006/main" xmlns:pic="http://schemas.openxmlformats.org/drawingml/2006/picture">
            <wp:extent cx="4937760" cy="10702308"/>
            <wp:docPr id="10" name="Picture 10"/>
            <wp:cNvGraphicFramePr>
              <a:graphicFrameLocks noChangeAspect="1"/>
            </wp:cNvGraphicFramePr>
            <a:graphic>
              <a:graphicData uri="http://schemas.openxmlformats.org/drawingml/2006/picture">
                <pic:pic>
                  <pic:nvPicPr>
                    <pic:cNvPr id="0" name="06_split_receipt.png"/>
                    <pic:cNvPicPr/>
                  </pic:nvPicPr>
                  <pic:blipFill>
                    <a:blip r:embed="rId19"/>
                    <a:stretch>
                      <a:fillRect/>
                    </a:stretch>
                  </pic:blipFill>
                  <pic:spPr>
                    <a:xfrm>
                      <a:off x="0" y="0"/>
                      <a:ext cx="4937760" cy="10702308"/>
                    </a:xfrm>
                    <a:prstGeom prst="rect"/>
                  </pic:spPr>
                </pic:pic>
              </a:graphicData>
            </a:graphic>
          </wp:inline>
        </w:drawing>
      </w:r>
    </w:p>
    <w:p>
      <w:pPr>
        <w:spacing w:after="160"/>
        <w:jc w:val="center"/>
      </w:pPr>
      <w:r>
        <w:rPr>
          <w:i/>
          <w:color w:val="64748B"/>
          <w:sz w:val="17"/>
        </w:rPr>
        <w:t>Figure 8.4: Step 1 of Receipt Split flow showing receipt selection options (Take Photo / Choose from Gallery).</w:t>
      </w:r>
    </w:p>
    <w:p>
      <w:pPr>
        <w:spacing w:before="160" w:after="40"/>
        <w:jc w:val="center"/>
      </w:pPr>
      <w:r>
        <w:drawing>
          <wp:inline xmlns:a="http://schemas.openxmlformats.org/drawingml/2006/main" xmlns:pic="http://schemas.openxmlformats.org/drawingml/2006/picture">
            <wp:extent cx="4937760" cy="10702308"/>
            <wp:docPr id="11" name="Picture 11"/>
            <wp:cNvGraphicFramePr>
              <a:graphicFrameLocks noChangeAspect="1"/>
            </wp:cNvGraphicFramePr>
            <a:graphic>
              <a:graphicData uri="http://schemas.openxmlformats.org/drawingml/2006/picture">
                <pic:pic>
                  <pic:nvPicPr>
                    <pic:cNvPr id="0" name="07_split_participants.png"/>
                    <pic:cNvPicPr/>
                  </pic:nvPicPr>
                  <pic:blipFill>
                    <a:blip r:embed="rId20"/>
                    <a:stretch>
                      <a:fillRect/>
                    </a:stretch>
                  </pic:blipFill>
                  <pic:spPr>
                    <a:xfrm>
                      <a:off x="0" y="0"/>
                      <a:ext cx="4937760" cy="10702308"/>
                    </a:xfrm>
                    <a:prstGeom prst="rect"/>
                  </pic:spPr>
                </pic:pic>
              </a:graphicData>
            </a:graphic>
          </wp:inline>
        </w:drawing>
      </w:r>
    </w:p>
    <w:p>
      <w:pPr>
        <w:spacing w:after="160"/>
        <w:jc w:val="center"/>
      </w:pPr>
      <w:r>
        <w:rPr>
          <w:i/>
          <w:color w:val="64748B"/>
          <w:sz w:val="17"/>
        </w:rPr>
        <w:t>Figure 8.5: Step 2 participant management showing participant tags (Me, Friend) and equal split toggle.</w:t>
      </w:r>
    </w:p>
    <w:p>
      <w:pPr>
        <w:spacing w:before="160" w:after="40"/>
        <w:jc w:val="center"/>
      </w:pPr>
      <w:r>
        <w:drawing>
          <wp:inline xmlns:a="http://schemas.openxmlformats.org/drawingml/2006/main" xmlns:pic="http://schemas.openxmlformats.org/drawingml/2006/picture">
            <wp:extent cx="4937760" cy="10702308"/>
            <wp:docPr id="12" name="Picture 12"/>
            <wp:cNvGraphicFramePr>
              <a:graphicFrameLocks noChangeAspect="1"/>
            </wp:cNvGraphicFramePr>
            <a:graphic>
              <a:graphicData uri="http://schemas.openxmlformats.org/drawingml/2006/picture">
                <pic:pic>
                  <pic:nvPicPr>
                    <pic:cNvPr id="0" name="08_split_review.png"/>
                    <pic:cNvPicPr/>
                  </pic:nvPicPr>
                  <pic:blipFill>
                    <a:blip r:embed="rId21"/>
                    <a:stretch>
                      <a:fillRect/>
                    </a:stretch>
                  </pic:blipFill>
                  <pic:spPr>
                    <a:xfrm>
                      <a:off x="0" y="0"/>
                      <a:ext cx="4937760" cy="10702308"/>
                    </a:xfrm>
                    <a:prstGeom prst="rect"/>
                  </pic:spPr>
                </pic:pic>
              </a:graphicData>
            </a:graphic>
          </wp:inline>
        </w:drawing>
      </w:r>
    </w:p>
    <w:p>
      <w:pPr>
        <w:spacing w:after="160"/>
        <w:jc w:val="center"/>
      </w:pPr>
      <w:r>
        <w:rPr>
          <w:i/>
          <w:color w:val="64748B"/>
          <w:sz w:val="17"/>
        </w:rPr>
        <w:t>Figure 8.6: Step 2 item consumption prompt allowing users to enter custom natural language consumption instructions or toggle equal split before calculation.</w:t>
      </w:r>
    </w:p>
    <w:p>
      <w:pPr>
        <w:spacing w:before="200" w:after="40"/>
      </w:pPr>
      <w:r>
        <w:rPr>
          <w:b/>
          <w:color w:val="334155"/>
          <w:sz w:val="22"/>
        </w:rPr>
        <w:t>Workflow C: Analytics, Budgeting &amp; Forecasting</w:t>
      </w:r>
    </w:p>
    <w:p>
      <w:pPr>
        <w:spacing w:before="160" w:after="40"/>
        <w:jc w:val="center"/>
      </w:pPr>
      <w:r>
        <w:drawing>
          <wp:inline xmlns:a="http://schemas.openxmlformats.org/drawingml/2006/main" xmlns:pic="http://schemas.openxmlformats.org/drawingml/2006/picture">
            <wp:extent cx="4937760" cy="10702308"/>
            <wp:docPr id="13" name="Picture 13"/>
            <wp:cNvGraphicFramePr>
              <a:graphicFrameLocks noChangeAspect="1"/>
            </wp:cNvGraphicFramePr>
            <a:graphic>
              <a:graphicData uri="http://schemas.openxmlformats.org/drawingml/2006/picture">
                <pic:pic>
                  <pic:nvPicPr>
                    <pic:cNvPr id="0" name="11_budget.png"/>
                    <pic:cNvPicPr/>
                  </pic:nvPicPr>
                  <pic:blipFill>
                    <a:blip r:embed="rId22"/>
                    <a:stretch>
                      <a:fillRect/>
                    </a:stretch>
                  </pic:blipFill>
                  <pic:spPr>
                    <a:xfrm>
                      <a:off x="0" y="0"/>
                      <a:ext cx="4937760" cy="10702308"/>
                    </a:xfrm>
                    <a:prstGeom prst="rect"/>
                  </pic:spPr>
                </pic:pic>
              </a:graphicData>
            </a:graphic>
          </wp:inline>
        </w:drawing>
      </w:r>
    </w:p>
    <w:p>
      <w:pPr>
        <w:spacing w:after="160"/>
        <w:jc w:val="center"/>
      </w:pPr>
      <w:r>
        <w:rPr>
          <w:i/>
          <w:color w:val="64748B"/>
          <w:sz w:val="17"/>
        </w:rPr>
        <w:t>Figure 8.7: Budget management view showing monthly spending limit vs actual outlay and envelope progress.</w:t>
      </w:r>
    </w:p>
    <w:p>
      <w:pPr>
        <w:spacing w:before="160" w:after="40"/>
        <w:jc w:val="center"/>
      </w:pPr>
      <w:r>
        <w:drawing>
          <wp:inline xmlns:a="http://schemas.openxmlformats.org/drawingml/2006/main" xmlns:pic="http://schemas.openxmlformats.org/drawingml/2006/picture">
            <wp:extent cx="4937760" cy="10702308"/>
            <wp:docPr id="14" name="Picture 14"/>
            <wp:cNvGraphicFramePr>
              <a:graphicFrameLocks noChangeAspect="1"/>
            </wp:cNvGraphicFramePr>
            <a:graphic>
              <a:graphicData uri="http://schemas.openxmlformats.org/drawingml/2006/picture">
                <pic:pic>
                  <pic:nvPicPr>
                    <pic:cNvPr id="0" name="12_anomaly_insights.png"/>
                    <pic:cNvPicPr/>
                  </pic:nvPicPr>
                  <pic:blipFill>
                    <a:blip r:embed="rId23"/>
                    <a:stretch>
                      <a:fillRect/>
                    </a:stretch>
                  </pic:blipFill>
                  <pic:spPr>
                    <a:xfrm>
                      <a:off x="0" y="0"/>
                      <a:ext cx="4937760" cy="10702308"/>
                    </a:xfrm>
                    <a:prstGeom prst="rect"/>
                  </pic:spPr>
                </pic:pic>
              </a:graphicData>
            </a:graphic>
          </wp:inline>
        </w:drawing>
      </w:r>
    </w:p>
    <w:p>
      <w:pPr>
        <w:spacing w:after="160"/>
        <w:jc w:val="center"/>
      </w:pPr>
      <w:r>
        <w:rPr>
          <w:i/>
          <w:color w:val="64748B"/>
          <w:sz w:val="17"/>
        </w:rPr>
        <w:t>Figure 8.8: Statistical Leave-One-Out anomaly detection highlighting transactions that exceed category historical baselines.</w:t>
      </w:r>
    </w:p>
    <w:p>
      <w:pPr>
        <w:spacing w:before="160" w:after="40"/>
        <w:jc w:val="center"/>
      </w:pPr>
      <w:r>
        <w:drawing>
          <wp:inline xmlns:a="http://schemas.openxmlformats.org/drawingml/2006/main" xmlns:pic="http://schemas.openxmlformats.org/drawingml/2006/picture">
            <wp:extent cx="4937760" cy="10702308"/>
            <wp:docPr id="15" name="Picture 15"/>
            <wp:cNvGraphicFramePr>
              <a:graphicFrameLocks noChangeAspect="1"/>
            </wp:cNvGraphicFramePr>
            <a:graphic>
              <a:graphicData uri="http://schemas.openxmlformats.org/drawingml/2006/picture">
                <pic:pic>
                  <pic:nvPicPr>
                    <pic:cNvPr id="0" name="13_spending_insights.png"/>
                    <pic:cNvPicPr/>
                  </pic:nvPicPr>
                  <pic:blipFill>
                    <a:blip r:embed="rId24"/>
                    <a:stretch>
                      <a:fillRect/>
                    </a:stretch>
                  </pic:blipFill>
                  <pic:spPr>
                    <a:xfrm>
                      <a:off x="0" y="0"/>
                      <a:ext cx="4937760" cy="10702308"/>
                    </a:xfrm>
                    <a:prstGeom prst="rect"/>
                  </pic:spPr>
                </pic:pic>
              </a:graphicData>
            </a:graphic>
          </wp:inline>
        </w:drawing>
      </w:r>
    </w:p>
    <w:p>
      <w:pPr>
        <w:spacing w:after="160"/>
        <w:jc w:val="center"/>
      </w:pPr>
      <w:r>
        <w:rPr>
          <w:i/>
          <w:color w:val="64748B"/>
          <w:sz w:val="17"/>
        </w:rPr>
        <w:t>Figure 8.9: Deterministic financial metrics combined with LLM narrative commentary and budget recommendations.</w:t>
      </w:r>
    </w:p>
    <w:p>
      <w:pPr>
        <w:spacing w:before="160" w:after="40"/>
        <w:jc w:val="center"/>
      </w:pPr>
      <w:r>
        <w:drawing>
          <wp:inline xmlns:a="http://schemas.openxmlformats.org/drawingml/2006/main" xmlns:pic="http://schemas.openxmlformats.org/drawingml/2006/picture">
            <wp:extent cx="4937760" cy="10702308"/>
            <wp:docPr id="16" name="Picture 16"/>
            <wp:cNvGraphicFramePr>
              <a:graphicFrameLocks noChangeAspect="1"/>
            </wp:cNvGraphicFramePr>
            <a:graphic>
              <a:graphicData uri="http://schemas.openxmlformats.org/drawingml/2006/picture">
                <pic:pic>
                  <pic:nvPicPr>
                    <pic:cNvPr id="0" name="14_forecast.png"/>
                    <pic:cNvPicPr/>
                  </pic:nvPicPr>
                  <pic:blipFill>
                    <a:blip r:embed="rId25"/>
                    <a:stretch>
                      <a:fillRect/>
                    </a:stretch>
                  </pic:blipFill>
                  <pic:spPr>
                    <a:xfrm>
                      <a:off x="0" y="0"/>
                      <a:ext cx="4937760" cy="10702308"/>
                    </a:xfrm>
                    <a:prstGeom prst="rect"/>
                  </pic:spPr>
                </pic:pic>
              </a:graphicData>
            </a:graphic>
          </wp:inline>
        </w:drawing>
      </w:r>
    </w:p>
    <w:p>
      <w:pPr>
        <w:spacing w:after="160"/>
        <w:jc w:val="center"/>
      </w:pPr>
      <w:r>
        <w:rPr>
          <w:i/>
          <w:color w:val="64748B"/>
          <w:sz w:val="17"/>
        </w:rPr>
        <w:t>Figure 8.10: 30-day Meta Prophet spend forecast showing linear trend trajectory and 80% uncertainty intervals.</w:t>
      </w:r>
    </w:p>
    <w:p>
      <w:pPr>
        <w:spacing w:before="200" w:after="40"/>
      </w:pPr>
      <w:r>
        <w:rPr>
          <w:b/>
          <w:color w:val="334155"/>
          <w:sz w:val="22"/>
        </w:rPr>
        <w:t>Workflow D: Group Debt Simplification &amp; Settlement Tracking</w:t>
      </w:r>
    </w:p>
    <w:p>
      <w:pPr>
        <w:spacing w:before="160" w:after="40"/>
        <w:jc w:val="center"/>
      </w:pPr>
      <w:r>
        <w:drawing>
          <wp:inline xmlns:a="http://schemas.openxmlformats.org/drawingml/2006/main" xmlns:pic="http://schemas.openxmlformats.org/drawingml/2006/picture">
            <wp:extent cx="4937760" cy="10702308"/>
            <wp:docPr id="17" name="Picture 17"/>
            <wp:cNvGraphicFramePr>
              <a:graphicFrameLocks noChangeAspect="1"/>
            </wp:cNvGraphicFramePr>
            <a:graphic>
              <a:graphicData uri="http://schemas.openxmlformats.org/drawingml/2006/picture">
                <pic:pic>
                  <pic:nvPicPr>
                    <pic:cNvPr id="0" name="15_group_settlement.png"/>
                    <pic:cNvPicPr/>
                  </pic:nvPicPr>
                  <pic:blipFill>
                    <a:blip r:embed="rId26"/>
                    <a:stretch>
                      <a:fillRect/>
                    </a:stretch>
                  </pic:blipFill>
                  <pic:spPr>
                    <a:xfrm>
                      <a:off x="0" y="0"/>
                      <a:ext cx="4937760" cy="10702308"/>
                    </a:xfrm>
                    <a:prstGeom prst="rect"/>
                  </pic:spPr>
                </pic:pic>
              </a:graphicData>
            </a:graphic>
          </wp:inline>
        </w:drawing>
      </w:r>
    </w:p>
    <w:p>
      <w:pPr>
        <w:spacing w:after="160"/>
        <w:jc w:val="center"/>
      </w:pPr>
      <w:r>
        <w:rPr>
          <w:i/>
          <w:color w:val="64748B"/>
          <w:sz w:val="17"/>
        </w:rPr>
        <w:t>Figure 8.11: Group balance configuration screen for entering participant spending amounts prior to simplification.</w:t>
      </w:r>
    </w:p>
    <w:p>
      <w:pPr>
        <w:spacing w:before="160" w:after="40"/>
        <w:jc w:val="center"/>
      </w:pPr>
      <w:r>
        <w:drawing>
          <wp:inline xmlns:a="http://schemas.openxmlformats.org/drawingml/2006/main" xmlns:pic="http://schemas.openxmlformats.org/drawingml/2006/picture">
            <wp:extent cx="4937760" cy="10702308"/>
            <wp:docPr id="18" name="Picture 18"/>
            <wp:cNvGraphicFramePr>
              <a:graphicFrameLocks noChangeAspect="1"/>
            </wp:cNvGraphicFramePr>
            <a:graphic>
              <a:graphicData uri="http://schemas.openxmlformats.org/drawingml/2006/picture">
                <pic:pic>
                  <pic:nvPicPr>
                    <pic:cNvPr id="0" name="16_settlement_result.png"/>
                    <pic:cNvPicPr/>
                  </pic:nvPicPr>
                  <pic:blipFill>
                    <a:blip r:embed="rId27"/>
                    <a:stretch>
                      <a:fillRect/>
                    </a:stretch>
                  </pic:blipFill>
                  <pic:spPr>
                    <a:xfrm>
                      <a:off x="0" y="0"/>
                      <a:ext cx="4937760" cy="10702308"/>
                    </a:xfrm>
                    <a:prstGeom prst="rect"/>
                  </pic:spPr>
                </pic:pic>
              </a:graphicData>
            </a:graphic>
          </wp:inline>
        </w:drawing>
      </w:r>
    </w:p>
    <w:p>
      <w:pPr>
        <w:spacing w:after="160"/>
        <w:jc w:val="center"/>
      </w:pPr>
      <w:r>
        <w:rPr>
          <w:i/>
          <w:color w:val="64748B"/>
          <w:sz w:val="17"/>
        </w:rPr>
        <w:t>Figure 8.12: Settlement plan resolving group obligations into direct cash transfers, featuring interactive Pending/Settled tracking and remaining balance counters.</w:t>
      </w:r>
    </w:p>
    <w:p>
      <w:pPr>
        <w:spacing w:before="320" w:after="120"/>
      </w:pPr>
      <w:r>
        <w:rPr>
          <w:b/>
          <w:color w:val="0F172A"/>
          <w:sz w:val="32"/>
        </w:rPr>
        <w:t>SECTION 9 — CRITICAL LIMITATIONS &amp; FUTURE ROADMAP</w:t>
      </w:r>
    </w:p>
    <w:p>
      <w:pPr>
        <w:spacing w:before="280" w:after="80"/>
      </w:pPr>
      <w:r>
        <w:rPr>
          <w:b/>
          <w:color w:val="1E3A8A"/>
          <w:sz w:val="26"/>
        </w:rPr>
        <w:t>9.1 Architectural Scope &amp; Inherent Limitations</w:t>
      </w:r>
    </w:p>
    <w:p>
      <w:pPr>
        <w:spacing w:before="0" w:after="80" w:line="276" w:lineRule="auto"/>
      </w:pPr>
      <w:r>
        <w:t>To maintain engineering integrity, the platform's practical boundaries must be clearly identified:</w:t>
      </w:r>
    </w:p>
    <w:p>
      <w:pPr>
        <w:spacing w:before="0" w:after="80" w:line="276" w:lineRule="auto"/>
      </w:pPr>
      <w:r>
        <w:t xml:space="preserve">- </w:t>
      </w:r>
      <w:r>
        <w:rPr>
          <w:b/>
        </w:rPr>
        <w:t>Stateless Settlement &amp; Session Scope</w:t>
      </w:r>
      <w:r>
        <w:t>: The application does not implement persistent group accounts or a shared multi-user database ledger. Group debt simplifications are calculated on demand from submitted payloads, and marked Pending/Settled statuses exist only within client session memory.</w:t>
      </w:r>
    </w:p>
    <w:p>
      <w:pPr>
        <w:spacing w:before="0" w:after="80" w:line="276" w:lineRule="auto"/>
      </w:pPr>
      <w:r>
        <w:t xml:space="preserve">- </w:t>
      </w:r>
      <w:r>
        <w:rPr>
          <w:b/>
        </w:rPr>
        <w:t>No External Banking Rail Execution</w:t>
      </w:r>
      <w:r>
        <w:t>: The platform does not integrate with payment gateways, banking APIs, or UPI rails. It generates recommended transfers and tracks self-reported settlement statuses without executing or verifying monetary transfers.</w:t>
      </w:r>
    </w:p>
    <w:p>
      <w:pPr>
        <w:spacing w:before="0" w:after="80" w:line="276" w:lineRule="auto"/>
      </w:pPr>
      <w:r>
        <w:t xml:space="preserve">- </w:t>
      </w:r>
      <w:r>
        <w:rPr>
          <w:b/>
        </w:rPr>
        <w:t>Single-User Architecture</w:t>
      </w:r>
      <w:r>
        <w:t>: In its current form, the persistent data tier manages a single unified expense repository without JWT authentication or multi-tenant database isolation.</w:t>
      </w:r>
    </w:p>
    <w:p>
      <w:pPr>
        <w:spacing w:before="0" w:after="80" w:line="276" w:lineRule="auto"/>
      </w:pPr>
      <w:r>
        <w:t xml:space="preserve">- </w:t>
      </w:r>
      <w:r>
        <w:rPr>
          <w:b/>
        </w:rPr>
        <w:t>Heuristic Greedy Optimization</w:t>
      </w:r>
      <w:r>
        <w:t>: The greedy debt simplification algorithm produces at most N-1 direct transfers using bilateral max-heap matching. While computationally efficient and practical, finding the absolute theoretical minimum transfer count is known to be NP-complete (equivalent to the subset sum problem).</w:t>
      </w:r>
    </w:p>
    <w:p>
      <w:pPr>
        <w:spacing w:before="280" w:after="80"/>
      </w:pPr>
      <w:r>
        <w:rPr>
          <w:b/>
          <w:color w:val="1E3A8A"/>
          <w:sz w:val="26"/>
        </w:rPr>
        <w:t>9.2 Privacy, Data Protection &amp; Security Profile</w:t>
      </w:r>
    </w:p>
    <w:p>
      <w:pPr>
        <w:spacing w:before="0" w:after="80" w:line="276" w:lineRule="auto"/>
      </w:pPr>
      <w:r>
        <w:t xml:space="preserve">Because financial data is sensitive, </w:t>
      </w:r>
      <w:r>
        <w:rPr>
          <w:rFonts w:ascii="Consolas" w:hAnsi="Consolas"/>
          <w:sz w:val="18"/>
        </w:rPr>
        <w:t>enhanced-sw</w:t>
      </w:r>
      <w:r>
        <w:t xml:space="preserve"> incorporates deliberate security safeguards:</w:t>
      </w:r>
    </w:p>
    <w:p>
      <w:pPr>
        <w:spacing w:before="0" w:after="80" w:line="276" w:lineRule="auto"/>
      </w:pPr>
      <w:r>
        <w:t xml:space="preserve">- </w:t>
      </w:r>
      <w:r>
        <w:rPr>
          <w:b/>
        </w:rPr>
        <w:t>Local OCR Execution</w:t>
      </w:r>
      <w:r>
        <w:t>: Receipt images are processed by local PaddleOCR models, preventing raw receipt image transmission to third-party vision APIs.</w:t>
      </w:r>
    </w:p>
    <w:p>
      <w:pPr>
        <w:spacing w:before="0" w:after="80" w:line="276" w:lineRule="auto"/>
      </w:pPr>
      <w:r>
        <w:t xml:space="preserve">- </w:t>
      </w:r>
      <w:r>
        <w:rPr>
          <w:b/>
        </w:rPr>
        <w:t>Sanitized LLM Payloads</w:t>
      </w:r>
      <w:r>
        <w:t>: Only extracted textual line items and anonymized aggregated numeric sums are transmitted to LLM providers; no banking credentials or identity tokens are exposed.</w:t>
      </w:r>
    </w:p>
    <w:p>
      <w:pPr>
        <w:spacing w:before="0" w:after="80" w:line="276" w:lineRule="auto"/>
      </w:pPr>
      <w:r>
        <w:t xml:space="preserve">- </w:t>
      </w:r>
      <w:r>
        <w:rPr>
          <w:b/>
        </w:rPr>
        <w:t>Strict Parameter Normalization</w:t>
      </w:r>
      <w:r>
        <w:t>: All incoming monetary values are validated against non-negative finite constraints before database insertion.</w:t>
      </w:r>
    </w:p>
    <w:p>
      <w:pPr>
        <w:spacing w:before="280" w:after="80"/>
      </w:pPr>
      <w:r>
        <w:rPr>
          <w:b/>
          <w:color w:val="1E3A8A"/>
          <w:sz w:val="26"/>
        </w:rPr>
        <w:t>9.3 Future Engineering Roadmap</w:t>
      </w:r>
    </w:p>
    <w:p>
      <w:pPr>
        <w:spacing w:before="0" w:after="80" w:line="276" w:lineRule="auto"/>
      </w:pPr>
      <w:r>
        <w:t xml:space="preserve">- </w:t>
      </w:r>
      <w:r>
        <w:rPr>
          <w:b/>
        </w:rPr>
        <w:t>Multi-User Authentication</w:t>
      </w:r>
      <w:r>
        <w:t>: Integrate JSON Web Tokens (JWT) and role-based access control (RBAC) to support isolated user accounts and collaborative group workspaces.</w:t>
      </w:r>
    </w:p>
    <w:p>
      <w:pPr>
        <w:spacing w:before="0" w:after="80" w:line="276" w:lineRule="auto"/>
      </w:pPr>
      <w:r>
        <w:t xml:space="preserve">- </w:t>
      </w:r>
      <w:r>
        <w:rPr>
          <w:b/>
        </w:rPr>
        <w:t>Account Aggregator Webhooks</w:t>
      </w:r>
      <w:r>
        <w:t>: Interface with Open Banking protocols (such as India's Account Aggregator framework) to automatically ingest bank transactions.</w:t>
      </w:r>
    </w:p>
    <w:p>
      <w:pPr>
        <w:spacing w:before="0" w:after="80" w:line="276" w:lineRule="auto"/>
      </w:pPr>
      <w:r>
        <w:t xml:space="preserve">- </w:t>
      </w:r>
      <w:r>
        <w:rPr>
          <w:b/>
        </w:rPr>
        <w:t>Multi-Currency Graph Settlements</w:t>
      </w:r>
      <w:r>
        <w:t>: Enhance the greedy matching engine to resolve multi-currency obligations using live foreign exchange rate oracles.</w:t>
      </w:r>
    </w:p>
    <w:p>
      <w:pPr>
        <w:spacing w:before="0" w:after="80" w:line="276" w:lineRule="auto"/>
      </w:pPr>
      <w:r>
        <w:t xml:space="preserve">- </w:t>
      </w:r>
      <w:r>
        <w:rPr>
          <w:b/>
        </w:rPr>
        <w:t>On-Device Edge ML</w:t>
      </w:r>
      <w:r>
        <w:t>: Quantize categorization models for on-device inference using ONNX Runtime, enabling core classification while offline.</w:t>
      </w:r>
    </w:p>
    <w:p>
      <w:pPr>
        <w:spacing w:before="320" w:after="120"/>
      </w:pPr>
      <w:r>
        <w:rPr>
          <w:b/>
          <w:color w:val="0F172A"/>
          <w:sz w:val="32"/>
        </w:rPr>
        <w:t>SECTION 10 — CONCLUSION &amp; SELECT BIBLIOGRAPHY</w:t>
      </w:r>
    </w:p>
    <w:p>
      <w:pPr>
        <w:spacing w:before="280" w:after="80"/>
      </w:pPr>
      <w:r>
        <w:rPr>
          <w:b/>
          <w:color w:val="1E3A8A"/>
          <w:sz w:val="26"/>
        </w:rPr>
        <w:t>10.1 Project Summary</w:t>
      </w:r>
    </w:p>
    <w:p>
      <w:pPr>
        <w:spacing w:before="0" w:after="80" w:line="276" w:lineRule="auto"/>
      </w:pPr>
      <w:r>
        <w:t xml:space="preserve">The </w:t>
      </w:r>
      <w:r>
        <w:rPr>
          <w:b/>
        </w:rPr>
        <w:t>Enhanced Splitwise (`enhanced-sw`)</w:t>
      </w:r>
      <w:r>
        <w:t xml:space="preserve"> platform successfully bridges the gap between probabilistic artificial intelligence and deterministic financial computation. By restricting computer vision and language models to perceptual extraction and qualitative commentary, while delegating all currency operations to fixed-point Python </w:t>
      </w:r>
      <w:r>
        <w:rPr>
          <w:rFonts w:ascii="Consolas" w:hAnsi="Consolas"/>
          <w:sz w:val="18"/>
        </w:rPr>
        <w:t>Decimal</w:t>
      </w:r>
      <w:r>
        <w:t xml:space="preserve"> algorithms, the system avoids LLM-induced mathematical errors and achieves exact rounding residual reconciliation across shared bills.</w:t>
      </w:r>
    </w:p>
    <w:p>
      <w:pPr>
        <w:spacing w:before="0" w:after="80" w:line="276" w:lineRule="auto"/>
      </w:pPr>
      <w:r>
        <w:t>Combined with Leave-One-Out anomaly detection, Meta Prophet time-series forecasting, greedy debt simplification, and a responsive Material-style mobile interface, the platform delivers a complete, demonstrable financial management solution. Comprehensive automated test suites (109 Python tests, 48 backend API tests, 0 TypeScript errors) validate the reliability and academic rigor of the implementation.</w:t>
      </w:r>
    </w:p>
    <w:p>
      <w:pPr>
        <w:spacing w:before="280" w:after="80"/>
      </w:pPr>
      <w:r>
        <w:rPr>
          <w:b/>
          <w:color w:val="1E3A8A"/>
          <w:sz w:val="26"/>
        </w:rPr>
        <w:t>10.2 Select References</w:t>
      </w:r>
    </w:p>
    <w:p>
      <w:pPr>
        <w:spacing w:before="0" w:after="80" w:line="276" w:lineRule="auto"/>
      </w:pPr>
      <w:r>
        <w:t xml:space="preserve">1. </w:t>
      </w:r>
      <w:r>
        <w:rPr>
          <w:b/>
        </w:rPr>
        <w:t>Ahmed, M., Mahmood, A. N., &amp; Islam, M. R.</w:t>
      </w:r>
      <w:r>
        <w:t xml:space="preserve"> (2016). A survey of anomaly detection techniques in financial domain. </w:t>
      </w:r>
      <w:r>
        <w:rPr>
          <w:i/>
        </w:rPr>
        <w:t>Future Generation Computer Systems</w:t>
      </w:r>
      <w:r>
        <w:t>, 55, 278–288.</w:t>
      </w:r>
    </w:p>
    <w:p>
      <w:pPr>
        <w:spacing w:before="0" w:after="80" w:line="276" w:lineRule="auto"/>
      </w:pPr>
      <w:r>
        <w:t xml:space="preserve">2. </w:t>
      </w:r>
      <w:r>
        <w:rPr>
          <w:b/>
        </w:rPr>
        <w:t>Ahuja, R. K., Magnanti, T. L., &amp; Orlin, J. B.</w:t>
      </w:r>
      <w:r>
        <w:t xml:space="preserve"> (1993). </w:t>
      </w:r>
      <w:r>
        <w:rPr>
          <w:i/>
        </w:rPr>
        <w:t>Network Flows: Theory, Algorithms, and Applications</w:t>
      </w:r>
      <w:r>
        <w:t>. Prentice Hall, Englewood Cliffs, NJ.</w:t>
      </w:r>
    </w:p>
    <w:p>
      <w:pPr>
        <w:spacing w:before="0" w:after="80" w:line="276" w:lineRule="auto"/>
      </w:pPr>
      <w:r>
        <w:t xml:space="preserve">3. </w:t>
      </w:r>
      <w:r>
        <w:rPr>
          <w:b/>
        </w:rPr>
        <w:t>Brown, T., Mann, B., Ryder, N., et al.</w:t>
      </w:r>
      <w:r>
        <w:t xml:space="preserve"> (2020). Language models are few-shot learners. </w:t>
      </w:r>
      <w:r>
        <w:rPr>
          <w:i/>
        </w:rPr>
        <w:t>Advances in Neural Information Processing Systems (NeurIPS 2020)</w:t>
      </w:r>
      <w:r>
        <w:t>, 33, 1877–1901.</w:t>
      </w:r>
    </w:p>
    <w:p>
      <w:pPr>
        <w:spacing w:before="0" w:after="80" w:line="276" w:lineRule="auto"/>
      </w:pPr>
      <w:r>
        <w:t xml:space="preserve">4. </w:t>
      </w:r>
      <w:r>
        <w:rPr>
          <w:b/>
        </w:rPr>
        <w:t>Chandola, V., Banerjee, A., &amp; Kumar, V.</w:t>
      </w:r>
      <w:r>
        <w:t xml:space="preserve"> (2009). Anomaly detection: A survey. </w:t>
      </w:r>
      <w:r>
        <w:rPr>
          <w:i/>
        </w:rPr>
        <w:t>ACM Computing Surveys (CSUR)</w:t>
      </w:r>
      <w:r>
        <w:t>, 41(3), 1–58.</w:t>
      </w:r>
    </w:p>
    <w:p>
      <w:pPr>
        <w:spacing w:before="0" w:after="80" w:line="276" w:lineRule="auto"/>
      </w:pPr>
      <w:r>
        <w:t xml:space="preserve">5. </w:t>
      </w:r>
      <w:r>
        <w:rPr>
          <w:b/>
        </w:rPr>
        <w:t>Du, Y., Li, C., Guo, R., et al.</w:t>
      </w:r>
      <w:r>
        <w:t xml:space="preserve"> (2020). PP-OCR: A practical ultra lightweight OCR system. </w:t>
      </w:r>
      <w:r>
        <w:rPr>
          <w:i/>
        </w:rPr>
        <w:t>arXiv preprint arXiv:2009.09941</w:t>
      </w:r>
      <w:r>
        <w:t>.</w:t>
      </w:r>
    </w:p>
    <w:p>
      <w:pPr>
        <w:spacing w:before="0" w:after="80" w:line="276" w:lineRule="auto"/>
      </w:pPr>
      <w:r>
        <w:t xml:space="preserve">6. </w:t>
      </w:r>
      <w:r>
        <w:rPr>
          <w:b/>
        </w:rPr>
        <w:t>Eisenberg, L., &amp; Noe, T. H.</w:t>
      </w:r>
      <w:r>
        <w:t xml:space="preserve"> (2001). Systemic risk in financial systems. </w:t>
      </w:r>
      <w:r>
        <w:rPr>
          <w:i/>
        </w:rPr>
        <w:t>Management Science</w:t>
      </w:r>
      <w:r>
        <w:t>, 47(2), 236–249.</w:t>
      </w:r>
    </w:p>
    <w:p>
      <w:pPr>
        <w:spacing w:before="0" w:after="80" w:line="276" w:lineRule="auto"/>
      </w:pPr>
      <w:r>
        <w:t xml:space="preserve">7. </w:t>
      </w:r>
      <w:r>
        <w:rPr>
          <w:b/>
        </w:rPr>
        <w:t>Huang, Y., Lv, T., Cui, L., et al.</w:t>
      </w:r>
      <w:r>
        <w:t xml:space="preserve"> (2022). LayoutLMv3: Pre-training for document AI with unified text and image masking. In </w:t>
      </w:r>
      <w:r>
        <w:rPr>
          <w:i/>
        </w:rPr>
        <w:t>Proceedings of the 30th ACM International Conference on Multimedia (ACM MM '22)</w:t>
      </w:r>
      <w:r>
        <w:t xml:space="preserve"> (pp. 4083–4091).</w:t>
      </w:r>
    </w:p>
    <w:p>
      <w:pPr>
        <w:spacing w:before="0" w:after="80" w:line="276" w:lineRule="auto"/>
      </w:pPr>
      <w:r>
        <w:t xml:space="preserve">8. </w:t>
      </w:r>
      <w:r>
        <w:rPr>
          <w:b/>
        </w:rPr>
        <w:t>Hyndman, R. J., &amp; Athanasopoulos, G.</w:t>
      </w:r>
      <w:r>
        <w:t xml:space="preserve"> (2018). </w:t>
      </w:r>
      <w:r>
        <w:rPr>
          <w:i/>
        </w:rPr>
        <w:t>Forecasting: Principles and Practice</w:t>
      </w:r>
      <w:r>
        <w:t xml:space="preserve"> (2nd ed.). OTexts, Melbourne, Australia.</w:t>
      </w:r>
    </w:p>
    <w:p>
      <w:pPr>
        <w:spacing w:before="0" w:after="80" w:line="276" w:lineRule="auto"/>
      </w:pPr>
      <w:r>
        <w:t xml:space="preserve">9. </w:t>
      </w:r>
      <w:r>
        <w:rPr>
          <w:b/>
        </w:rPr>
        <w:t>Kavitha, T., Liebchen, C., Mehlhorn, K., et al.</w:t>
      </w:r>
      <w:r>
        <w:t xml:space="preserve"> (2009). Cycle bases in graphs: Characterization, algorithms, complexity, and applications. </w:t>
      </w:r>
      <w:r>
        <w:rPr>
          <w:i/>
        </w:rPr>
        <w:t>Computer Science Review</w:t>
      </w:r>
      <w:r>
        <w:t>, 3(4), 199–243.</w:t>
      </w:r>
    </w:p>
    <w:p>
      <w:pPr>
        <w:spacing w:before="0" w:after="80" w:line="276" w:lineRule="auto"/>
      </w:pPr>
      <w:r>
        <w:t xml:space="preserve">10. </w:t>
      </w:r>
      <w:r>
        <w:rPr>
          <w:b/>
        </w:rPr>
        <w:t>Schick, T., Dwivedi-Yu, J., Dessì, R., et al.</w:t>
      </w:r>
      <w:r>
        <w:t xml:space="preserve"> (2023). Toolformer: Language models can teach themselves to use tools. In </w:t>
      </w:r>
      <w:r>
        <w:rPr>
          <w:i/>
        </w:rPr>
        <w:t>Advances in Neural Information Processing Systems (NeurIPS 2023)</w:t>
      </w:r>
      <w:r>
        <w:t>, 36, 68539–68551.</w:t>
      </w:r>
    </w:p>
    <w:p>
      <w:pPr>
        <w:spacing w:before="0" w:after="80" w:line="276" w:lineRule="auto"/>
      </w:pPr>
      <w:r>
        <w:t xml:space="preserve">11. </w:t>
      </w:r>
      <w:r>
        <w:rPr>
          <w:b/>
        </w:rPr>
        <w:t>Taylor, S. J., &amp; Letham, B.</w:t>
      </w:r>
      <w:r>
        <w:t xml:space="preserve"> (2018). Forecasting at scale. </w:t>
      </w:r>
      <w:r>
        <w:rPr>
          <w:i/>
        </w:rPr>
        <w:t>The American Statistician</w:t>
      </w:r>
      <w:r>
        <w:t>, 72(1), 37–45.</w:t>
      </w:r>
    </w:p>
    <w:p>
      <w:pPr>
        <w:spacing w:before="0" w:after="80" w:line="276" w:lineRule="auto"/>
      </w:pPr>
      <w:r>
        <w:t xml:space="preserve">12. </w:t>
      </w:r>
      <w:r>
        <w:rPr>
          <w:b/>
        </w:rPr>
        <w:t>Xu, Y., Li, M., Cui, L., et al.</w:t>
      </w:r>
      <w:r>
        <w:t xml:space="preserve"> (2020). LayoutLM: Pre-training of text and layout for document image understanding. In </w:t>
      </w:r>
      <w:r>
        <w:rPr>
          <w:i/>
        </w:rPr>
        <w:t>Proceedings of the 26th ACM SIGKDD International Conference on Knowledge Discovery &amp; Data Mining (KDD '20)</w:t>
      </w:r>
      <w:r>
        <w:t xml:space="preserve"> (pp. 1192–1200).</w:t>
      </w:r>
    </w:p>
    <w:sectPr w:rsidR="00FC693F" w:rsidRPr="0006063C" w:rsidSect="00034616">
      <w:headerReference w:type="default" r:id="rId9"/>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