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B0B7ED7">
      <w:pPr>
        <w:pStyle w:val="style0"/>
        <w:spacing w:before="900" w:after="60"/>
        <w:rPr/>
      </w:pPr>
      <w:r>
        <w:rPr>
          <w:b/>
          <w:bCs/>
          <w:color w:val="26333f"/>
          <w:sz w:val="34"/>
          <w:szCs w:val="34"/>
        </w:rPr>
        <w:t>STATEMENT OF WORK</w:t>
      </w:r>
    </w:p>
    <w:p w14:paraId="12912F30">
      <w:pPr>
        <w:pStyle w:val="style0"/>
        <w:spacing w:after="40"/>
        <w:rPr/>
      </w:pPr>
      <w:r>
        <w:rPr>
          <w:color w:val="5b6670"/>
          <w:sz w:val="24"/>
          <w:szCs w:val="24"/>
        </w:rPr>
        <w:t>Local Service Delivery &amp; Booking Platform — MVP</w:t>
      </w:r>
    </w:p>
    <w:p w14:paraId="B465467D">
      <w:pPr>
        <w:pStyle w:val="style0"/>
        <w:pBdr>
          <w:bottom w:val="single" w:sz="8" w:space="6" w:color="5c7a89"/>
        </w:pBdr>
        <w:spacing w:after="260"/>
        <w:rPr/>
      </w:pPr>
      <w:r>
        <w:rPr>
          <w:sz w:val="4"/>
          <w:szCs w:val="4"/>
        </w:rPr>
        <w:t xml:space="preserve"> </w:t>
      </w:r>
    </w:p>
    <w:p w14:paraId="748CB3AA">
      <w:pPr>
        <w:pStyle w:val="style0"/>
        <w:spacing w:after="140"/>
        <w:rPr/>
      </w:pPr>
      <w:r>
        <w:rPr>
          <w:sz w:val="21"/>
          <w:szCs w:val="21"/>
        </w:rPr>
        <w:t>Prepared for: [Client Name]</w:t>
      </w:r>
    </w:p>
    <w:p w14:paraId="2A8AEA45">
      <w:pPr>
        <w:pStyle w:val="style0"/>
        <w:spacing w:after="140"/>
        <w:rPr/>
      </w:pPr>
      <w:r>
        <w:rPr>
          <w:sz w:val="21"/>
          <w:szCs w:val="21"/>
        </w:rPr>
        <w:t>Prepared by: Harsh Mishra, Project Manager</w:t>
      </w:r>
    </w:p>
    <w:p w14:paraId="008D420B">
      <w:pPr>
        <w:pStyle w:val="style0"/>
        <w:spacing w:after="140"/>
        <w:rPr/>
      </w:pPr>
      <w:r>
        <w:rPr>
          <w:sz w:val="21"/>
          <w:szCs w:val="21"/>
        </w:rPr>
        <w:t>Date: 2 September 2026</w:t>
      </w:r>
    </w:p>
    <w:p w14:paraId="00F09C01">
      <w:pPr>
        <w:pStyle w:val="style0"/>
        <w:spacing w:after="140"/>
        <w:rPr/>
      </w:pPr>
      <w:r>
        <w:rPr>
          <w:sz w:val="21"/>
          <w:szCs w:val="21"/>
        </w:rPr>
        <w:t>Reference: Business Requirements Document (BRD) v1.0, 23 August 2026 — Pratima Vanakhade</w:t>
      </w:r>
    </w:p>
    <w:p w14:paraId="54D73FAF">
      <w:pPr>
        <w:pStyle w:val="style0"/>
        <w:spacing w:after="140"/>
        <w:rPr/>
      </w:pPr>
      <w:r>
        <w:rPr>
          <w:sz w:val="21"/>
          <w:szCs w:val="21"/>
        </w:rPr>
        <w:t>Version: 1.0, Draft for review</w:t>
      </w:r>
    </w:p>
    <w:p w14:paraId="5747491F">
      <w:pPr>
        <w:pStyle w:val="style0"/>
        <w:spacing w:before="220"/>
        <w:rPr/>
      </w:pPr>
    </w:p>
    <w:p w14:paraId="C63A57A8">
      <w:pPr>
        <w:pStyle w:val="style0"/>
        <w:spacing w:after="140"/>
        <w:rPr/>
      </w:pPr>
      <w:r>
        <w:rPr>
          <w:i/>
          <w:iCs/>
          <w:color w:val="5b6670"/>
          <w:sz w:val="21"/>
          <w:szCs w:val="21"/>
        </w:rPr>
        <w:t>This SOW sets out what we're building, for how much, and by when — a scoped-down MVP of the platform described in the BRD, sized to fit the current budget and a four-week delivery window. It's meant to be read alongside the BRD, not in place of it: anything not explicitly listed here as in-scope should be assumed out of scope for this round.</w:t>
      </w:r>
    </w:p>
    <w:p w14:paraId="5BDF9816">
      <w:pPr>
        <w:pStyle w:val="style4097"/>
        <w:pBdr>
          <w:bottom w:val="single" w:sz="4" w:space="4" w:color="5c7a89"/>
        </w:pBdr>
        <w:spacing w:before="320" w:after="120"/>
        <w:rPr/>
      </w:pPr>
      <w:r>
        <w:rPr>
          <w:b/>
          <w:bCs/>
          <w:color w:val="26333f"/>
          <w:sz w:val="25"/>
          <w:szCs w:val="25"/>
        </w:rPr>
        <w:t>1. What this document covers</w:t>
      </w:r>
    </w:p>
    <w:p w14:paraId="96DB520A">
      <w:pPr>
        <w:pStyle w:val="style0"/>
        <w:spacing w:after="140"/>
        <w:rPr/>
      </w:pPr>
      <w:r>
        <w:rPr>
          <w:sz w:val="21"/>
          <w:szCs w:val="21"/>
        </w:rPr>
        <w:t>This Statement of Work lays out the scope, deliverables, timeline, team, and cost for building an MVP version of the Local Service Delivery &amp; Booking Platform described in the BRD.</w:t>
      </w:r>
    </w:p>
    <w:p w14:paraId="DFD85ECD">
      <w:pPr>
        <w:pStyle w:val="style0"/>
        <w:pBdr>
          <w:left w:val="single" w:sz="12" w:space="8" w:color="5c7a89"/>
        </w:pBdr>
        <w:spacing w:before="60" w:after="160"/>
        <w:ind w:left="200"/>
        <w:rPr/>
      </w:pPr>
      <w:r>
        <w:rPr>
          <w:i/>
          <w:iCs/>
          <w:color w:val="5b6670"/>
          <w:sz w:val="20"/>
          <w:szCs w:val="20"/>
        </w:rPr>
        <w:t>Worth being upfront about: the BRD describes a much bigger platform — AI recommendations, complaint management, social media integration, loyalty and wallet, a full Azure setup. None of that is in this round. At ₹1,00,000 and four weeks, this SOW covers a stripped-back MVP that proves out the core booking experience. The rest would be a separate, larger engagement once this version is validated. Section 4.2 lists exactly what's excluded.</w:t>
      </w:r>
    </w:p>
    <w:p w14:paraId="0EB8DDDC">
      <w:pPr>
        <w:pStyle w:val="style4097"/>
        <w:pBdr>
          <w:bottom w:val="single" w:sz="4" w:space="4" w:color="5c7a89"/>
        </w:pBdr>
        <w:spacing w:before="320" w:after="120"/>
        <w:rPr/>
      </w:pPr>
      <w:r>
        <w:rPr>
          <w:b/>
          <w:bCs/>
          <w:color w:val="26333f"/>
          <w:sz w:val="25"/>
          <w:szCs w:val="25"/>
        </w:rPr>
        <w:t>2. Background</w:t>
      </w:r>
    </w:p>
    <w:p w14:paraId="065660E5">
      <w:pPr>
        <w:pStyle w:val="style0"/>
        <w:spacing w:after="140"/>
        <w:rPr/>
      </w:pPr>
      <w:r>
        <w:rPr>
          <w:sz w:val="21"/>
          <w:szCs w:val="21"/>
        </w:rPr>
        <w:t>The BRD outlines a platform connecting customers with verified local service providers — electricians, plumbers, tutors, cleaners, and similar — with booking, CRM, loyalty, wallet, and AI-driven insights built on top. This SOW is the first step toward that: a working booking flow customers and providers can actually use, built fast and cheap enough to validate the idea before investing further.</w:t>
      </w:r>
    </w:p>
    <w:p w14:paraId="9BF01F86">
      <w:pPr>
        <w:pStyle w:val="style4097"/>
        <w:pBdr>
          <w:bottom w:val="single" w:sz="4" w:space="4" w:color="5c7a89"/>
        </w:pBdr>
        <w:spacing w:before="320" w:after="120"/>
        <w:rPr/>
      </w:pPr>
      <w:r>
        <w:rPr>
          <w:b/>
          <w:bCs/>
          <w:color w:val="26333f"/>
          <w:sz w:val="25"/>
          <w:szCs w:val="25"/>
        </w:rPr>
        <w:t>3. Why we're building this</w:t>
      </w:r>
    </w:p>
    <w:p w14:paraId="4B368A6E">
      <w:pPr>
        <w:pStyle w:val="style0"/>
        <w:spacing w:after="140"/>
        <w:rPr/>
      </w:pPr>
      <w:r>
        <w:rPr>
          <w:sz w:val="21"/>
          <w:szCs w:val="21"/>
        </w:rPr>
        <w:t>The bigger goal is a trusted platform where customers can find and book local services easily, providers get a real channel for bookings and payments, and the business gets a single system to manage everything with proper data protection built in. This MVP is about proving the core loop works — search, book, confirm — before spending the time and budget on the rest of it.</w:t>
      </w:r>
    </w:p>
    <w:p w14:paraId="E2986861">
      <w:pPr>
        <w:pStyle w:val="style4097"/>
        <w:pBdr>
          <w:bottom w:val="single" w:sz="4" w:space="4" w:color="5c7a89"/>
        </w:pBdr>
        <w:spacing w:before="320" w:after="120"/>
        <w:rPr/>
      </w:pPr>
      <w:r>
        <w:rPr>
          <w:b/>
          <w:bCs/>
          <w:color w:val="26333f"/>
          <w:sz w:val="25"/>
          <w:szCs w:val="25"/>
        </w:rPr>
        <w:t>4. Scope of work</w:t>
      </w:r>
    </w:p>
    <w:p w14:paraId="C18388B1">
      <w:pPr>
        <w:pStyle w:val="style4098"/>
        <w:spacing w:before="200" w:after="90"/>
        <w:rPr/>
      </w:pPr>
      <w:r>
        <w:rPr>
          <w:b/>
          <w:bCs/>
          <w:color w:val="26333f"/>
          <w:sz w:val="21"/>
          <w:szCs w:val="21"/>
        </w:rPr>
        <w:t>4.1 What's included</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8"/>
        <w:gridCol w:w="1434"/>
      </w:tblGrid>
      <w:tr w14:paraId="CABA7430">
        <w:trPr>
          <w:tblHeader/>
        </w:trPr>
        <w:tc>
          <w:tcPr>
            <w:tcW w:w="0" w:type="pct"/>
            <w:tcBorders/>
            <w:shd w:val="clear" w:color="auto" w:fill="3b4b57"/>
            <w:tcMar>
              <w:top w:w="70" w:type="dxa"/>
              <w:left w:w="100" w:type="dxa"/>
              <w:bottom w:w="70" w:type="dxa"/>
              <w:right w:w="100" w:type="dxa"/>
            </w:tcMar>
            <w:vAlign w:val="center"/>
          </w:tcPr>
          <w:p w14:paraId="36DD16A0">
            <w:pPr>
              <w:pStyle w:val="style0"/>
              <w:rPr/>
            </w:pPr>
            <w:r>
              <w:rPr>
                <w:b/>
                <w:bCs/>
                <w:color w:val="ffffff"/>
                <w:sz w:val="18"/>
                <w:szCs w:val="18"/>
              </w:rPr>
              <w:t>Module</w:t>
            </w:r>
          </w:p>
        </w:tc>
        <w:tc>
          <w:tcPr>
            <w:tcW w:w="0" w:type="pct"/>
            <w:tcBorders/>
            <w:shd w:val="clear" w:color="auto" w:fill="3b4b57"/>
            <w:tcMar>
              <w:top w:w="70" w:type="dxa"/>
              <w:left w:w="100" w:type="dxa"/>
              <w:bottom w:w="70" w:type="dxa"/>
              <w:right w:w="100" w:type="dxa"/>
            </w:tcMar>
            <w:vAlign w:val="center"/>
          </w:tcPr>
          <w:p w14:paraId="D0ADEBBD">
            <w:pPr>
              <w:pStyle w:val="style0"/>
              <w:rPr/>
            </w:pPr>
            <w:r>
              <w:rPr>
                <w:b/>
                <w:bCs/>
                <w:color w:val="ffffff"/>
                <w:sz w:val="18"/>
                <w:szCs w:val="18"/>
              </w:rPr>
              <w:t>What it does</w:t>
            </w:r>
          </w:p>
        </w:tc>
      </w:tr>
      <w:tr w14:paraId="C09787F0">
        <w:tblPrEx/>
        <w:trPr/>
        <w:tc>
          <w:tcPr>
            <w:tcW w:w="0" w:type="pct"/>
            <w:tcBorders/>
            <w:tcMar>
              <w:top w:w="70" w:type="dxa"/>
              <w:left w:w="100" w:type="dxa"/>
              <w:bottom w:w="70" w:type="dxa"/>
              <w:right w:w="100" w:type="dxa"/>
            </w:tcMar>
            <w:vAlign w:val="center"/>
          </w:tcPr>
          <w:p w14:paraId="820C9606">
            <w:pPr>
              <w:pStyle w:val="style0"/>
              <w:rPr/>
            </w:pPr>
            <w:r>
              <w:rPr>
                <w:b w:val="false"/>
                <w:bCs w:val="false"/>
                <w:sz w:val="19"/>
                <w:szCs w:val="19"/>
              </w:rPr>
              <w:t>Customer sign-up &amp; login</w:t>
            </w:r>
          </w:p>
        </w:tc>
        <w:tc>
          <w:tcPr>
            <w:tcW w:w="0" w:type="pct"/>
            <w:tcBorders/>
            <w:tcMar>
              <w:top w:w="70" w:type="dxa"/>
              <w:left w:w="100" w:type="dxa"/>
              <w:bottom w:w="70" w:type="dxa"/>
              <w:right w:w="100" w:type="dxa"/>
            </w:tcMar>
            <w:vAlign w:val="center"/>
          </w:tcPr>
          <w:p w14:paraId="50946FC3">
            <w:pPr>
              <w:pStyle w:val="style0"/>
              <w:rPr/>
            </w:pPr>
            <w:r>
              <w:rPr>
                <w:b w:val="false"/>
                <w:bCs w:val="false"/>
                <w:sz w:val="19"/>
                <w:szCs w:val="19"/>
              </w:rPr>
              <w:t>Register with email or mobile, log in with OTP.</w:t>
            </w:r>
          </w:p>
        </w:tc>
      </w:tr>
      <w:tr w14:paraId="CC3FF998">
        <w:tblPrEx/>
        <w:trPr/>
        <w:tc>
          <w:tcPr>
            <w:tcW w:w="0" w:type="pct"/>
            <w:tcBorders/>
            <w:shd w:val="clear" w:color="auto" w:fill="edf1f3"/>
            <w:tcMar>
              <w:top w:w="70" w:type="dxa"/>
              <w:left w:w="100" w:type="dxa"/>
              <w:bottom w:w="70" w:type="dxa"/>
              <w:right w:w="100" w:type="dxa"/>
            </w:tcMar>
            <w:vAlign w:val="center"/>
          </w:tcPr>
          <w:p w14:paraId="9AAC6B96">
            <w:pPr>
              <w:pStyle w:val="style0"/>
              <w:rPr/>
            </w:pPr>
            <w:r>
              <w:rPr>
                <w:b w:val="false"/>
                <w:bCs w:val="false"/>
                <w:sz w:val="19"/>
                <w:szCs w:val="19"/>
              </w:rPr>
              <w:t>Basic service search</w:t>
            </w:r>
          </w:p>
        </w:tc>
        <w:tc>
          <w:tcPr>
            <w:tcW w:w="0" w:type="pct"/>
            <w:tcBorders/>
            <w:shd w:val="clear" w:color="auto" w:fill="edf1f3"/>
            <w:tcMar>
              <w:top w:w="70" w:type="dxa"/>
              <w:left w:w="100" w:type="dxa"/>
              <w:bottom w:w="70" w:type="dxa"/>
              <w:right w:w="100" w:type="dxa"/>
            </w:tcMar>
            <w:vAlign w:val="center"/>
          </w:tcPr>
          <w:p w14:paraId="04EB852E">
            <w:pPr>
              <w:pStyle w:val="style0"/>
              <w:rPr/>
            </w:pPr>
            <w:r>
              <w:rPr>
                <w:b w:val="false"/>
                <w:bCs w:val="false"/>
                <w:sz w:val="19"/>
                <w:szCs w:val="19"/>
              </w:rPr>
              <w:t>Browse and search services by category or keyword.</w:t>
            </w:r>
          </w:p>
        </w:tc>
      </w:tr>
      <w:tr w14:paraId="0AE33E89">
        <w:tblPrEx/>
        <w:trPr/>
        <w:tc>
          <w:tcPr>
            <w:tcW w:w="0" w:type="pct"/>
            <w:tcBorders/>
            <w:tcMar>
              <w:top w:w="70" w:type="dxa"/>
              <w:left w:w="100" w:type="dxa"/>
              <w:bottom w:w="70" w:type="dxa"/>
              <w:right w:w="100" w:type="dxa"/>
            </w:tcMar>
            <w:vAlign w:val="center"/>
          </w:tcPr>
          <w:p w14:paraId="E03B6383">
            <w:pPr>
              <w:pStyle w:val="style0"/>
              <w:rPr/>
            </w:pPr>
            <w:r>
              <w:rPr>
                <w:b w:val="false"/>
                <w:bCs w:val="false"/>
                <w:sz w:val="19"/>
                <w:szCs w:val="19"/>
              </w:rPr>
              <w:t>Provider listings</w:t>
            </w:r>
          </w:p>
        </w:tc>
        <w:tc>
          <w:tcPr>
            <w:tcW w:w="0" w:type="pct"/>
            <w:tcBorders/>
            <w:tcMar>
              <w:top w:w="70" w:type="dxa"/>
              <w:left w:w="100" w:type="dxa"/>
              <w:bottom w:w="70" w:type="dxa"/>
              <w:right w:w="100" w:type="dxa"/>
            </w:tcMar>
            <w:vAlign w:val="center"/>
          </w:tcPr>
          <w:p w14:paraId="ADF46A1B">
            <w:pPr>
              <w:pStyle w:val="style0"/>
              <w:rPr/>
            </w:pPr>
            <w:r>
              <w:rPr>
                <w:b w:val="false"/>
                <w:bCs w:val="false"/>
                <w:sz w:val="19"/>
                <w:szCs w:val="19"/>
              </w:rPr>
              <w:t>Providers are added manually by the team, with pricing and availability shown to customers.</w:t>
            </w:r>
          </w:p>
        </w:tc>
      </w:tr>
      <w:tr w14:paraId="6030987F">
        <w:tblPrEx/>
        <w:trPr/>
        <w:tc>
          <w:tcPr>
            <w:tcW w:w="0" w:type="pct"/>
            <w:tcBorders/>
            <w:shd w:val="clear" w:color="auto" w:fill="edf1f3"/>
            <w:tcMar>
              <w:top w:w="70" w:type="dxa"/>
              <w:left w:w="100" w:type="dxa"/>
              <w:bottom w:w="70" w:type="dxa"/>
              <w:right w:w="100" w:type="dxa"/>
            </w:tcMar>
            <w:vAlign w:val="center"/>
          </w:tcPr>
          <w:p w14:paraId="0689323E">
            <w:pPr>
              <w:pStyle w:val="style0"/>
              <w:rPr/>
            </w:pPr>
            <w:r>
              <w:rPr>
                <w:b w:val="false"/>
                <w:bCs w:val="false"/>
                <w:sz w:val="19"/>
                <w:szCs w:val="19"/>
              </w:rPr>
              <w:t>Booking flow</w:t>
            </w:r>
          </w:p>
        </w:tc>
        <w:tc>
          <w:tcPr>
            <w:tcW w:w="0" w:type="pct"/>
            <w:tcBorders/>
            <w:shd w:val="clear" w:color="auto" w:fill="edf1f3"/>
            <w:tcMar>
              <w:top w:w="70" w:type="dxa"/>
              <w:left w:w="100" w:type="dxa"/>
              <w:bottom w:w="70" w:type="dxa"/>
              <w:right w:w="100" w:type="dxa"/>
            </w:tcMar>
            <w:vAlign w:val="center"/>
          </w:tcPr>
          <w:p w14:paraId="ABF5960C">
            <w:pPr>
              <w:pStyle w:val="style0"/>
              <w:rPr/>
            </w:pPr>
            <w:r>
              <w:rPr>
                <w:b w:val="false"/>
                <w:bCs w:val="false"/>
                <w:sz w:val="19"/>
                <w:szCs w:val="19"/>
              </w:rPr>
              <w:t>Search, pick a provider, pick a service, confirm — booking is created and tracked through Requested, Confirmed, Completed, or Cancelled.</w:t>
            </w:r>
          </w:p>
        </w:tc>
      </w:tr>
      <w:tr w14:paraId="34BE3B11">
        <w:tblPrEx/>
        <w:trPr/>
        <w:tc>
          <w:tcPr>
            <w:tcW w:w="0" w:type="pct"/>
            <w:tcBorders/>
            <w:tcMar>
              <w:top w:w="70" w:type="dxa"/>
              <w:left w:w="100" w:type="dxa"/>
              <w:bottom w:w="70" w:type="dxa"/>
              <w:right w:w="100" w:type="dxa"/>
            </w:tcMar>
            <w:vAlign w:val="center"/>
          </w:tcPr>
          <w:p w14:paraId="F902EA48">
            <w:pPr>
              <w:pStyle w:val="style0"/>
              <w:rPr/>
            </w:pPr>
            <w:r>
              <w:rPr>
                <w:b w:val="false"/>
                <w:bCs w:val="false"/>
                <w:sz w:val="19"/>
                <w:szCs w:val="19"/>
              </w:rPr>
              <w:t>Internal admin view</w:t>
            </w:r>
          </w:p>
        </w:tc>
        <w:tc>
          <w:tcPr>
            <w:tcW w:w="0" w:type="pct"/>
            <w:tcBorders/>
            <w:tcMar>
              <w:top w:w="70" w:type="dxa"/>
              <w:left w:w="100" w:type="dxa"/>
              <w:bottom w:w="70" w:type="dxa"/>
              <w:right w:w="100" w:type="dxa"/>
            </w:tcMar>
            <w:vAlign w:val="center"/>
          </w:tcPr>
          <w:p w14:paraId="358F9FF3">
            <w:pPr>
              <w:pStyle w:val="style0"/>
              <w:rPr/>
            </w:pPr>
            <w:r>
              <w:rPr>
                <w:b w:val="false"/>
                <w:bCs w:val="false"/>
                <w:sz w:val="19"/>
                <w:szCs w:val="19"/>
              </w:rPr>
              <w:t>A simple screen for the team to see current bookings and providers.</w:t>
            </w:r>
          </w:p>
        </w:tc>
      </w:tr>
      <w:tr w14:paraId="7CE784B4">
        <w:tblPrEx/>
        <w:trPr/>
        <w:tc>
          <w:tcPr>
            <w:tcW w:w="0" w:type="pct"/>
            <w:tcBorders/>
            <w:shd w:val="clear" w:color="auto" w:fill="edf1f3"/>
            <w:tcMar>
              <w:top w:w="70" w:type="dxa"/>
              <w:left w:w="100" w:type="dxa"/>
              <w:bottom w:w="70" w:type="dxa"/>
              <w:right w:w="100" w:type="dxa"/>
            </w:tcMar>
            <w:vAlign w:val="center"/>
          </w:tcPr>
          <w:p w14:paraId="E5ADF0D3">
            <w:pPr>
              <w:pStyle w:val="style0"/>
              <w:rPr/>
            </w:pPr>
            <w:r>
              <w:rPr>
                <w:b w:val="false"/>
                <w:bCs w:val="false"/>
                <w:sz w:val="19"/>
                <w:szCs w:val="19"/>
              </w:rPr>
              <w:t>Hosting</w:t>
            </w:r>
          </w:p>
        </w:tc>
        <w:tc>
          <w:tcPr>
            <w:tcW w:w="0" w:type="pct"/>
            <w:tcBorders/>
            <w:shd w:val="clear" w:color="auto" w:fill="edf1f3"/>
            <w:tcMar>
              <w:top w:w="70" w:type="dxa"/>
              <w:left w:w="100" w:type="dxa"/>
              <w:bottom w:w="70" w:type="dxa"/>
              <w:right w:w="100" w:type="dxa"/>
            </w:tcMar>
            <w:vAlign w:val="center"/>
          </w:tcPr>
          <w:p w14:paraId="FF98F944">
            <w:pPr>
              <w:pStyle w:val="style0"/>
              <w:rPr/>
            </w:pPr>
            <w:r>
              <w:rPr>
                <w:b w:val="false"/>
                <w:bCs w:val="false"/>
                <w:sz w:val="19"/>
                <w:szCs w:val="19"/>
              </w:rPr>
              <w:t>Deployed on a single hosted environment, enough to demo and validate the MVP.</w:t>
            </w:r>
          </w:p>
        </w:tc>
      </w:tr>
    </w:tbl>
    <w:p w14:paraId="75D67C78">
      <w:pPr>
        <w:pStyle w:val="style4098"/>
        <w:spacing w:before="200" w:after="90"/>
        <w:rPr/>
      </w:pPr>
      <w:r>
        <w:rPr>
          <w:b/>
          <w:bCs/>
          <w:color w:val="26333f"/>
          <w:sz w:val="21"/>
          <w:szCs w:val="21"/>
        </w:rPr>
        <w:t>4.2 What's not included</w:t>
      </w:r>
    </w:p>
    <w:p w14:paraId="CB9E0223">
      <w:pPr>
        <w:pStyle w:val="style0"/>
        <w:spacing w:after="140"/>
        <w:rPr/>
      </w:pPr>
      <w:r>
        <w:rPr>
          <w:sz w:val="21"/>
          <w:szCs w:val="21"/>
        </w:rPr>
        <w:t>Everything below is in the BRD but not this round — either because of budget, timeline, or because it depends on things (like a licensed payment partner) that haven't been set up yet:</w:t>
      </w:r>
    </w:p>
    <w:p w14:paraId="B4A2223E">
      <w:pPr>
        <w:pStyle w:val="style179"/>
        <w:numPr>
          <w:ilvl w:val="0"/>
          <w:numId w:val="1"/>
        </w:numPr>
        <w:spacing w:after="55"/>
        <w:rPr/>
      </w:pPr>
      <w:r>
        <w:rPr>
          <w:sz w:val="21"/>
          <w:szCs w:val="21"/>
        </w:rPr>
        <w:t>AI-based recommendations, insights, or complaint classification</w:t>
      </w:r>
    </w:p>
    <w:p w14:paraId="F2AE685B">
      <w:pPr>
        <w:pStyle w:val="style179"/>
        <w:numPr>
          <w:ilvl w:val="0"/>
          <w:numId w:val="1"/>
        </w:numPr>
        <w:spacing w:after="55"/>
        <w:rPr/>
      </w:pPr>
      <w:r>
        <w:rPr>
          <w:sz w:val="21"/>
          <w:szCs w:val="21"/>
        </w:rPr>
        <w:t>Digital wallet and loyalty points</w:t>
      </w:r>
    </w:p>
    <w:p w14:paraId="F5E52647">
      <w:pPr>
        <w:pStyle w:val="style179"/>
        <w:numPr>
          <w:ilvl w:val="0"/>
          <w:numId w:val="1"/>
        </w:numPr>
        <w:spacing w:after="55"/>
        <w:rPr/>
      </w:pPr>
      <w:r>
        <w:rPr>
          <w:sz w:val="21"/>
          <w:szCs w:val="21"/>
        </w:rPr>
        <w:t>Social media complaint handling and a dedicated complaints dashboard</w:t>
      </w:r>
    </w:p>
    <w:p w14:paraId="BFA8303C">
      <w:pPr>
        <w:pStyle w:val="style179"/>
        <w:numPr>
          <w:ilvl w:val="0"/>
          <w:numId w:val="1"/>
        </w:numPr>
        <w:spacing w:after="55"/>
        <w:rPr/>
      </w:pPr>
      <w:r>
        <w:rPr>
          <w:sz w:val="21"/>
          <w:szCs w:val="21"/>
        </w:rPr>
        <w:t>Formal KYC/verification for providers, and encrypted storage of sensitive provider data</w:t>
      </w:r>
    </w:p>
    <w:p w14:paraId="6E85765E">
      <w:pPr>
        <w:pStyle w:val="style179"/>
        <w:numPr>
          <w:ilvl w:val="0"/>
          <w:numId w:val="1"/>
        </w:numPr>
        <w:spacing w:after="55"/>
        <w:rPr/>
      </w:pPr>
      <w:r>
        <w:rPr>
          <w:sz w:val="21"/>
          <w:szCs w:val="21"/>
        </w:rPr>
        <w:t>MFA, full role-based access control, data masking, and audit logging as described in the BRD</w:t>
      </w:r>
    </w:p>
    <w:p w14:paraId="0E6CA9FF">
      <w:pPr>
        <w:pStyle w:val="style179"/>
        <w:numPr>
          <w:ilvl w:val="0"/>
          <w:numId w:val="1"/>
        </w:numPr>
        <w:spacing w:after="55"/>
        <w:rPr/>
      </w:pPr>
      <w:r>
        <w:rPr>
          <w:sz w:val="21"/>
          <w:szCs w:val="21"/>
        </w:rPr>
        <w:t>A full management dashboard with KPIs and analytics</w:t>
      </w:r>
    </w:p>
    <w:p w14:paraId="5054CB20">
      <w:pPr>
        <w:pStyle w:val="style179"/>
        <w:numPr>
          <w:ilvl w:val="0"/>
          <w:numId w:val="1"/>
        </w:numPr>
        <w:spacing w:after="55"/>
        <w:rPr/>
      </w:pPr>
      <w:r>
        <w:rPr>
          <w:sz w:val="21"/>
          <w:szCs w:val="21"/>
        </w:rPr>
        <w:t>Data export tooling for customer service staff</w:t>
      </w:r>
    </w:p>
    <w:p w14:paraId="CF0DEB30">
      <w:pPr>
        <w:pStyle w:val="style179"/>
        <w:numPr>
          <w:ilvl w:val="0"/>
          <w:numId w:val="1"/>
        </w:numPr>
        <w:spacing w:after="55"/>
        <w:rPr/>
      </w:pPr>
      <w:r>
        <w:rPr>
          <w:sz w:val="21"/>
          <w:szCs w:val="21"/>
        </w:rPr>
        <w:t>The full Azure architecture (API Management, Key Vault, Redis, Service Bus, AI Foundry, WAF, etc.)</w:t>
      </w:r>
    </w:p>
    <w:p w14:paraId="13A9059C">
      <w:pPr>
        <w:pStyle w:val="style179"/>
        <w:numPr>
          <w:ilvl w:val="0"/>
          <w:numId w:val="1"/>
        </w:numPr>
        <w:spacing w:after="55"/>
        <w:rPr/>
      </w:pPr>
      <w:r>
        <w:rPr>
          <w:sz w:val="21"/>
          <w:szCs w:val="21"/>
        </w:rPr>
        <w:t>Any real payment processing or integration with a licensed wallet provider</w:t>
      </w:r>
    </w:p>
    <w:p w14:paraId="716EA5B7">
      <w:pPr>
        <w:pStyle w:val="style4098"/>
        <w:spacing w:before="200" w:after="90"/>
        <w:rPr/>
      </w:pPr>
      <w:r>
        <w:rPr>
          <w:b/>
          <w:bCs/>
          <w:color w:val="26333f"/>
          <w:sz w:val="21"/>
          <w:szCs w:val="21"/>
        </w:rPr>
        <w:t>4.3 A note on security</w:t>
      </w:r>
    </w:p>
    <w:p w14:paraId="D7DF467E">
      <w:pPr>
        <w:pStyle w:val="style0"/>
        <w:pBdr>
          <w:left w:val="single" w:sz="12" w:space="8" w:color="5c7a89"/>
        </w:pBdr>
        <w:spacing w:before="60" w:after="160"/>
        <w:ind w:left="200"/>
        <w:rPr/>
      </w:pPr>
      <w:r>
        <w:rPr>
          <w:i/>
          <w:iCs/>
          <w:color w:val="5b6670"/>
          <w:sz w:val="20"/>
          <w:szCs w:val="20"/>
        </w:rPr>
        <w:t>The full security setup in the BRD — field-level encryption, masking, MFA, audit logging — isn't part of this MVP. We'll use standard HTTPS and basic authentication, which is fine for testing the concept but not for handling real financial data or government IDs. Please don't put either into this build.</w:t>
      </w:r>
    </w:p>
    <w:p w14:paraId="7D642173">
      <w:pPr>
        <w:pStyle w:val="style4097"/>
        <w:pBdr>
          <w:bottom w:val="single" w:sz="4" w:space="4" w:color="5c7a89"/>
        </w:pBdr>
        <w:spacing w:before="320" w:after="120"/>
        <w:rPr/>
      </w:pPr>
      <w:r>
        <w:rPr>
          <w:b/>
          <w:bCs/>
          <w:color w:val="26333f"/>
          <w:sz w:val="25"/>
          <w:szCs w:val="25"/>
        </w:rPr>
        <w:t>5. Deliverables</w:t>
      </w:r>
    </w:p>
    <w:p w14:paraId="E87B5921">
      <w:pPr>
        <w:pStyle w:val="style0"/>
        <w:spacing w:after="140"/>
        <w:rPr/>
      </w:pPr>
      <w:r>
        <w:rPr>
          <w:sz w:val="21"/>
          <w:szCs w:val="21"/>
        </w:rPr>
        <w:t>Each deliverable below maps to a scope item above and lands within the 4-week window.</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41"/>
        <w:gridCol w:w="1206"/>
        <w:gridCol w:w="1914"/>
        <w:gridCol w:w="781"/>
      </w:tblGrid>
      <w:tr w14:paraId="7F842F30">
        <w:trPr>
          <w:tblHeader/>
        </w:trPr>
        <w:tc>
          <w:tcPr>
            <w:tcW w:w="0" w:type="pct"/>
            <w:tcBorders/>
            <w:shd w:val="clear" w:color="auto" w:fill="3b4b57"/>
            <w:tcMar>
              <w:top w:w="70" w:type="dxa"/>
              <w:left w:w="100" w:type="dxa"/>
              <w:bottom w:w="70" w:type="dxa"/>
              <w:right w:w="100" w:type="dxa"/>
            </w:tcMar>
            <w:vAlign w:val="center"/>
          </w:tcPr>
          <w:p w14:paraId="36792B0F">
            <w:pPr>
              <w:pStyle w:val="style0"/>
              <w:rPr/>
            </w:pPr>
            <w:r>
              <w:rPr>
                <w:b/>
                <w:bCs/>
                <w:color w:val="ffffff"/>
                <w:sz w:val="18"/>
                <w:szCs w:val="18"/>
              </w:rPr>
              <w:t>ID</w:t>
            </w:r>
          </w:p>
        </w:tc>
        <w:tc>
          <w:tcPr>
            <w:tcW w:w="0" w:type="pct"/>
            <w:tcBorders/>
            <w:shd w:val="clear" w:color="auto" w:fill="3b4b57"/>
            <w:tcMar>
              <w:top w:w="70" w:type="dxa"/>
              <w:left w:w="100" w:type="dxa"/>
              <w:bottom w:w="70" w:type="dxa"/>
              <w:right w:w="100" w:type="dxa"/>
            </w:tcMar>
            <w:vAlign w:val="center"/>
          </w:tcPr>
          <w:p w14:paraId="ABF55481">
            <w:pPr>
              <w:pStyle w:val="style0"/>
              <w:rPr/>
            </w:pPr>
            <w:r>
              <w:rPr>
                <w:b/>
                <w:bCs/>
                <w:color w:val="ffffff"/>
                <w:sz w:val="18"/>
                <w:szCs w:val="18"/>
              </w:rPr>
              <w:t>Deliverable</w:t>
            </w:r>
          </w:p>
        </w:tc>
        <w:tc>
          <w:tcPr>
            <w:tcW w:w="0" w:type="pct"/>
            <w:tcBorders/>
            <w:shd w:val="clear" w:color="auto" w:fill="3b4b57"/>
            <w:tcMar>
              <w:top w:w="70" w:type="dxa"/>
              <w:left w:w="100" w:type="dxa"/>
              <w:bottom w:w="70" w:type="dxa"/>
              <w:right w:w="100" w:type="dxa"/>
            </w:tcMar>
            <w:vAlign w:val="center"/>
          </w:tcPr>
          <w:p w14:paraId="A6A05842">
            <w:pPr>
              <w:pStyle w:val="style0"/>
              <w:rPr/>
            </w:pPr>
            <w:r>
              <w:rPr>
                <w:b/>
                <w:bCs/>
                <w:color w:val="ffffff"/>
                <w:sz w:val="18"/>
                <w:szCs w:val="18"/>
              </w:rPr>
              <w:t>What it is</w:t>
            </w:r>
          </w:p>
        </w:tc>
        <w:tc>
          <w:tcPr>
            <w:tcW w:w="0" w:type="pct"/>
            <w:tcBorders/>
            <w:shd w:val="clear" w:color="auto" w:fill="3b4b57"/>
            <w:tcMar>
              <w:top w:w="70" w:type="dxa"/>
              <w:left w:w="100" w:type="dxa"/>
              <w:bottom w:w="70" w:type="dxa"/>
              <w:right w:w="100" w:type="dxa"/>
            </w:tcMar>
            <w:vAlign w:val="center"/>
          </w:tcPr>
          <w:p w14:paraId="1F714A30">
            <w:pPr>
              <w:pStyle w:val="style0"/>
              <w:rPr/>
            </w:pPr>
            <w:r>
              <w:rPr>
                <w:b/>
                <w:bCs/>
                <w:color w:val="ffffff"/>
                <w:sz w:val="18"/>
                <w:szCs w:val="18"/>
              </w:rPr>
              <w:t>Target</w:t>
            </w:r>
          </w:p>
        </w:tc>
      </w:tr>
      <w:tr w14:paraId="F664EEFF">
        <w:tblPrEx/>
        <w:trPr/>
        <w:tc>
          <w:tcPr>
            <w:tcW w:w="0" w:type="pct"/>
            <w:tcBorders/>
            <w:tcMar>
              <w:top w:w="70" w:type="dxa"/>
              <w:left w:w="100" w:type="dxa"/>
              <w:bottom w:w="70" w:type="dxa"/>
              <w:right w:w="100" w:type="dxa"/>
            </w:tcMar>
            <w:vAlign w:val="center"/>
          </w:tcPr>
          <w:p w14:paraId="FDDA3F1B">
            <w:pPr>
              <w:pStyle w:val="style0"/>
              <w:rPr/>
            </w:pPr>
            <w:r>
              <w:rPr>
                <w:b w:val="false"/>
                <w:bCs w:val="false"/>
                <w:sz w:val="19"/>
                <w:szCs w:val="19"/>
              </w:rPr>
              <w:t>D1</w:t>
            </w:r>
          </w:p>
        </w:tc>
        <w:tc>
          <w:tcPr>
            <w:tcW w:w="0" w:type="pct"/>
            <w:tcBorders/>
            <w:tcMar>
              <w:top w:w="70" w:type="dxa"/>
              <w:left w:w="100" w:type="dxa"/>
              <w:bottom w:w="70" w:type="dxa"/>
              <w:right w:w="100" w:type="dxa"/>
            </w:tcMar>
            <w:vAlign w:val="center"/>
          </w:tcPr>
          <w:p w14:paraId="09146FAF">
            <w:pPr>
              <w:pStyle w:val="style0"/>
              <w:rPr/>
            </w:pPr>
            <w:r>
              <w:rPr>
                <w:b w:val="false"/>
                <w:bCs w:val="false"/>
                <w:sz w:val="19"/>
                <w:szCs w:val="19"/>
              </w:rPr>
              <w:t>MVP outline</w:t>
            </w:r>
          </w:p>
        </w:tc>
        <w:tc>
          <w:tcPr>
            <w:tcW w:w="0" w:type="pct"/>
            <w:tcBorders/>
            <w:tcMar>
              <w:top w:w="70" w:type="dxa"/>
              <w:left w:w="100" w:type="dxa"/>
              <w:bottom w:w="70" w:type="dxa"/>
              <w:right w:w="100" w:type="dxa"/>
            </w:tcMar>
            <w:vAlign w:val="center"/>
          </w:tcPr>
          <w:p w14:paraId="675EB6F8">
            <w:pPr>
              <w:pStyle w:val="style0"/>
              <w:rPr/>
            </w:pPr>
            <w:r>
              <w:rPr>
                <w:b w:val="false"/>
                <w:bCs w:val="false"/>
                <w:sz w:val="19"/>
                <w:szCs w:val="19"/>
              </w:rPr>
              <w:t>A short technical plan and data model covering just the modules below.</w:t>
            </w:r>
          </w:p>
        </w:tc>
        <w:tc>
          <w:tcPr>
            <w:tcW w:w="0" w:type="pct"/>
            <w:tcBorders/>
            <w:tcMar>
              <w:top w:w="70" w:type="dxa"/>
              <w:left w:w="100" w:type="dxa"/>
              <w:bottom w:w="70" w:type="dxa"/>
              <w:right w:w="100" w:type="dxa"/>
            </w:tcMar>
            <w:vAlign w:val="center"/>
          </w:tcPr>
          <w:p w14:paraId="374857CB">
            <w:pPr>
              <w:pStyle w:val="style0"/>
              <w:rPr/>
            </w:pPr>
            <w:r>
              <w:rPr>
                <w:b w:val="false"/>
                <w:bCs w:val="false"/>
                <w:sz w:val="19"/>
                <w:szCs w:val="19"/>
              </w:rPr>
              <w:t>Week 1</w:t>
            </w:r>
          </w:p>
        </w:tc>
      </w:tr>
      <w:tr w14:paraId="C8FCA3B7">
        <w:tblPrEx/>
        <w:trPr/>
        <w:tc>
          <w:tcPr>
            <w:tcW w:w="0" w:type="pct"/>
            <w:tcBorders/>
            <w:shd w:val="clear" w:color="auto" w:fill="edf1f3"/>
            <w:tcMar>
              <w:top w:w="70" w:type="dxa"/>
              <w:left w:w="100" w:type="dxa"/>
              <w:bottom w:w="70" w:type="dxa"/>
              <w:right w:w="100" w:type="dxa"/>
            </w:tcMar>
            <w:vAlign w:val="center"/>
          </w:tcPr>
          <w:p w14:paraId="7C7F284E">
            <w:pPr>
              <w:pStyle w:val="style0"/>
              <w:rPr/>
            </w:pPr>
            <w:r>
              <w:rPr>
                <w:b w:val="false"/>
                <w:bCs w:val="false"/>
                <w:sz w:val="19"/>
                <w:szCs w:val="19"/>
              </w:rPr>
              <w:t>D2</w:t>
            </w:r>
          </w:p>
        </w:tc>
        <w:tc>
          <w:tcPr>
            <w:tcW w:w="0" w:type="pct"/>
            <w:tcBorders/>
            <w:shd w:val="clear" w:color="auto" w:fill="edf1f3"/>
            <w:tcMar>
              <w:top w:w="70" w:type="dxa"/>
              <w:left w:w="100" w:type="dxa"/>
              <w:bottom w:w="70" w:type="dxa"/>
              <w:right w:w="100" w:type="dxa"/>
            </w:tcMar>
            <w:vAlign w:val="center"/>
          </w:tcPr>
          <w:p w14:paraId="5053C5FB">
            <w:pPr>
              <w:pStyle w:val="style0"/>
              <w:rPr/>
            </w:pPr>
            <w:r>
              <w:rPr>
                <w:b w:val="false"/>
                <w:bCs w:val="false"/>
                <w:sz w:val="19"/>
                <w:szCs w:val="19"/>
              </w:rPr>
              <w:t>Sign-up &amp; login</w:t>
            </w:r>
          </w:p>
        </w:tc>
        <w:tc>
          <w:tcPr>
            <w:tcW w:w="0" w:type="pct"/>
            <w:tcBorders/>
            <w:shd w:val="clear" w:color="auto" w:fill="edf1f3"/>
            <w:tcMar>
              <w:top w:w="70" w:type="dxa"/>
              <w:left w:w="100" w:type="dxa"/>
              <w:bottom w:w="70" w:type="dxa"/>
              <w:right w:w="100" w:type="dxa"/>
            </w:tcMar>
            <w:vAlign w:val="center"/>
          </w:tcPr>
          <w:p w14:paraId="BAAFCABA">
            <w:pPr>
              <w:pStyle w:val="style0"/>
              <w:rPr/>
            </w:pPr>
            <w:r>
              <w:rPr>
                <w:b w:val="false"/>
                <w:bCs w:val="false"/>
                <w:sz w:val="19"/>
                <w:szCs w:val="19"/>
              </w:rPr>
              <w:t>Registration and OTP login, deployed to staging.</w:t>
            </w:r>
          </w:p>
        </w:tc>
        <w:tc>
          <w:tcPr>
            <w:tcW w:w="0" w:type="pct"/>
            <w:tcBorders/>
            <w:shd w:val="clear" w:color="auto" w:fill="edf1f3"/>
            <w:tcMar>
              <w:top w:w="70" w:type="dxa"/>
              <w:left w:w="100" w:type="dxa"/>
              <w:bottom w:w="70" w:type="dxa"/>
              <w:right w:w="100" w:type="dxa"/>
            </w:tcMar>
            <w:vAlign w:val="center"/>
          </w:tcPr>
          <w:p w14:paraId="2BF6E9FF">
            <w:pPr>
              <w:pStyle w:val="style0"/>
              <w:rPr/>
            </w:pPr>
            <w:r>
              <w:rPr>
                <w:b w:val="false"/>
                <w:bCs w:val="false"/>
                <w:sz w:val="19"/>
                <w:szCs w:val="19"/>
              </w:rPr>
              <w:t>Week 1–2</w:t>
            </w:r>
          </w:p>
        </w:tc>
      </w:tr>
      <w:tr w14:paraId="AA150C37">
        <w:tblPrEx/>
        <w:trPr/>
        <w:tc>
          <w:tcPr>
            <w:tcW w:w="0" w:type="pct"/>
            <w:tcBorders/>
            <w:tcMar>
              <w:top w:w="70" w:type="dxa"/>
              <w:left w:w="100" w:type="dxa"/>
              <w:bottom w:w="70" w:type="dxa"/>
              <w:right w:w="100" w:type="dxa"/>
            </w:tcMar>
            <w:vAlign w:val="center"/>
          </w:tcPr>
          <w:p w14:paraId="B7BE923A">
            <w:pPr>
              <w:pStyle w:val="style0"/>
              <w:rPr/>
            </w:pPr>
            <w:r>
              <w:rPr>
                <w:b w:val="false"/>
                <w:bCs w:val="false"/>
                <w:sz w:val="19"/>
                <w:szCs w:val="19"/>
              </w:rPr>
              <w:t>D3</w:t>
            </w:r>
          </w:p>
        </w:tc>
        <w:tc>
          <w:tcPr>
            <w:tcW w:w="0" w:type="pct"/>
            <w:tcBorders/>
            <w:tcMar>
              <w:top w:w="70" w:type="dxa"/>
              <w:left w:w="100" w:type="dxa"/>
              <w:bottom w:w="70" w:type="dxa"/>
              <w:right w:w="100" w:type="dxa"/>
            </w:tcMar>
            <w:vAlign w:val="center"/>
          </w:tcPr>
          <w:p w14:paraId="BFFBF76D">
            <w:pPr>
              <w:pStyle w:val="style0"/>
              <w:rPr/>
            </w:pPr>
            <w:r>
              <w:rPr>
                <w:b w:val="false"/>
                <w:bCs w:val="false"/>
                <w:sz w:val="19"/>
                <w:szCs w:val="19"/>
              </w:rPr>
              <w:t>Search &amp; listings</w:t>
            </w:r>
          </w:p>
        </w:tc>
        <w:tc>
          <w:tcPr>
            <w:tcW w:w="0" w:type="pct"/>
            <w:tcBorders/>
            <w:tcMar>
              <w:top w:w="70" w:type="dxa"/>
              <w:left w:w="100" w:type="dxa"/>
              <w:bottom w:w="70" w:type="dxa"/>
              <w:right w:w="100" w:type="dxa"/>
            </w:tcMar>
            <w:vAlign w:val="center"/>
          </w:tcPr>
          <w:p w14:paraId="8B43BDF4">
            <w:pPr>
              <w:pStyle w:val="style0"/>
              <w:rPr/>
            </w:pPr>
            <w:r>
              <w:rPr>
                <w:b w:val="false"/>
                <w:bCs w:val="false"/>
                <w:sz w:val="19"/>
                <w:szCs w:val="19"/>
              </w:rPr>
              <w:t>Category/keyword search and manually-added provider listings.</w:t>
            </w:r>
          </w:p>
        </w:tc>
        <w:tc>
          <w:tcPr>
            <w:tcW w:w="0" w:type="pct"/>
            <w:tcBorders/>
            <w:tcMar>
              <w:top w:w="70" w:type="dxa"/>
              <w:left w:w="100" w:type="dxa"/>
              <w:bottom w:w="70" w:type="dxa"/>
              <w:right w:w="100" w:type="dxa"/>
            </w:tcMar>
            <w:vAlign w:val="center"/>
          </w:tcPr>
          <w:p w14:paraId="E531C17B">
            <w:pPr>
              <w:pStyle w:val="style0"/>
              <w:rPr/>
            </w:pPr>
            <w:r>
              <w:rPr>
                <w:b w:val="false"/>
                <w:bCs w:val="false"/>
                <w:sz w:val="19"/>
                <w:szCs w:val="19"/>
              </w:rPr>
              <w:t>Week 2</w:t>
            </w:r>
          </w:p>
        </w:tc>
      </w:tr>
      <w:tr w14:paraId="8C7B06C1">
        <w:tblPrEx/>
        <w:trPr/>
        <w:tc>
          <w:tcPr>
            <w:tcW w:w="0" w:type="pct"/>
            <w:tcBorders/>
            <w:shd w:val="clear" w:color="auto" w:fill="edf1f3"/>
            <w:tcMar>
              <w:top w:w="70" w:type="dxa"/>
              <w:left w:w="100" w:type="dxa"/>
              <w:bottom w:w="70" w:type="dxa"/>
              <w:right w:w="100" w:type="dxa"/>
            </w:tcMar>
            <w:vAlign w:val="center"/>
          </w:tcPr>
          <w:p w14:paraId="7905E350">
            <w:pPr>
              <w:pStyle w:val="style0"/>
              <w:rPr/>
            </w:pPr>
            <w:r>
              <w:rPr>
                <w:b w:val="false"/>
                <w:bCs w:val="false"/>
                <w:sz w:val="19"/>
                <w:szCs w:val="19"/>
              </w:rPr>
              <w:t>D4</w:t>
            </w:r>
          </w:p>
        </w:tc>
        <w:tc>
          <w:tcPr>
            <w:tcW w:w="0" w:type="pct"/>
            <w:tcBorders/>
            <w:shd w:val="clear" w:color="auto" w:fill="edf1f3"/>
            <w:tcMar>
              <w:top w:w="70" w:type="dxa"/>
              <w:left w:w="100" w:type="dxa"/>
              <w:bottom w:w="70" w:type="dxa"/>
              <w:right w:w="100" w:type="dxa"/>
            </w:tcMar>
            <w:vAlign w:val="center"/>
          </w:tcPr>
          <w:p w14:paraId="611E6BA5">
            <w:pPr>
              <w:pStyle w:val="style0"/>
              <w:rPr/>
            </w:pPr>
            <w:r>
              <w:rPr>
                <w:b w:val="false"/>
                <w:bCs w:val="false"/>
                <w:sz w:val="19"/>
                <w:szCs w:val="19"/>
              </w:rPr>
              <w:t>Booking flow</w:t>
            </w:r>
          </w:p>
        </w:tc>
        <w:tc>
          <w:tcPr>
            <w:tcW w:w="0" w:type="pct"/>
            <w:tcBorders/>
            <w:shd w:val="clear" w:color="auto" w:fill="edf1f3"/>
            <w:tcMar>
              <w:top w:w="70" w:type="dxa"/>
              <w:left w:w="100" w:type="dxa"/>
              <w:bottom w:w="70" w:type="dxa"/>
              <w:right w:w="100" w:type="dxa"/>
            </w:tcMar>
            <w:vAlign w:val="center"/>
          </w:tcPr>
          <w:p w14:paraId="4DFCB9D0">
            <w:pPr>
              <w:pStyle w:val="style0"/>
              <w:rPr/>
            </w:pPr>
            <w:r>
              <w:rPr>
                <w:b w:val="false"/>
                <w:bCs w:val="false"/>
                <w:sz w:val="19"/>
                <w:szCs w:val="19"/>
              </w:rPr>
              <w:t>Search through to confirmed booking, with status tracking.</w:t>
            </w:r>
          </w:p>
        </w:tc>
        <w:tc>
          <w:tcPr>
            <w:tcW w:w="0" w:type="pct"/>
            <w:tcBorders/>
            <w:shd w:val="clear" w:color="auto" w:fill="edf1f3"/>
            <w:tcMar>
              <w:top w:w="70" w:type="dxa"/>
              <w:left w:w="100" w:type="dxa"/>
              <w:bottom w:w="70" w:type="dxa"/>
              <w:right w:w="100" w:type="dxa"/>
            </w:tcMar>
            <w:vAlign w:val="center"/>
          </w:tcPr>
          <w:p w14:paraId="A412721C">
            <w:pPr>
              <w:pStyle w:val="style0"/>
              <w:rPr/>
            </w:pPr>
            <w:r>
              <w:rPr>
                <w:b w:val="false"/>
                <w:bCs w:val="false"/>
                <w:sz w:val="19"/>
                <w:szCs w:val="19"/>
              </w:rPr>
              <w:t>Week 2–3</w:t>
            </w:r>
          </w:p>
        </w:tc>
      </w:tr>
      <w:tr w14:paraId="06756261">
        <w:tblPrEx/>
        <w:trPr/>
        <w:tc>
          <w:tcPr>
            <w:tcW w:w="0" w:type="pct"/>
            <w:tcBorders/>
            <w:tcMar>
              <w:top w:w="70" w:type="dxa"/>
              <w:left w:w="100" w:type="dxa"/>
              <w:bottom w:w="70" w:type="dxa"/>
              <w:right w:w="100" w:type="dxa"/>
            </w:tcMar>
            <w:vAlign w:val="center"/>
          </w:tcPr>
          <w:p w14:paraId="81A77140">
            <w:pPr>
              <w:pStyle w:val="style0"/>
              <w:rPr/>
            </w:pPr>
            <w:r>
              <w:rPr>
                <w:b w:val="false"/>
                <w:bCs w:val="false"/>
                <w:sz w:val="19"/>
                <w:szCs w:val="19"/>
              </w:rPr>
              <w:t>D5</w:t>
            </w:r>
          </w:p>
        </w:tc>
        <w:tc>
          <w:tcPr>
            <w:tcW w:w="0" w:type="pct"/>
            <w:tcBorders/>
            <w:tcMar>
              <w:top w:w="70" w:type="dxa"/>
              <w:left w:w="100" w:type="dxa"/>
              <w:bottom w:w="70" w:type="dxa"/>
              <w:right w:w="100" w:type="dxa"/>
            </w:tcMar>
            <w:vAlign w:val="center"/>
          </w:tcPr>
          <w:p w14:paraId="3916B872">
            <w:pPr>
              <w:pStyle w:val="style0"/>
              <w:rPr/>
            </w:pPr>
            <w:r>
              <w:rPr>
                <w:b w:val="false"/>
                <w:bCs w:val="false"/>
                <w:sz w:val="19"/>
                <w:szCs w:val="19"/>
              </w:rPr>
              <w:t>Admin view</w:t>
            </w:r>
          </w:p>
        </w:tc>
        <w:tc>
          <w:tcPr>
            <w:tcW w:w="0" w:type="pct"/>
            <w:tcBorders/>
            <w:tcMar>
              <w:top w:w="70" w:type="dxa"/>
              <w:left w:w="100" w:type="dxa"/>
              <w:bottom w:w="70" w:type="dxa"/>
              <w:right w:w="100" w:type="dxa"/>
            </w:tcMar>
            <w:vAlign w:val="center"/>
          </w:tcPr>
          <w:p w14:paraId="9F68F4E8">
            <w:pPr>
              <w:pStyle w:val="style0"/>
              <w:rPr/>
            </w:pPr>
            <w:r>
              <w:rPr>
                <w:b w:val="false"/>
                <w:bCs w:val="false"/>
                <w:sz w:val="19"/>
                <w:szCs w:val="19"/>
              </w:rPr>
              <w:t>Internal screen to see bookings and providers.</w:t>
            </w:r>
          </w:p>
        </w:tc>
        <w:tc>
          <w:tcPr>
            <w:tcW w:w="0" w:type="pct"/>
            <w:tcBorders/>
            <w:tcMar>
              <w:top w:w="70" w:type="dxa"/>
              <w:left w:w="100" w:type="dxa"/>
              <w:bottom w:w="70" w:type="dxa"/>
              <w:right w:w="100" w:type="dxa"/>
            </w:tcMar>
            <w:vAlign w:val="center"/>
          </w:tcPr>
          <w:p w14:paraId="77A614CA">
            <w:pPr>
              <w:pStyle w:val="style0"/>
              <w:rPr/>
            </w:pPr>
            <w:r>
              <w:rPr>
                <w:b w:val="false"/>
                <w:bCs w:val="false"/>
                <w:sz w:val="19"/>
                <w:szCs w:val="19"/>
              </w:rPr>
              <w:t>Week 3</w:t>
            </w:r>
          </w:p>
        </w:tc>
      </w:tr>
      <w:tr w14:paraId="C0E6CA3D">
        <w:tblPrEx/>
        <w:trPr/>
        <w:tc>
          <w:tcPr>
            <w:tcW w:w="0" w:type="pct"/>
            <w:tcBorders/>
            <w:shd w:val="clear" w:color="auto" w:fill="edf1f3"/>
            <w:tcMar>
              <w:top w:w="70" w:type="dxa"/>
              <w:left w:w="100" w:type="dxa"/>
              <w:bottom w:w="70" w:type="dxa"/>
              <w:right w:w="100" w:type="dxa"/>
            </w:tcMar>
            <w:vAlign w:val="center"/>
          </w:tcPr>
          <w:p w14:paraId="EC151923">
            <w:pPr>
              <w:pStyle w:val="style0"/>
              <w:rPr/>
            </w:pPr>
            <w:r>
              <w:rPr>
                <w:b w:val="false"/>
                <w:bCs w:val="false"/>
                <w:sz w:val="19"/>
                <w:szCs w:val="19"/>
              </w:rPr>
              <w:t>D6</w:t>
            </w:r>
          </w:p>
        </w:tc>
        <w:tc>
          <w:tcPr>
            <w:tcW w:w="0" w:type="pct"/>
            <w:tcBorders/>
            <w:shd w:val="clear" w:color="auto" w:fill="edf1f3"/>
            <w:tcMar>
              <w:top w:w="70" w:type="dxa"/>
              <w:left w:w="100" w:type="dxa"/>
              <w:bottom w:w="70" w:type="dxa"/>
              <w:right w:w="100" w:type="dxa"/>
            </w:tcMar>
            <w:vAlign w:val="center"/>
          </w:tcPr>
          <w:p w14:paraId="047EAF19">
            <w:pPr>
              <w:pStyle w:val="style0"/>
              <w:rPr/>
            </w:pPr>
            <w:r>
              <w:rPr>
                <w:b w:val="false"/>
                <w:bCs w:val="false"/>
                <w:sz w:val="19"/>
                <w:szCs w:val="19"/>
              </w:rPr>
              <w:t>Testing &amp; fixes</w:t>
            </w:r>
          </w:p>
        </w:tc>
        <w:tc>
          <w:tcPr>
            <w:tcW w:w="0" w:type="pct"/>
            <w:tcBorders/>
            <w:shd w:val="clear" w:color="auto" w:fill="edf1f3"/>
            <w:tcMar>
              <w:top w:w="70" w:type="dxa"/>
              <w:left w:w="100" w:type="dxa"/>
              <w:bottom w:w="70" w:type="dxa"/>
              <w:right w:w="100" w:type="dxa"/>
            </w:tcMar>
            <w:vAlign w:val="center"/>
          </w:tcPr>
          <w:p w14:paraId="49CE04B6">
            <w:pPr>
              <w:pStyle w:val="style0"/>
              <w:rPr/>
            </w:pPr>
            <w:r>
              <w:rPr>
                <w:b w:val="false"/>
                <w:bCs w:val="false"/>
                <w:sz w:val="19"/>
                <w:szCs w:val="19"/>
              </w:rPr>
              <w:t>Client review and fixes for anything blocking launch.</w:t>
            </w:r>
          </w:p>
        </w:tc>
        <w:tc>
          <w:tcPr>
            <w:tcW w:w="0" w:type="pct"/>
            <w:tcBorders/>
            <w:shd w:val="clear" w:color="auto" w:fill="edf1f3"/>
            <w:tcMar>
              <w:top w:w="70" w:type="dxa"/>
              <w:left w:w="100" w:type="dxa"/>
              <w:bottom w:w="70" w:type="dxa"/>
              <w:right w:w="100" w:type="dxa"/>
            </w:tcMar>
            <w:vAlign w:val="center"/>
          </w:tcPr>
          <w:p w14:paraId="FD2F174B">
            <w:pPr>
              <w:pStyle w:val="style0"/>
              <w:rPr/>
            </w:pPr>
            <w:r>
              <w:rPr>
                <w:b w:val="false"/>
                <w:bCs w:val="false"/>
                <w:sz w:val="19"/>
                <w:szCs w:val="19"/>
              </w:rPr>
              <w:t>Week 3–4</w:t>
            </w:r>
          </w:p>
        </w:tc>
      </w:tr>
      <w:tr w14:paraId="7C5B382C">
        <w:tblPrEx/>
        <w:trPr/>
        <w:tc>
          <w:tcPr>
            <w:tcW w:w="0" w:type="pct"/>
            <w:tcBorders/>
            <w:tcMar>
              <w:top w:w="70" w:type="dxa"/>
              <w:left w:w="100" w:type="dxa"/>
              <w:bottom w:w="70" w:type="dxa"/>
              <w:right w:w="100" w:type="dxa"/>
            </w:tcMar>
            <w:vAlign w:val="center"/>
          </w:tcPr>
          <w:p w14:paraId="1F933A17">
            <w:pPr>
              <w:pStyle w:val="style0"/>
              <w:rPr/>
            </w:pPr>
            <w:r>
              <w:rPr>
                <w:b w:val="false"/>
                <w:bCs w:val="false"/>
                <w:sz w:val="19"/>
                <w:szCs w:val="19"/>
              </w:rPr>
              <w:t>D7</w:t>
            </w:r>
          </w:p>
        </w:tc>
        <w:tc>
          <w:tcPr>
            <w:tcW w:w="0" w:type="pct"/>
            <w:tcBorders/>
            <w:tcMar>
              <w:top w:w="70" w:type="dxa"/>
              <w:left w:w="100" w:type="dxa"/>
              <w:bottom w:w="70" w:type="dxa"/>
              <w:right w:w="100" w:type="dxa"/>
            </w:tcMar>
            <w:vAlign w:val="center"/>
          </w:tcPr>
          <w:p w14:paraId="007E2E70">
            <w:pPr>
              <w:pStyle w:val="style0"/>
              <w:rPr/>
            </w:pPr>
            <w:r>
              <w:rPr>
                <w:b w:val="false"/>
                <w:bCs w:val="false"/>
                <w:sz w:val="19"/>
                <w:szCs w:val="19"/>
              </w:rPr>
              <w:t>Launch</w:t>
            </w:r>
          </w:p>
        </w:tc>
        <w:tc>
          <w:tcPr>
            <w:tcW w:w="0" w:type="pct"/>
            <w:tcBorders/>
            <w:tcMar>
              <w:top w:w="70" w:type="dxa"/>
              <w:left w:w="100" w:type="dxa"/>
              <w:bottom w:w="70" w:type="dxa"/>
              <w:right w:w="100" w:type="dxa"/>
            </w:tcMar>
            <w:vAlign w:val="center"/>
          </w:tcPr>
          <w:p w14:paraId="9FCE2777">
            <w:pPr>
              <w:pStyle w:val="style0"/>
              <w:rPr/>
            </w:pPr>
            <w:r>
              <w:rPr>
                <w:b w:val="false"/>
                <w:bCs w:val="false"/>
                <w:sz w:val="19"/>
                <w:szCs w:val="19"/>
              </w:rPr>
              <w:t>Deployed and handed over.</w:t>
            </w:r>
          </w:p>
        </w:tc>
        <w:tc>
          <w:tcPr>
            <w:tcW w:w="0" w:type="pct"/>
            <w:tcBorders/>
            <w:tcMar>
              <w:top w:w="70" w:type="dxa"/>
              <w:left w:w="100" w:type="dxa"/>
              <w:bottom w:w="70" w:type="dxa"/>
              <w:right w:w="100" w:type="dxa"/>
            </w:tcMar>
            <w:vAlign w:val="center"/>
          </w:tcPr>
          <w:p w14:paraId="62E78FEE">
            <w:pPr>
              <w:pStyle w:val="style0"/>
              <w:rPr/>
            </w:pPr>
            <w:r>
              <w:rPr>
                <w:b w:val="false"/>
                <w:bCs w:val="false"/>
                <w:sz w:val="19"/>
                <w:szCs w:val="19"/>
              </w:rPr>
              <w:t>Week 4</w:t>
            </w:r>
          </w:p>
        </w:tc>
      </w:tr>
    </w:tbl>
    <w:p w14:paraId="69EF0759">
      <w:pPr>
        <w:pStyle w:val="style4097"/>
        <w:pBdr>
          <w:bottom w:val="single" w:sz="4" w:space="4" w:color="5c7a89"/>
        </w:pBdr>
        <w:spacing w:before="320" w:after="120"/>
        <w:rPr/>
      </w:pPr>
      <w:r>
        <w:rPr>
          <w:b/>
          <w:bCs/>
          <w:color w:val="26333f"/>
          <w:sz w:val="25"/>
          <w:szCs w:val="25"/>
        </w:rPr>
        <w:t>6. How we'll get there</w:t>
      </w:r>
    </w:p>
    <w:p w14:paraId="EBD0D0B7">
      <w:pPr>
        <w:pStyle w:val="style0"/>
        <w:spacing w:after="140"/>
        <w:rPr/>
      </w:pPr>
      <w:r>
        <w:rPr>
          <w:sz w:val="21"/>
          <w:szCs w:val="21"/>
        </w:rPr>
        <w:t>Four weeks doesn't leave room for a long planning phase, so this runs as short sprints with Yash keeping things moving:</w:t>
      </w:r>
    </w:p>
    <w:p w14:paraId="63A35A98">
      <w:pPr>
        <w:pStyle w:val="style179"/>
        <w:numPr>
          <w:ilvl w:val="0"/>
          <w:numId w:val="1"/>
        </w:numPr>
        <w:spacing w:after="55"/>
        <w:rPr/>
      </w:pPr>
      <w:r>
        <w:rPr>
          <w:sz w:val="21"/>
          <w:szCs w:val="21"/>
        </w:rPr>
        <w:t>Week 1 — nail down the data model and screens, get hosting set up, build login.</w:t>
      </w:r>
    </w:p>
    <w:p w14:paraId="FF25BCFF">
      <w:pPr>
        <w:pStyle w:val="style179"/>
        <w:numPr>
          <w:ilvl w:val="0"/>
          <w:numId w:val="1"/>
        </w:numPr>
        <w:spacing w:after="55"/>
        <w:rPr/>
      </w:pPr>
      <w:r>
        <w:rPr>
          <w:sz w:val="21"/>
          <w:szCs w:val="21"/>
        </w:rPr>
        <w:t>Week 2 — search and provider listings.</w:t>
      </w:r>
    </w:p>
    <w:p w14:paraId="7A7935DF">
      <w:pPr>
        <w:pStyle w:val="style179"/>
        <w:numPr>
          <w:ilvl w:val="0"/>
          <w:numId w:val="1"/>
        </w:numPr>
        <w:spacing w:after="55"/>
        <w:rPr/>
      </w:pPr>
      <w:r>
        <w:rPr>
          <w:sz w:val="21"/>
          <w:szCs w:val="21"/>
        </w:rPr>
        <w:t>Week 3 — booking flow and the admin view; testing starts.</w:t>
      </w:r>
    </w:p>
    <w:p w14:paraId="FC02E3B5">
      <w:pPr>
        <w:pStyle w:val="style179"/>
        <w:numPr>
          <w:ilvl w:val="0"/>
          <w:numId w:val="1"/>
        </w:numPr>
        <w:spacing w:after="55"/>
        <w:rPr/>
      </w:pPr>
      <w:r>
        <w:rPr>
          <w:sz w:val="21"/>
          <w:szCs w:val="21"/>
        </w:rPr>
        <w:t>Week 4 — fix what testing turns up, deploy, hand over.</w:t>
      </w:r>
    </w:p>
    <w:p w14:paraId="58E5ACDA">
      <w:pPr>
        <w:pStyle w:val="style4097"/>
        <w:pBdr>
          <w:bottom w:val="single" w:sz="4" w:space="4" w:color="5c7a89"/>
        </w:pBdr>
        <w:spacing w:before="320" w:after="120"/>
        <w:rPr/>
      </w:pPr>
      <w:r>
        <w:rPr>
          <w:b/>
          <w:bCs/>
          <w:color w:val="26333f"/>
          <w:sz w:val="25"/>
          <w:szCs w:val="25"/>
        </w:rPr>
        <w:t>7. Team</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15"/>
        <w:gridCol w:w="1041"/>
        <w:gridCol w:w="1695"/>
      </w:tblGrid>
      <w:tr w14:paraId="652E74C6">
        <w:trPr>
          <w:tblHeader/>
        </w:trPr>
        <w:tc>
          <w:tcPr>
            <w:tcW w:w="0" w:type="pct"/>
            <w:tcBorders/>
            <w:shd w:val="clear" w:color="auto" w:fill="3b4b57"/>
            <w:tcMar>
              <w:top w:w="70" w:type="dxa"/>
              <w:left w:w="100" w:type="dxa"/>
              <w:bottom w:w="70" w:type="dxa"/>
              <w:right w:w="100" w:type="dxa"/>
            </w:tcMar>
            <w:vAlign w:val="center"/>
          </w:tcPr>
          <w:p w14:paraId="2D6385C9">
            <w:pPr>
              <w:pStyle w:val="style0"/>
              <w:rPr/>
            </w:pPr>
            <w:r>
              <w:rPr>
                <w:b/>
                <w:bCs/>
                <w:color w:val="ffffff"/>
                <w:sz w:val="18"/>
                <w:szCs w:val="18"/>
              </w:rPr>
              <w:t>Name</w:t>
            </w:r>
          </w:p>
        </w:tc>
        <w:tc>
          <w:tcPr>
            <w:tcW w:w="0" w:type="pct"/>
            <w:tcBorders/>
            <w:shd w:val="clear" w:color="auto" w:fill="3b4b57"/>
            <w:tcMar>
              <w:top w:w="70" w:type="dxa"/>
              <w:left w:w="100" w:type="dxa"/>
              <w:bottom w:w="70" w:type="dxa"/>
              <w:right w:w="100" w:type="dxa"/>
            </w:tcMar>
            <w:vAlign w:val="center"/>
          </w:tcPr>
          <w:p w14:paraId="D1429936">
            <w:pPr>
              <w:pStyle w:val="style0"/>
              <w:rPr/>
            </w:pPr>
            <w:r>
              <w:rPr>
                <w:b/>
                <w:bCs/>
                <w:color w:val="ffffff"/>
                <w:sz w:val="18"/>
                <w:szCs w:val="18"/>
              </w:rPr>
              <w:t>Role</w:t>
            </w:r>
          </w:p>
        </w:tc>
        <w:tc>
          <w:tcPr>
            <w:tcW w:w="0" w:type="pct"/>
            <w:tcBorders/>
            <w:shd w:val="clear" w:color="auto" w:fill="3b4b57"/>
            <w:tcMar>
              <w:top w:w="70" w:type="dxa"/>
              <w:left w:w="100" w:type="dxa"/>
              <w:bottom w:w="70" w:type="dxa"/>
              <w:right w:w="100" w:type="dxa"/>
            </w:tcMar>
            <w:vAlign w:val="center"/>
          </w:tcPr>
          <w:p w14:paraId="4BFD86A6">
            <w:pPr>
              <w:pStyle w:val="style0"/>
              <w:rPr/>
            </w:pPr>
            <w:r>
              <w:rPr>
                <w:b/>
                <w:bCs/>
                <w:color w:val="ffffff"/>
                <w:sz w:val="18"/>
                <w:szCs w:val="18"/>
              </w:rPr>
              <w:t>What they own</w:t>
            </w:r>
          </w:p>
        </w:tc>
      </w:tr>
      <w:tr w14:paraId="82621D07">
        <w:tblPrEx/>
        <w:trPr/>
        <w:tc>
          <w:tcPr>
            <w:tcW w:w="0" w:type="pct"/>
            <w:tcBorders/>
            <w:tcMar>
              <w:top w:w="70" w:type="dxa"/>
              <w:left w:w="100" w:type="dxa"/>
              <w:bottom w:w="70" w:type="dxa"/>
              <w:right w:w="100" w:type="dxa"/>
            </w:tcMar>
            <w:vAlign w:val="center"/>
          </w:tcPr>
          <w:p w14:paraId="CEE113E4">
            <w:pPr>
              <w:pStyle w:val="style0"/>
              <w:rPr/>
            </w:pPr>
            <w:r>
              <w:rPr>
                <w:b w:val="false"/>
                <w:bCs w:val="false"/>
                <w:sz w:val="19"/>
                <w:szCs w:val="19"/>
              </w:rPr>
              <w:t>Harsh Mishra</w:t>
            </w:r>
          </w:p>
        </w:tc>
        <w:tc>
          <w:tcPr>
            <w:tcW w:w="0" w:type="pct"/>
            <w:tcBorders/>
            <w:tcMar>
              <w:top w:w="70" w:type="dxa"/>
              <w:left w:w="100" w:type="dxa"/>
              <w:bottom w:w="70" w:type="dxa"/>
              <w:right w:w="100" w:type="dxa"/>
            </w:tcMar>
            <w:vAlign w:val="center"/>
          </w:tcPr>
          <w:p w14:paraId="A47551E4">
            <w:pPr>
              <w:pStyle w:val="style0"/>
              <w:rPr/>
            </w:pPr>
            <w:r>
              <w:rPr>
                <w:b w:val="false"/>
                <w:bCs w:val="false"/>
                <w:sz w:val="19"/>
                <w:szCs w:val="19"/>
              </w:rPr>
              <w:t>Project Manager</w:t>
            </w:r>
          </w:p>
        </w:tc>
        <w:tc>
          <w:tcPr>
            <w:tcW w:w="0" w:type="pct"/>
            <w:tcBorders/>
            <w:tcMar>
              <w:top w:w="70" w:type="dxa"/>
              <w:left w:w="100" w:type="dxa"/>
              <w:bottom w:w="70" w:type="dxa"/>
              <w:right w:w="100" w:type="dxa"/>
            </w:tcMar>
            <w:vAlign w:val="center"/>
          </w:tcPr>
          <w:p w14:paraId="DA439996">
            <w:pPr>
              <w:pStyle w:val="style0"/>
              <w:rPr/>
            </w:pPr>
            <w:r>
              <w:rPr>
                <w:b w:val="false"/>
                <w:bCs w:val="false"/>
                <w:sz w:val="19"/>
                <w:szCs w:val="19"/>
              </w:rPr>
              <w:t>Delivery, client communication, keeping scope and timeline on track.</w:t>
            </w:r>
          </w:p>
        </w:tc>
      </w:tr>
      <w:tr w14:paraId="1684D96D">
        <w:tblPrEx/>
        <w:trPr/>
        <w:tc>
          <w:tcPr>
            <w:tcW w:w="0" w:type="pct"/>
            <w:tcBorders/>
            <w:shd w:val="clear" w:color="auto" w:fill="edf1f3"/>
            <w:tcMar>
              <w:top w:w="70" w:type="dxa"/>
              <w:left w:w="100" w:type="dxa"/>
              <w:bottom w:w="70" w:type="dxa"/>
              <w:right w:w="100" w:type="dxa"/>
            </w:tcMar>
            <w:vAlign w:val="center"/>
          </w:tcPr>
          <w:p w14:paraId="8E5F650A">
            <w:pPr>
              <w:pStyle w:val="style0"/>
              <w:rPr/>
            </w:pPr>
            <w:r>
              <w:rPr>
                <w:b w:val="false"/>
                <w:bCs w:val="false"/>
                <w:sz w:val="19"/>
                <w:szCs w:val="19"/>
              </w:rPr>
              <w:t>Armaan Mulani</w:t>
            </w:r>
          </w:p>
        </w:tc>
        <w:tc>
          <w:tcPr>
            <w:tcW w:w="0" w:type="pct"/>
            <w:tcBorders/>
            <w:shd w:val="clear" w:color="auto" w:fill="edf1f3"/>
            <w:tcMar>
              <w:top w:w="70" w:type="dxa"/>
              <w:left w:w="100" w:type="dxa"/>
              <w:bottom w:w="70" w:type="dxa"/>
              <w:right w:w="100" w:type="dxa"/>
            </w:tcMar>
            <w:vAlign w:val="center"/>
          </w:tcPr>
          <w:p w14:paraId="CA734D9E">
            <w:pPr>
              <w:pStyle w:val="style0"/>
              <w:rPr/>
            </w:pPr>
            <w:r>
              <w:rPr>
                <w:b w:val="false"/>
                <w:bCs w:val="false"/>
                <w:sz w:val="19"/>
                <w:szCs w:val="19"/>
              </w:rPr>
              <w:t>Tech Lead &amp; Solution Architect</w:t>
            </w:r>
          </w:p>
        </w:tc>
        <w:tc>
          <w:tcPr>
            <w:tcW w:w="0" w:type="pct"/>
            <w:tcBorders/>
            <w:shd w:val="clear" w:color="auto" w:fill="edf1f3"/>
            <w:tcMar>
              <w:top w:w="70" w:type="dxa"/>
              <w:left w:w="100" w:type="dxa"/>
              <w:bottom w:w="70" w:type="dxa"/>
              <w:right w:w="100" w:type="dxa"/>
            </w:tcMar>
            <w:vAlign w:val="center"/>
          </w:tcPr>
          <w:p w14:paraId="AF68C064">
            <w:pPr>
              <w:pStyle w:val="style0"/>
              <w:rPr/>
            </w:pPr>
            <w:r>
              <w:rPr>
                <w:b w:val="false"/>
                <w:bCs w:val="false"/>
                <w:sz w:val="19"/>
                <w:szCs w:val="19"/>
              </w:rPr>
              <w:t>Architecture, technical decisions, code quality.</w:t>
            </w:r>
          </w:p>
        </w:tc>
      </w:tr>
      <w:tr w14:paraId="B4E03DD7">
        <w:tblPrEx/>
        <w:trPr/>
        <w:tc>
          <w:tcPr>
            <w:tcW w:w="0" w:type="pct"/>
            <w:tcBorders/>
            <w:tcMar>
              <w:top w:w="70" w:type="dxa"/>
              <w:left w:w="100" w:type="dxa"/>
              <w:bottom w:w="70" w:type="dxa"/>
              <w:right w:w="100" w:type="dxa"/>
            </w:tcMar>
            <w:vAlign w:val="center"/>
          </w:tcPr>
          <w:p w14:paraId="3DC968B0">
            <w:pPr>
              <w:pStyle w:val="style0"/>
              <w:rPr/>
            </w:pPr>
            <w:r>
              <w:rPr>
                <w:b w:val="false"/>
                <w:bCs w:val="false"/>
                <w:sz w:val="19"/>
                <w:szCs w:val="19"/>
              </w:rPr>
              <w:t>Yash Khapre</w:t>
            </w:r>
          </w:p>
        </w:tc>
        <w:tc>
          <w:tcPr>
            <w:tcW w:w="0" w:type="pct"/>
            <w:tcBorders/>
            <w:tcMar>
              <w:top w:w="70" w:type="dxa"/>
              <w:left w:w="100" w:type="dxa"/>
              <w:bottom w:w="70" w:type="dxa"/>
              <w:right w:w="100" w:type="dxa"/>
            </w:tcMar>
            <w:vAlign w:val="center"/>
          </w:tcPr>
          <w:p w14:paraId="09C6A6BB">
            <w:pPr>
              <w:pStyle w:val="style0"/>
              <w:rPr/>
            </w:pPr>
            <w:r>
              <w:rPr>
                <w:b w:val="false"/>
                <w:bCs w:val="false"/>
                <w:sz w:val="19"/>
                <w:szCs w:val="19"/>
              </w:rPr>
              <w:t>Scrum Master</w:t>
            </w:r>
          </w:p>
        </w:tc>
        <w:tc>
          <w:tcPr>
            <w:tcW w:w="0" w:type="pct"/>
            <w:tcBorders/>
            <w:tcMar>
              <w:top w:w="70" w:type="dxa"/>
              <w:left w:w="100" w:type="dxa"/>
              <w:bottom w:w="70" w:type="dxa"/>
              <w:right w:w="100" w:type="dxa"/>
            </w:tcMar>
            <w:vAlign w:val="center"/>
          </w:tcPr>
          <w:p w14:paraId="88079A07">
            <w:pPr>
              <w:pStyle w:val="style0"/>
              <w:rPr/>
            </w:pPr>
            <w:r>
              <w:rPr>
                <w:b w:val="false"/>
                <w:bCs w:val="false"/>
                <w:sz w:val="19"/>
                <w:szCs w:val="19"/>
              </w:rPr>
              <w:t>Sprint planning, clearing blockers.</w:t>
            </w:r>
          </w:p>
        </w:tc>
      </w:tr>
      <w:tr w14:paraId="F6327497">
        <w:tblPrEx/>
        <w:trPr/>
        <w:tc>
          <w:tcPr>
            <w:tcW w:w="0" w:type="pct"/>
            <w:tcBorders/>
            <w:shd w:val="clear" w:color="auto" w:fill="edf1f3"/>
            <w:tcMar>
              <w:top w:w="70" w:type="dxa"/>
              <w:left w:w="100" w:type="dxa"/>
              <w:bottom w:w="70" w:type="dxa"/>
              <w:right w:w="100" w:type="dxa"/>
            </w:tcMar>
            <w:vAlign w:val="center"/>
          </w:tcPr>
          <w:p w14:paraId="00DF566D">
            <w:pPr>
              <w:pStyle w:val="style0"/>
              <w:rPr/>
            </w:pPr>
            <w:r>
              <w:rPr>
                <w:b w:val="false"/>
                <w:bCs w:val="false"/>
                <w:sz w:val="19"/>
                <w:szCs w:val="19"/>
              </w:rPr>
              <w:t>Pratima Vanakhade</w:t>
            </w:r>
          </w:p>
        </w:tc>
        <w:tc>
          <w:tcPr>
            <w:tcW w:w="0" w:type="pct"/>
            <w:tcBorders/>
            <w:shd w:val="clear" w:color="auto" w:fill="edf1f3"/>
            <w:tcMar>
              <w:top w:w="70" w:type="dxa"/>
              <w:left w:w="100" w:type="dxa"/>
              <w:bottom w:w="70" w:type="dxa"/>
              <w:right w:w="100" w:type="dxa"/>
            </w:tcMar>
            <w:vAlign w:val="center"/>
          </w:tcPr>
          <w:p w14:paraId="A62A70AE">
            <w:pPr>
              <w:pStyle w:val="style0"/>
              <w:rPr/>
            </w:pPr>
            <w:r>
              <w:rPr>
                <w:b w:val="false"/>
                <w:bCs w:val="false"/>
                <w:sz w:val="19"/>
                <w:szCs w:val="19"/>
              </w:rPr>
              <w:t>Business Analyst</w:t>
            </w:r>
          </w:p>
        </w:tc>
        <w:tc>
          <w:tcPr>
            <w:tcW w:w="0" w:type="pct"/>
            <w:tcBorders/>
            <w:shd w:val="clear" w:color="auto" w:fill="edf1f3"/>
            <w:tcMar>
              <w:top w:w="70" w:type="dxa"/>
              <w:left w:w="100" w:type="dxa"/>
              <w:bottom w:w="70" w:type="dxa"/>
              <w:right w:w="100" w:type="dxa"/>
            </w:tcMar>
            <w:vAlign w:val="center"/>
          </w:tcPr>
          <w:p w14:paraId="31F3B1F8">
            <w:pPr>
              <w:pStyle w:val="style0"/>
              <w:rPr/>
            </w:pPr>
            <w:r>
              <w:rPr>
                <w:b w:val="false"/>
                <w:bCs w:val="false"/>
                <w:sz w:val="19"/>
                <w:szCs w:val="19"/>
              </w:rPr>
              <w:t>Requirements traceability back to the BRD, UAT support.</w:t>
            </w:r>
          </w:p>
        </w:tc>
      </w:tr>
    </w:tbl>
    <w:p w14:paraId="8D012142">
      <w:pPr>
        <w:pStyle w:val="style0"/>
        <w:spacing w:after="140"/>
        <w:rPr/>
      </w:pPr>
      <w:r>
        <w:rPr>
          <w:i/>
          <w:iCs/>
          <w:color w:val="5b6670"/>
          <w:sz w:val="21"/>
          <w:szCs w:val="21"/>
        </w:rPr>
        <w:t>Any additional developers or QA needed to hit the timeline will be pulled in by the team as required — they're not named individually here.</w:t>
      </w:r>
    </w:p>
    <w:p w14:paraId="15CEA0B6">
      <w:pPr>
        <w:pStyle w:val="style4097"/>
        <w:pBdr>
          <w:bottom w:val="single" w:sz="4" w:space="4" w:color="5c7a89"/>
        </w:pBdr>
        <w:spacing w:before="320" w:after="120"/>
        <w:rPr/>
      </w:pPr>
      <w:r>
        <w:rPr>
          <w:b/>
          <w:bCs/>
          <w:color w:val="26333f"/>
          <w:sz w:val="25"/>
          <w:szCs w:val="25"/>
        </w:rPr>
        <w:t>8. Who's responsible for what</w:t>
      </w:r>
    </w:p>
    <w:p w14:paraId="7F61EC1E">
      <w:pPr>
        <w:pStyle w:val="style4098"/>
        <w:spacing w:before="200" w:after="90"/>
        <w:rPr/>
      </w:pPr>
      <w:r>
        <w:rPr>
          <w:b/>
          <w:bCs/>
          <w:color w:val="26333f"/>
          <w:sz w:val="21"/>
          <w:szCs w:val="21"/>
        </w:rPr>
        <w:t>8.1 Client</w:t>
      </w:r>
    </w:p>
    <w:p w14:paraId="58A18ABA">
      <w:pPr>
        <w:pStyle w:val="style179"/>
        <w:numPr>
          <w:ilvl w:val="0"/>
          <w:numId w:val="1"/>
        </w:numPr>
        <w:spacing w:after="55"/>
        <w:rPr/>
      </w:pPr>
      <w:r>
        <w:rPr>
          <w:sz w:val="21"/>
          <w:szCs w:val="21"/>
        </w:rPr>
        <w:t>Harsh Mishra acts as Business/Product Owner — approves requirements and signs off deliverables.</w:t>
      </w:r>
    </w:p>
    <w:p w14:paraId="C055591B">
      <w:pPr>
        <w:pStyle w:val="style179"/>
        <w:numPr>
          <w:ilvl w:val="0"/>
          <w:numId w:val="1"/>
        </w:numPr>
        <w:spacing w:after="55"/>
        <w:rPr/>
      </w:pPr>
      <w:r>
        <w:rPr>
          <w:sz w:val="21"/>
          <w:szCs w:val="21"/>
        </w:rPr>
        <w:t>Share any existing brand assets or content needed for the MVP screens.</w:t>
      </w:r>
    </w:p>
    <w:p w14:paraId="D33F53E5">
      <w:pPr>
        <w:pStyle w:val="style179"/>
        <w:numPr>
          <w:ilvl w:val="0"/>
          <w:numId w:val="1"/>
        </w:numPr>
        <w:spacing w:after="55"/>
        <w:rPr/>
      </w:pPr>
      <w:r>
        <w:rPr>
          <w:sz w:val="21"/>
          <w:szCs w:val="21"/>
        </w:rPr>
        <w:t>Turn around deliverable reviews within 2 business days — with only 4 weeks, delays here eat directly into the schedule.</w:t>
      </w:r>
    </w:p>
    <w:p w14:paraId="87C1F1BB">
      <w:pPr>
        <w:pStyle w:val="style179"/>
        <w:numPr>
          <w:ilvl w:val="0"/>
          <w:numId w:val="1"/>
        </w:numPr>
        <w:spacing w:after="55"/>
        <w:rPr/>
      </w:pPr>
      <w:r>
        <w:rPr>
          <w:sz w:val="21"/>
          <w:szCs w:val="21"/>
        </w:rPr>
        <w:t>Confirm hosting/domain details ahead of deployment.</w:t>
      </w:r>
    </w:p>
    <w:p w14:paraId="CD2090EB">
      <w:pPr>
        <w:pStyle w:val="style179"/>
        <w:numPr>
          <w:ilvl w:val="0"/>
          <w:numId w:val="1"/>
        </w:numPr>
        <w:spacing w:after="55"/>
        <w:rPr/>
      </w:pPr>
      <w:r>
        <w:rPr>
          <w:sz w:val="21"/>
          <w:szCs w:val="21"/>
        </w:rPr>
        <w:t>Understand and accept that this MVP runs on a lighter security setup than the full platform (more on this below).</w:t>
      </w:r>
    </w:p>
    <w:p w14:paraId="49C00F18">
      <w:pPr>
        <w:pStyle w:val="style4098"/>
        <w:spacing w:before="200" w:after="90"/>
        <w:rPr/>
      </w:pPr>
      <w:r>
        <w:rPr>
          <w:b/>
          <w:bCs/>
          <w:color w:val="26333f"/>
          <w:sz w:val="21"/>
          <w:szCs w:val="21"/>
        </w:rPr>
        <w:t>8.2 Delivery team</w:t>
      </w:r>
    </w:p>
    <w:p w14:paraId="FA78550A">
      <w:pPr>
        <w:pStyle w:val="style179"/>
        <w:numPr>
          <w:ilvl w:val="0"/>
          <w:numId w:val="1"/>
        </w:numPr>
        <w:spacing w:after="55"/>
        <w:rPr/>
      </w:pPr>
      <w:r>
        <w:rPr>
          <w:sz w:val="21"/>
          <w:szCs w:val="21"/>
        </w:rPr>
        <w:t>Build strictly to the scope in this document — nothing from the BRD beyond what's listed here.</w:t>
      </w:r>
    </w:p>
    <w:p w14:paraId="EB6120FC">
      <w:pPr>
        <w:pStyle w:val="style179"/>
        <w:numPr>
          <w:ilvl w:val="0"/>
          <w:numId w:val="1"/>
        </w:numPr>
        <w:spacing w:after="55"/>
        <w:rPr/>
      </w:pPr>
      <w:r>
        <w:rPr>
          <w:sz w:val="21"/>
          <w:szCs w:val="21"/>
        </w:rPr>
        <w:t>Harsh Mishra (PM) — single point of contact, keeps the plan and issue list up to date.</w:t>
      </w:r>
    </w:p>
    <w:p w14:paraId="7273B0EC">
      <w:pPr>
        <w:pStyle w:val="style179"/>
        <w:numPr>
          <w:ilvl w:val="0"/>
          <w:numId w:val="1"/>
        </w:numPr>
        <w:spacing w:after="55"/>
        <w:rPr/>
      </w:pPr>
      <w:r>
        <w:rPr>
          <w:sz w:val="21"/>
          <w:szCs w:val="21"/>
        </w:rPr>
        <w:t>Armaan Mulani (Tech Lead) — owns technical decisions and the MVP's architecture.</w:t>
      </w:r>
    </w:p>
    <w:p w14:paraId="23FAA3E7">
      <w:pPr>
        <w:pStyle w:val="style179"/>
        <w:numPr>
          <w:ilvl w:val="0"/>
          <w:numId w:val="1"/>
        </w:numPr>
        <w:spacing w:after="55"/>
        <w:rPr/>
      </w:pPr>
      <w:r>
        <w:rPr>
          <w:sz w:val="21"/>
          <w:szCs w:val="21"/>
        </w:rPr>
        <w:t>Yash Khapre (Scrum Master) — runs the sprints and clears blockers.</w:t>
      </w:r>
    </w:p>
    <w:p w14:paraId="B3F0F8AA">
      <w:pPr>
        <w:pStyle w:val="style179"/>
        <w:numPr>
          <w:ilvl w:val="0"/>
          <w:numId w:val="1"/>
        </w:numPr>
        <w:spacing w:after="55"/>
        <w:rPr/>
      </w:pPr>
      <w:r>
        <w:rPr>
          <w:sz w:val="21"/>
          <w:szCs w:val="21"/>
        </w:rPr>
        <w:t>Pratima Vanakhade (BA) — keeps the build honest against the BRD and supports testing.</w:t>
      </w:r>
    </w:p>
    <w:p w14:paraId="D0C3FB23">
      <w:pPr>
        <w:pStyle w:val="style179"/>
        <w:numPr>
          <w:ilvl w:val="0"/>
          <w:numId w:val="1"/>
        </w:numPr>
        <w:spacing w:after="55"/>
        <w:rPr/>
      </w:pPr>
      <w:r>
        <w:rPr>
          <w:sz w:val="21"/>
          <w:szCs w:val="21"/>
        </w:rPr>
        <w:t>Flag anything that risks scope, schedule, or budget as soon as it comes up, rather than after the fact.</w:t>
      </w:r>
    </w:p>
    <w:p w14:paraId="F3500945">
      <w:pPr>
        <w:pStyle w:val="style4097"/>
        <w:pBdr>
          <w:bottom w:val="single" w:sz="4" w:space="4" w:color="5c7a89"/>
        </w:pBdr>
        <w:spacing w:before="320" w:after="120"/>
        <w:rPr/>
      </w:pPr>
      <w:r>
        <w:rPr>
          <w:b/>
          <w:bCs/>
          <w:color w:val="26333f"/>
          <w:sz w:val="25"/>
          <w:szCs w:val="25"/>
        </w:rPr>
        <w:t>9. Timeline</w:t>
      </w:r>
    </w:p>
    <w:p w14:paraId="9296691D">
      <w:pPr>
        <w:pStyle w:val="style0"/>
        <w:spacing w:after="140"/>
        <w:rPr/>
      </w:pPr>
      <w:r>
        <w:rPr>
          <w:sz w:val="21"/>
          <w:szCs w:val="21"/>
        </w:rPr>
        <w:t>Four weeks from kickoff. Rough milestones:</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84"/>
        <w:gridCol w:w="975"/>
        <w:gridCol w:w="717"/>
      </w:tblGrid>
      <w:tr w14:paraId="266DF0E4">
        <w:trPr>
          <w:tblHeader/>
        </w:trPr>
        <w:tc>
          <w:tcPr>
            <w:tcW w:w="0" w:type="pct"/>
            <w:tcBorders/>
            <w:shd w:val="clear" w:color="auto" w:fill="3b4b57"/>
            <w:tcMar>
              <w:top w:w="70" w:type="dxa"/>
              <w:left w:w="100" w:type="dxa"/>
              <w:bottom w:w="70" w:type="dxa"/>
              <w:right w:w="100" w:type="dxa"/>
            </w:tcMar>
            <w:vAlign w:val="center"/>
          </w:tcPr>
          <w:p w14:paraId="61B5C9A3">
            <w:pPr>
              <w:pStyle w:val="style0"/>
              <w:rPr/>
            </w:pPr>
            <w:r>
              <w:rPr>
                <w:b/>
                <w:bCs/>
                <w:color w:val="ffffff"/>
                <w:sz w:val="18"/>
                <w:szCs w:val="18"/>
              </w:rPr>
              <w:t>Milestone</w:t>
            </w:r>
          </w:p>
        </w:tc>
        <w:tc>
          <w:tcPr>
            <w:tcW w:w="0" w:type="pct"/>
            <w:tcBorders/>
            <w:shd w:val="clear" w:color="auto" w:fill="3b4b57"/>
            <w:tcMar>
              <w:top w:w="70" w:type="dxa"/>
              <w:left w:w="100" w:type="dxa"/>
              <w:bottom w:w="70" w:type="dxa"/>
              <w:right w:w="100" w:type="dxa"/>
            </w:tcMar>
            <w:vAlign w:val="center"/>
          </w:tcPr>
          <w:p w14:paraId="2C7CC0A0">
            <w:pPr>
              <w:pStyle w:val="style0"/>
              <w:rPr/>
            </w:pPr>
            <w:r>
              <w:rPr>
                <w:b/>
                <w:bCs/>
                <w:color w:val="ffffff"/>
                <w:sz w:val="18"/>
                <w:szCs w:val="18"/>
              </w:rPr>
              <w:t>What's done</w:t>
            </w:r>
          </w:p>
        </w:tc>
        <w:tc>
          <w:tcPr>
            <w:tcW w:w="0" w:type="pct"/>
            <w:tcBorders/>
            <w:shd w:val="clear" w:color="auto" w:fill="3b4b57"/>
            <w:tcMar>
              <w:top w:w="70" w:type="dxa"/>
              <w:left w:w="100" w:type="dxa"/>
              <w:bottom w:w="70" w:type="dxa"/>
              <w:right w:w="100" w:type="dxa"/>
            </w:tcMar>
            <w:vAlign w:val="center"/>
          </w:tcPr>
          <w:p w14:paraId="E59F3E30">
            <w:pPr>
              <w:pStyle w:val="style0"/>
              <w:rPr/>
            </w:pPr>
            <w:r>
              <w:rPr>
                <w:b/>
                <w:bCs/>
                <w:color w:val="ffffff"/>
                <w:sz w:val="18"/>
                <w:szCs w:val="18"/>
              </w:rPr>
              <w:t>When</w:t>
            </w:r>
          </w:p>
        </w:tc>
      </w:tr>
      <w:tr w14:paraId="A358FF0B">
        <w:tblPrEx/>
        <w:trPr/>
        <w:tc>
          <w:tcPr>
            <w:tcW w:w="0" w:type="pct"/>
            <w:tcBorders/>
            <w:tcMar>
              <w:top w:w="70" w:type="dxa"/>
              <w:left w:w="100" w:type="dxa"/>
              <w:bottom w:w="70" w:type="dxa"/>
              <w:right w:w="100" w:type="dxa"/>
            </w:tcMar>
            <w:vAlign w:val="center"/>
          </w:tcPr>
          <w:p w14:paraId="FC435F94">
            <w:pPr>
              <w:pStyle w:val="style0"/>
              <w:rPr/>
            </w:pPr>
            <w:r>
              <w:rPr>
                <w:b w:val="false"/>
                <w:bCs w:val="false"/>
                <w:sz w:val="19"/>
                <w:szCs w:val="19"/>
              </w:rPr>
              <w:t>M1</w:t>
            </w:r>
          </w:p>
        </w:tc>
        <w:tc>
          <w:tcPr>
            <w:tcW w:w="0" w:type="pct"/>
            <w:tcBorders/>
            <w:tcMar>
              <w:top w:w="70" w:type="dxa"/>
              <w:left w:w="100" w:type="dxa"/>
              <w:bottom w:w="70" w:type="dxa"/>
              <w:right w:w="100" w:type="dxa"/>
            </w:tcMar>
            <w:vAlign w:val="center"/>
          </w:tcPr>
          <w:p w14:paraId="429B0173">
            <w:pPr>
              <w:pStyle w:val="style0"/>
              <w:rPr/>
            </w:pPr>
            <w:r>
              <w:rPr>
                <w:b w:val="false"/>
                <w:bCs w:val="false"/>
                <w:sz w:val="19"/>
                <w:szCs w:val="19"/>
              </w:rPr>
              <w:t>SOW signed, kickoff</w:t>
            </w:r>
          </w:p>
        </w:tc>
        <w:tc>
          <w:tcPr>
            <w:tcW w:w="0" w:type="pct"/>
            <w:tcBorders/>
            <w:tcMar>
              <w:top w:w="70" w:type="dxa"/>
              <w:left w:w="100" w:type="dxa"/>
              <w:bottom w:w="70" w:type="dxa"/>
              <w:right w:w="100" w:type="dxa"/>
            </w:tcMar>
            <w:vAlign w:val="center"/>
          </w:tcPr>
          <w:p w14:paraId="BBAC46C9">
            <w:pPr>
              <w:pStyle w:val="style0"/>
              <w:rPr/>
            </w:pPr>
            <w:r>
              <w:rPr>
                <w:b w:val="false"/>
                <w:bCs w:val="false"/>
                <w:sz w:val="19"/>
                <w:szCs w:val="19"/>
              </w:rPr>
              <w:t>Week 0</w:t>
            </w:r>
          </w:p>
        </w:tc>
      </w:tr>
      <w:tr w14:paraId="AE8A96D3">
        <w:tblPrEx/>
        <w:trPr/>
        <w:tc>
          <w:tcPr>
            <w:tcW w:w="0" w:type="pct"/>
            <w:tcBorders/>
            <w:shd w:val="clear" w:color="auto" w:fill="edf1f3"/>
            <w:tcMar>
              <w:top w:w="70" w:type="dxa"/>
              <w:left w:w="100" w:type="dxa"/>
              <w:bottom w:w="70" w:type="dxa"/>
              <w:right w:w="100" w:type="dxa"/>
            </w:tcMar>
            <w:vAlign w:val="center"/>
          </w:tcPr>
          <w:p w14:paraId="663B62B9">
            <w:pPr>
              <w:pStyle w:val="style0"/>
              <w:rPr/>
            </w:pPr>
            <w:r>
              <w:rPr>
                <w:b w:val="false"/>
                <w:bCs w:val="false"/>
                <w:sz w:val="19"/>
                <w:szCs w:val="19"/>
              </w:rPr>
              <w:t>M2</w:t>
            </w:r>
          </w:p>
        </w:tc>
        <w:tc>
          <w:tcPr>
            <w:tcW w:w="0" w:type="pct"/>
            <w:tcBorders/>
            <w:shd w:val="clear" w:color="auto" w:fill="edf1f3"/>
            <w:tcMar>
              <w:top w:w="70" w:type="dxa"/>
              <w:left w:w="100" w:type="dxa"/>
              <w:bottom w:w="70" w:type="dxa"/>
              <w:right w:w="100" w:type="dxa"/>
            </w:tcMar>
            <w:vAlign w:val="center"/>
          </w:tcPr>
          <w:p w14:paraId="72BD649D">
            <w:pPr>
              <w:pStyle w:val="style0"/>
              <w:rPr/>
            </w:pPr>
            <w:r>
              <w:rPr>
                <w:b w:val="false"/>
                <w:bCs w:val="false"/>
                <w:sz w:val="19"/>
                <w:szCs w:val="19"/>
              </w:rPr>
              <w:t>MVP outline finalized</w:t>
            </w:r>
          </w:p>
        </w:tc>
        <w:tc>
          <w:tcPr>
            <w:tcW w:w="0" w:type="pct"/>
            <w:tcBorders/>
            <w:shd w:val="clear" w:color="auto" w:fill="edf1f3"/>
            <w:tcMar>
              <w:top w:w="70" w:type="dxa"/>
              <w:left w:w="100" w:type="dxa"/>
              <w:bottom w:w="70" w:type="dxa"/>
              <w:right w:w="100" w:type="dxa"/>
            </w:tcMar>
            <w:vAlign w:val="center"/>
          </w:tcPr>
          <w:p w14:paraId="9D55DEA1">
            <w:pPr>
              <w:pStyle w:val="style0"/>
              <w:rPr/>
            </w:pPr>
            <w:r>
              <w:rPr>
                <w:b w:val="false"/>
                <w:bCs w:val="false"/>
                <w:sz w:val="19"/>
                <w:szCs w:val="19"/>
              </w:rPr>
              <w:t>Week 1</w:t>
            </w:r>
          </w:p>
        </w:tc>
      </w:tr>
      <w:tr w14:paraId="4DEF9551">
        <w:tblPrEx/>
        <w:trPr/>
        <w:tc>
          <w:tcPr>
            <w:tcW w:w="0" w:type="pct"/>
            <w:tcBorders/>
            <w:tcMar>
              <w:top w:w="70" w:type="dxa"/>
              <w:left w:w="100" w:type="dxa"/>
              <w:bottom w:w="70" w:type="dxa"/>
              <w:right w:w="100" w:type="dxa"/>
            </w:tcMar>
            <w:vAlign w:val="center"/>
          </w:tcPr>
          <w:p w14:paraId="E6B6AE59">
            <w:pPr>
              <w:pStyle w:val="style0"/>
              <w:rPr/>
            </w:pPr>
            <w:r>
              <w:rPr>
                <w:b w:val="false"/>
                <w:bCs w:val="false"/>
                <w:sz w:val="19"/>
                <w:szCs w:val="19"/>
              </w:rPr>
              <w:t>M3</w:t>
            </w:r>
          </w:p>
        </w:tc>
        <w:tc>
          <w:tcPr>
            <w:tcW w:w="0" w:type="pct"/>
            <w:tcBorders/>
            <w:tcMar>
              <w:top w:w="70" w:type="dxa"/>
              <w:left w:w="100" w:type="dxa"/>
              <w:bottom w:w="70" w:type="dxa"/>
              <w:right w:w="100" w:type="dxa"/>
            </w:tcMar>
            <w:vAlign w:val="center"/>
          </w:tcPr>
          <w:p w14:paraId="B2A5274C">
            <w:pPr>
              <w:pStyle w:val="style0"/>
              <w:rPr/>
            </w:pPr>
            <w:r>
              <w:rPr>
                <w:b w:val="false"/>
                <w:bCs w:val="false"/>
                <w:sz w:val="19"/>
                <w:szCs w:val="19"/>
              </w:rPr>
              <w:t>Login, search, and listings built</w:t>
            </w:r>
          </w:p>
        </w:tc>
        <w:tc>
          <w:tcPr>
            <w:tcW w:w="0" w:type="pct"/>
            <w:tcBorders/>
            <w:tcMar>
              <w:top w:w="70" w:type="dxa"/>
              <w:left w:w="100" w:type="dxa"/>
              <w:bottom w:w="70" w:type="dxa"/>
              <w:right w:w="100" w:type="dxa"/>
            </w:tcMar>
            <w:vAlign w:val="center"/>
          </w:tcPr>
          <w:p w14:paraId="8BB51FD9">
            <w:pPr>
              <w:pStyle w:val="style0"/>
              <w:rPr/>
            </w:pPr>
            <w:r>
              <w:rPr>
                <w:b w:val="false"/>
                <w:bCs w:val="false"/>
                <w:sz w:val="19"/>
                <w:szCs w:val="19"/>
              </w:rPr>
              <w:t>Week 1–2</w:t>
            </w:r>
          </w:p>
        </w:tc>
      </w:tr>
      <w:tr w14:paraId="413D619B">
        <w:tblPrEx/>
        <w:trPr/>
        <w:tc>
          <w:tcPr>
            <w:tcW w:w="0" w:type="pct"/>
            <w:tcBorders/>
            <w:shd w:val="clear" w:color="auto" w:fill="edf1f3"/>
            <w:tcMar>
              <w:top w:w="70" w:type="dxa"/>
              <w:left w:w="100" w:type="dxa"/>
              <w:bottom w:w="70" w:type="dxa"/>
              <w:right w:w="100" w:type="dxa"/>
            </w:tcMar>
            <w:vAlign w:val="center"/>
          </w:tcPr>
          <w:p w14:paraId="84328951">
            <w:pPr>
              <w:pStyle w:val="style0"/>
              <w:rPr/>
            </w:pPr>
            <w:r>
              <w:rPr>
                <w:b w:val="false"/>
                <w:bCs w:val="false"/>
                <w:sz w:val="19"/>
                <w:szCs w:val="19"/>
              </w:rPr>
              <w:t>M4</w:t>
            </w:r>
          </w:p>
        </w:tc>
        <w:tc>
          <w:tcPr>
            <w:tcW w:w="0" w:type="pct"/>
            <w:tcBorders/>
            <w:shd w:val="clear" w:color="auto" w:fill="edf1f3"/>
            <w:tcMar>
              <w:top w:w="70" w:type="dxa"/>
              <w:left w:w="100" w:type="dxa"/>
              <w:bottom w:w="70" w:type="dxa"/>
              <w:right w:w="100" w:type="dxa"/>
            </w:tcMar>
            <w:vAlign w:val="center"/>
          </w:tcPr>
          <w:p w14:paraId="6F5C4AA1">
            <w:pPr>
              <w:pStyle w:val="style0"/>
              <w:rPr/>
            </w:pPr>
            <w:r>
              <w:rPr>
                <w:b w:val="false"/>
                <w:bCs w:val="false"/>
                <w:sz w:val="19"/>
                <w:szCs w:val="19"/>
              </w:rPr>
              <w:t>Booking flow and admin view built</w:t>
            </w:r>
          </w:p>
        </w:tc>
        <w:tc>
          <w:tcPr>
            <w:tcW w:w="0" w:type="pct"/>
            <w:tcBorders/>
            <w:shd w:val="clear" w:color="auto" w:fill="edf1f3"/>
            <w:tcMar>
              <w:top w:w="70" w:type="dxa"/>
              <w:left w:w="100" w:type="dxa"/>
              <w:bottom w:w="70" w:type="dxa"/>
              <w:right w:w="100" w:type="dxa"/>
            </w:tcMar>
            <w:vAlign w:val="center"/>
          </w:tcPr>
          <w:p w14:paraId="B5AB73C8">
            <w:pPr>
              <w:pStyle w:val="style0"/>
              <w:rPr/>
            </w:pPr>
            <w:r>
              <w:rPr>
                <w:b w:val="false"/>
                <w:bCs w:val="false"/>
                <w:sz w:val="19"/>
                <w:szCs w:val="19"/>
              </w:rPr>
              <w:t>Week 2–3</w:t>
            </w:r>
          </w:p>
        </w:tc>
      </w:tr>
      <w:tr w14:paraId="2142987B">
        <w:tblPrEx/>
        <w:trPr/>
        <w:tc>
          <w:tcPr>
            <w:tcW w:w="0" w:type="pct"/>
            <w:tcBorders/>
            <w:tcMar>
              <w:top w:w="70" w:type="dxa"/>
              <w:left w:w="100" w:type="dxa"/>
              <w:bottom w:w="70" w:type="dxa"/>
              <w:right w:w="100" w:type="dxa"/>
            </w:tcMar>
            <w:vAlign w:val="center"/>
          </w:tcPr>
          <w:p w14:paraId="A24D191C">
            <w:pPr>
              <w:pStyle w:val="style0"/>
              <w:rPr/>
            </w:pPr>
            <w:r>
              <w:rPr>
                <w:b w:val="false"/>
                <w:bCs w:val="false"/>
                <w:sz w:val="19"/>
                <w:szCs w:val="19"/>
              </w:rPr>
              <w:t>M5</w:t>
            </w:r>
          </w:p>
        </w:tc>
        <w:tc>
          <w:tcPr>
            <w:tcW w:w="0" w:type="pct"/>
            <w:tcBorders/>
            <w:tcMar>
              <w:top w:w="70" w:type="dxa"/>
              <w:left w:w="100" w:type="dxa"/>
              <w:bottom w:w="70" w:type="dxa"/>
              <w:right w:w="100" w:type="dxa"/>
            </w:tcMar>
            <w:vAlign w:val="center"/>
          </w:tcPr>
          <w:p w14:paraId="14D2B527">
            <w:pPr>
              <w:pStyle w:val="style0"/>
              <w:rPr/>
            </w:pPr>
            <w:r>
              <w:rPr>
                <w:b w:val="false"/>
                <w:bCs w:val="false"/>
                <w:sz w:val="19"/>
                <w:szCs w:val="19"/>
              </w:rPr>
              <w:t>Testing and fixes</w:t>
            </w:r>
          </w:p>
        </w:tc>
        <w:tc>
          <w:tcPr>
            <w:tcW w:w="0" w:type="pct"/>
            <w:tcBorders/>
            <w:tcMar>
              <w:top w:w="70" w:type="dxa"/>
              <w:left w:w="100" w:type="dxa"/>
              <w:bottom w:w="70" w:type="dxa"/>
              <w:right w:w="100" w:type="dxa"/>
            </w:tcMar>
            <w:vAlign w:val="center"/>
          </w:tcPr>
          <w:p w14:paraId="137A9FCE">
            <w:pPr>
              <w:pStyle w:val="style0"/>
              <w:rPr/>
            </w:pPr>
            <w:r>
              <w:rPr>
                <w:b w:val="false"/>
                <w:bCs w:val="false"/>
                <w:sz w:val="19"/>
                <w:szCs w:val="19"/>
              </w:rPr>
              <w:t>Week 3–4</w:t>
            </w:r>
          </w:p>
        </w:tc>
      </w:tr>
      <w:tr w14:paraId="2AF476F3">
        <w:tblPrEx/>
        <w:trPr/>
        <w:tc>
          <w:tcPr>
            <w:tcW w:w="0" w:type="pct"/>
            <w:tcBorders/>
            <w:shd w:val="clear" w:color="auto" w:fill="edf1f3"/>
            <w:tcMar>
              <w:top w:w="70" w:type="dxa"/>
              <w:left w:w="100" w:type="dxa"/>
              <w:bottom w:w="70" w:type="dxa"/>
              <w:right w:w="100" w:type="dxa"/>
            </w:tcMar>
            <w:vAlign w:val="center"/>
          </w:tcPr>
          <w:p w14:paraId="C0CFAE9E">
            <w:pPr>
              <w:pStyle w:val="style0"/>
              <w:rPr/>
            </w:pPr>
            <w:r>
              <w:rPr>
                <w:b w:val="false"/>
                <w:bCs w:val="false"/>
                <w:sz w:val="19"/>
                <w:szCs w:val="19"/>
              </w:rPr>
              <w:t>M6</w:t>
            </w:r>
          </w:p>
        </w:tc>
        <w:tc>
          <w:tcPr>
            <w:tcW w:w="0" w:type="pct"/>
            <w:tcBorders/>
            <w:shd w:val="clear" w:color="auto" w:fill="edf1f3"/>
            <w:tcMar>
              <w:top w:w="70" w:type="dxa"/>
              <w:left w:w="100" w:type="dxa"/>
              <w:bottom w:w="70" w:type="dxa"/>
              <w:right w:w="100" w:type="dxa"/>
            </w:tcMar>
            <w:vAlign w:val="center"/>
          </w:tcPr>
          <w:p w14:paraId="92520EE8">
            <w:pPr>
              <w:pStyle w:val="style0"/>
              <w:rPr/>
            </w:pPr>
            <w:r>
              <w:rPr>
                <w:b w:val="false"/>
                <w:bCs w:val="false"/>
                <w:sz w:val="19"/>
                <w:szCs w:val="19"/>
              </w:rPr>
              <w:t>Live</w:t>
            </w:r>
          </w:p>
        </w:tc>
        <w:tc>
          <w:tcPr>
            <w:tcW w:w="0" w:type="pct"/>
            <w:tcBorders/>
            <w:shd w:val="clear" w:color="auto" w:fill="edf1f3"/>
            <w:tcMar>
              <w:top w:w="70" w:type="dxa"/>
              <w:left w:w="100" w:type="dxa"/>
              <w:bottom w:w="70" w:type="dxa"/>
              <w:right w:w="100" w:type="dxa"/>
            </w:tcMar>
            <w:vAlign w:val="center"/>
          </w:tcPr>
          <w:p w14:paraId="4A2D67DF">
            <w:pPr>
              <w:pStyle w:val="style0"/>
              <w:rPr/>
            </w:pPr>
            <w:r>
              <w:rPr>
                <w:b w:val="false"/>
                <w:bCs w:val="false"/>
                <w:sz w:val="19"/>
                <w:szCs w:val="19"/>
              </w:rPr>
              <w:t>Week 4</w:t>
            </w:r>
          </w:p>
        </w:tc>
      </w:tr>
    </w:tbl>
    <w:p w14:paraId="31A8EF49">
      <w:pPr>
        <w:pStyle w:val="style0"/>
        <w:pBdr>
          <w:left w:val="single" w:sz="12" w:space="8" w:color="5c7a89"/>
        </w:pBdr>
        <w:spacing w:before="60" w:after="160"/>
        <w:ind w:left="200"/>
        <w:rPr/>
      </w:pPr>
      <w:r>
        <w:rPr>
          <w:i/>
          <w:iCs/>
          <w:color w:val="5b6670"/>
          <w:sz w:val="20"/>
          <w:szCs w:val="20"/>
        </w:rPr>
        <w:t>Given how tight the schedule is, we're asking for a 2-business-day turnaround on reviews — anything slower starts pushing the launch date.</w:t>
      </w:r>
    </w:p>
    <w:p w14:paraId="55E37AD9">
      <w:pPr>
        <w:pStyle w:val="style4097"/>
        <w:pBdr>
          <w:bottom w:val="single" w:sz="4" w:space="4" w:color="5c7a89"/>
        </w:pBdr>
        <w:spacing w:before="320" w:after="120"/>
        <w:rPr/>
      </w:pPr>
      <w:r>
        <w:rPr>
          <w:b/>
          <w:bCs/>
          <w:color w:val="26333f"/>
          <w:sz w:val="25"/>
          <w:szCs w:val="25"/>
        </w:rPr>
        <w:t>10. Baseline technical standards</w:t>
      </w:r>
    </w:p>
    <w:p w14:paraId="0956FE05">
      <w:pPr>
        <w:pStyle w:val="style0"/>
        <w:spacing w:after="140"/>
        <w:rPr/>
      </w:pPr>
      <w:r>
        <w:rPr>
          <w:sz w:val="21"/>
          <w:szCs w:val="21"/>
        </w:rPr>
        <w:t>The full non-functional requirements in the BRD are out of scope for this phase (see 4.3). What we will do:</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11"/>
        <w:gridCol w:w="1346"/>
      </w:tblGrid>
      <w:tr w14:paraId="F3C837D7">
        <w:trPr>
          <w:tblHeader/>
        </w:trPr>
        <w:tc>
          <w:tcPr>
            <w:tcW w:w="0" w:type="pct"/>
            <w:tcBorders/>
            <w:shd w:val="clear" w:color="auto" w:fill="3b4b57"/>
            <w:tcMar>
              <w:top w:w="70" w:type="dxa"/>
              <w:left w:w="100" w:type="dxa"/>
              <w:bottom w:w="70" w:type="dxa"/>
              <w:right w:w="100" w:type="dxa"/>
            </w:tcMar>
            <w:vAlign w:val="center"/>
          </w:tcPr>
          <w:p w14:paraId="7FAF25F1">
            <w:pPr>
              <w:pStyle w:val="style0"/>
              <w:rPr/>
            </w:pPr>
            <w:r>
              <w:rPr>
                <w:b/>
                <w:bCs/>
                <w:color w:val="ffffff"/>
                <w:sz w:val="18"/>
                <w:szCs w:val="18"/>
              </w:rPr>
              <w:t>Area</w:t>
            </w:r>
          </w:p>
        </w:tc>
        <w:tc>
          <w:tcPr>
            <w:tcW w:w="0" w:type="pct"/>
            <w:tcBorders/>
            <w:shd w:val="clear" w:color="auto" w:fill="3b4b57"/>
            <w:tcMar>
              <w:top w:w="70" w:type="dxa"/>
              <w:left w:w="100" w:type="dxa"/>
              <w:bottom w:w="70" w:type="dxa"/>
              <w:right w:w="100" w:type="dxa"/>
            </w:tcMar>
            <w:vAlign w:val="center"/>
          </w:tcPr>
          <w:p w14:paraId="25F4D9FD">
            <w:pPr>
              <w:pStyle w:val="style0"/>
              <w:rPr/>
            </w:pPr>
            <w:r>
              <w:rPr>
                <w:b/>
                <w:bCs/>
                <w:color w:val="ffffff"/>
                <w:sz w:val="18"/>
                <w:szCs w:val="18"/>
              </w:rPr>
              <w:t>What applies here</w:t>
            </w:r>
          </w:p>
        </w:tc>
      </w:tr>
      <w:tr w14:paraId="3EF05E20">
        <w:tblPrEx/>
        <w:trPr/>
        <w:tc>
          <w:tcPr>
            <w:tcW w:w="0" w:type="pct"/>
            <w:tcBorders/>
            <w:tcMar>
              <w:top w:w="70" w:type="dxa"/>
              <w:left w:w="100" w:type="dxa"/>
              <w:bottom w:w="70" w:type="dxa"/>
              <w:right w:w="100" w:type="dxa"/>
            </w:tcMar>
            <w:vAlign w:val="center"/>
          </w:tcPr>
          <w:p w14:paraId="DDBF6330">
            <w:pPr>
              <w:pStyle w:val="style0"/>
              <w:rPr/>
            </w:pPr>
            <w:r>
              <w:rPr>
                <w:b w:val="false"/>
                <w:bCs w:val="false"/>
                <w:sz w:val="19"/>
                <w:szCs w:val="19"/>
              </w:rPr>
              <w:t>Security</w:t>
            </w:r>
          </w:p>
        </w:tc>
        <w:tc>
          <w:tcPr>
            <w:tcW w:w="0" w:type="pct"/>
            <w:tcBorders/>
            <w:tcMar>
              <w:top w:w="70" w:type="dxa"/>
              <w:left w:w="100" w:type="dxa"/>
              <w:bottom w:w="70" w:type="dxa"/>
              <w:right w:w="100" w:type="dxa"/>
            </w:tcMar>
            <w:vAlign w:val="center"/>
          </w:tcPr>
          <w:p w14:paraId="C2DD0B1F">
            <w:pPr>
              <w:pStyle w:val="style0"/>
              <w:rPr/>
            </w:pPr>
            <w:r>
              <w:rPr>
                <w:b w:val="false"/>
                <w:bCs w:val="false"/>
                <w:sz w:val="19"/>
                <w:szCs w:val="19"/>
              </w:rPr>
              <w:t>HTTPS everywhere; OTP and passwords handled securely.</w:t>
            </w:r>
          </w:p>
        </w:tc>
      </w:tr>
      <w:tr w14:paraId="19E91F83">
        <w:tblPrEx/>
        <w:trPr/>
        <w:tc>
          <w:tcPr>
            <w:tcW w:w="0" w:type="pct"/>
            <w:tcBorders/>
            <w:shd w:val="clear" w:color="auto" w:fill="edf1f3"/>
            <w:tcMar>
              <w:top w:w="70" w:type="dxa"/>
              <w:left w:w="100" w:type="dxa"/>
              <w:bottom w:w="70" w:type="dxa"/>
              <w:right w:w="100" w:type="dxa"/>
            </w:tcMar>
            <w:vAlign w:val="center"/>
          </w:tcPr>
          <w:p w14:paraId="1EDC0300">
            <w:pPr>
              <w:pStyle w:val="style0"/>
              <w:rPr/>
            </w:pPr>
            <w:r>
              <w:rPr>
                <w:b w:val="false"/>
                <w:bCs w:val="false"/>
                <w:sz w:val="19"/>
                <w:szCs w:val="19"/>
              </w:rPr>
              <w:t>Access</w:t>
            </w:r>
          </w:p>
        </w:tc>
        <w:tc>
          <w:tcPr>
            <w:tcW w:w="0" w:type="pct"/>
            <w:tcBorders/>
            <w:shd w:val="clear" w:color="auto" w:fill="edf1f3"/>
            <w:tcMar>
              <w:top w:w="70" w:type="dxa"/>
              <w:left w:w="100" w:type="dxa"/>
              <w:bottom w:w="70" w:type="dxa"/>
              <w:right w:w="100" w:type="dxa"/>
            </w:tcMar>
            <w:vAlign w:val="center"/>
          </w:tcPr>
          <w:p w14:paraId="D57ABB8E">
            <w:pPr>
              <w:pStyle w:val="style0"/>
              <w:rPr/>
            </w:pPr>
            <w:r>
              <w:rPr>
                <w:b w:val="false"/>
                <w:bCs w:val="false"/>
                <w:sz w:val="19"/>
                <w:szCs w:val="19"/>
              </w:rPr>
              <w:t>Basic login required for booking and admin actions — not full role-based access.</w:t>
            </w:r>
          </w:p>
        </w:tc>
      </w:tr>
      <w:tr w14:paraId="74BD4F62">
        <w:tblPrEx/>
        <w:trPr/>
        <w:tc>
          <w:tcPr>
            <w:tcW w:w="0" w:type="pct"/>
            <w:tcBorders/>
            <w:tcMar>
              <w:top w:w="70" w:type="dxa"/>
              <w:left w:w="100" w:type="dxa"/>
              <w:bottom w:w="70" w:type="dxa"/>
              <w:right w:w="100" w:type="dxa"/>
            </w:tcMar>
            <w:vAlign w:val="center"/>
          </w:tcPr>
          <w:p w14:paraId="BCDAF8B4">
            <w:pPr>
              <w:pStyle w:val="style0"/>
              <w:rPr/>
            </w:pPr>
            <w:r>
              <w:rPr>
                <w:b w:val="false"/>
                <w:bCs w:val="false"/>
                <w:sz w:val="19"/>
                <w:szCs w:val="19"/>
              </w:rPr>
              <w:t>App security</w:t>
            </w:r>
          </w:p>
        </w:tc>
        <w:tc>
          <w:tcPr>
            <w:tcW w:w="0" w:type="pct"/>
            <w:tcBorders/>
            <w:tcMar>
              <w:top w:w="70" w:type="dxa"/>
              <w:left w:w="100" w:type="dxa"/>
              <w:bottom w:w="70" w:type="dxa"/>
              <w:right w:w="100" w:type="dxa"/>
            </w:tcMar>
            <w:vAlign w:val="center"/>
          </w:tcPr>
          <w:p w14:paraId="1B0C01AB">
            <w:pPr>
              <w:pStyle w:val="style0"/>
              <w:rPr/>
            </w:pPr>
            <w:r>
              <w:rPr>
                <w:b w:val="false"/>
                <w:bCs w:val="false"/>
                <w:sz w:val="19"/>
                <w:szCs w:val="19"/>
              </w:rPr>
              <w:t>Standard input validation and protection against common issues like XSS and SQL injection.</w:t>
            </w:r>
          </w:p>
        </w:tc>
      </w:tr>
      <w:tr w14:paraId="5EE07715">
        <w:tblPrEx/>
        <w:trPr/>
        <w:tc>
          <w:tcPr>
            <w:tcW w:w="0" w:type="pct"/>
            <w:tcBorders/>
            <w:shd w:val="clear" w:color="auto" w:fill="edf1f3"/>
            <w:tcMar>
              <w:top w:w="70" w:type="dxa"/>
              <w:left w:w="100" w:type="dxa"/>
              <w:bottom w:w="70" w:type="dxa"/>
              <w:right w:w="100" w:type="dxa"/>
            </w:tcMar>
            <w:vAlign w:val="center"/>
          </w:tcPr>
          <w:p w14:paraId="8C604A7B">
            <w:pPr>
              <w:pStyle w:val="style0"/>
              <w:rPr/>
            </w:pPr>
            <w:r>
              <w:rPr>
                <w:b w:val="false"/>
                <w:bCs w:val="false"/>
                <w:sz w:val="19"/>
                <w:szCs w:val="19"/>
              </w:rPr>
              <w:t>Uptime</w:t>
            </w:r>
          </w:p>
        </w:tc>
        <w:tc>
          <w:tcPr>
            <w:tcW w:w="0" w:type="pct"/>
            <w:tcBorders/>
            <w:shd w:val="clear" w:color="auto" w:fill="edf1f3"/>
            <w:tcMar>
              <w:top w:w="70" w:type="dxa"/>
              <w:left w:w="100" w:type="dxa"/>
              <w:bottom w:w="70" w:type="dxa"/>
              <w:right w:w="100" w:type="dxa"/>
            </w:tcMar>
            <w:vAlign w:val="center"/>
          </w:tcPr>
          <w:p w14:paraId="455E4447">
            <w:pPr>
              <w:pStyle w:val="style0"/>
              <w:rPr/>
            </w:pPr>
            <w:r>
              <w:rPr>
                <w:b w:val="false"/>
                <w:bCs w:val="false"/>
                <w:sz w:val="19"/>
                <w:szCs w:val="19"/>
              </w:rPr>
              <w:t>Best-effort — no formal SLA at this stage.</w:t>
            </w:r>
          </w:p>
        </w:tc>
      </w:tr>
      <w:tr w14:paraId="584A44D2">
        <w:tblPrEx/>
        <w:trPr/>
        <w:tc>
          <w:tcPr>
            <w:tcW w:w="0" w:type="pct"/>
            <w:tcBorders/>
            <w:tcMar>
              <w:top w:w="70" w:type="dxa"/>
              <w:left w:w="100" w:type="dxa"/>
              <w:bottom w:w="70" w:type="dxa"/>
              <w:right w:w="100" w:type="dxa"/>
            </w:tcMar>
            <w:vAlign w:val="center"/>
          </w:tcPr>
          <w:p w14:paraId="FDD627AC">
            <w:pPr>
              <w:pStyle w:val="style0"/>
              <w:rPr/>
            </w:pPr>
            <w:r>
              <w:rPr>
                <w:b w:val="false"/>
                <w:bCs w:val="false"/>
                <w:sz w:val="19"/>
                <w:szCs w:val="19"/>
              </w:rPr>
              <w:t>Monitoring</w:t>
            </w:r>
          </w:p>
        </w:tc>
        <w:tc>
          <w:tcPr>
            <w:tcW w:w="0" w:type="pct"/>
            <w:tcBorders/>
            <w:tcMar>
              <w:top w:w="70" w:type="dxa"/>
              <w:left w:w="100" w:type="dxa"/>
              <w:bottom w:w="70" w:type="dxa"/>
              <w:right w:w="100" w:type="dxa"/>
            </w:tcMar>
            <w:vAlign w:val="center"/>
          </w:tcPr>
          <w:p w14:paraId="375715E9">
            <w:pPr>
              <w:pStyle w:val="style0"/>
              <w:rPr/>
            </w:pPr>
            <w:r>
              <w:rPr>
                <w:b w:val="false"/>
                <w:bCs w:val="false"/>
                <w:sz w:val="19"/>
                <w:szCs w:val="19"/>
              </w:rPr>
              <w:t>Basic logging for debugging; nothing centralized yet.</w:t>
            </w:r>
          </w:p>
        </w:tc>
      </w:tr>
    </w:tbl>
    <w:p w14:paraId="865E00D1">
      <w:pPr>
        <w:pStyle w:val="style4097"/>
        <w:pBdr>
          <w:bottom w:val="single" w:sz="4" w:space="4" w:color="5c7a89"/>
        </w:pBdr>
        <w:spacing w:before="320" w:after="120"/>
        <w:rPr/>
      </w:pPr>
      <w:r>
        <w:rPr>
          <w:b/>
          <w:bCs/>
          <w:color w:val="26333f"/>
          <w:sz w:val="25"/>
          <w:szCs w:val="25"/>
        </w:rPr>
        <w:t>11. When we call it done</w:t>
      </w:r>
    </w:p>
    <w:p w14:paraId="F0E9286B">
      <w:pPr>
        <w:pStyle w:val="style0"/>
        <w:spacing w:after="140"/>
        <w:rPr/>
      </w:pPr>
      <w:r>
        <w:rPr>
          <w:sz w:val="21"/>
          <w:szCs w:val="21"/>
        </w:rPr>
        <w:t>The MVP is accepted once:</w:t>
      </w:r>
    </w:p>
    <w:p w14:paraId="5C1FE142">
      <w:pPr>
        <w:pStyle w:val="style179"/>
        <w:numPr>
          <w:ilvl w:val="0"/>
          <w:numId w:val="1"/>
        </w:numPr>
        <w:spacing w:after="55"/>
        <w:rPr/>
      </w:pPr>
      <w:r>
        <w:rPr>
          <w:sz w:val="21"/>
          <w:szCs w:val="21"/>
        </w:rPr>
        <w:t>A customer can register or log in with OTP.</w:t>
      </w:r>
    </w:p>
    <w:p w14:paraId="C0C914B1">
      <w:pPr>
        <w:pStyle w:val="style179"/>
        <w:numPr>
          <w:ilvl w:val="0"/>
          <w:numId w:val="1"/>
        </w:numPr>
        <w:spacing w:after="55"/>
        <w:rPr/>
      </w:pPr>
      <w:r>
        <w:rPr>
          <w:sz w:val="21"/>
          <w:szCs w:val="21"/>
        </w:rPr>
        <w:t>A customer can search services by category or keyword and see provider listings with price and availability.</w:t>
      </w:r>
    </w:p>
    <w:p w14:paraId="0FD0BB88">
      <w:pPr>
        <w:pStyle w:val="style179"/>
        <w:numPr>
          <w:ilvl w:val="0"/>
          <w:numId w:val="1"/>
        </w:numPr>
        <w:spacing w:after="55"/>
        <w:rPr/>
      </w:pPr>
      <w:r>
        <w:rPr>
          <w:sz w:val="21"/>
          <w:szCs w:val="21"/>
        </w:rPr>
        <w:t>A customer can complete a booking end-to-end — provider, service, confirm.</w:t>
      </w:r>
    </w:p>
    <w:p w14:paraId="D1A2A072">
      <w:pPr>
        <w:pStyle w:val="style179"/>
        <w:numPr>
          <w:ilvl w:val="0"/>
          <w:numId w:val="1"/>
        </w:numPr>
        <w:spacing w:after="55"/>
        <w:rPr/>
      </w:pPr>
      <w:r>
        <w:rPr>
          <w:sz w:val="21"/>
          <w:szCs w:val="21"/>
        </w:rPr>
        <w:t>Booking status moves correctly through Requested, Confirmed, Completed, and Cancelled.</w:t>
      </w:r>
    </w:p>
    <w:p w14:paraId="D1E5D975">
      <w:pPr>
        <w:pStyle w:val="style179"/>
        <w:numPr>
          <w:ilvl w:val="0"/>
          <w:numId w:val="1"/>
        </w:numPr>
        <w:spacing w:after="55"/>
        <w:rPr/>
      </w:pPr>
      <w:r>
        <w:rPr>
          <w:sz w:val="21"/>
          <w:szCs w:val="21"/>
        </w:rPr>
        <w:t>The admin view correctly shows current bookings and providers.</w:t>
      </w:r>
    </w:p>
    <w:p w14:paraId="4A82D252">
      <w:pPr>
        <w:pStyle w:val="style179"/>
        <w:numPr>
          <w:ilvl w:val="0"/>
          <w:numId w:val="1"/>
        </w:numPr>
        <w:spacing w:after="55"/>
        <w:rPr/>
      </w:pPr>
      <w:r>
        <w:rPr>
          <w:sz w:val="21"/>
          <w:szCs w:val="21"/>
        </w:rPr>
        <w:t>The app is live and reachable on the hosted environment.</w:t>
      </w:r>
    </w:p>
    <w:p w14:paraId="7BDF8AE0">
      <w:pPr>
        <w:pStyle w:val="style0"/>
        <w:spacing w:after="140"/>
        <w:rPr/>
      </w:pPr>
      <w:r>
        <w:rPr>
          <w:sz w:val="21"/>
          <w:szCs w:val="21"/>
        </w:rPr>
        <w:t>Harsh, as Product Owner, will give written sign-off (email is fine) once these are confirmed.</w:t>
      </w:r>
    </w:p>
    <w:p w14:paraId="ABCDC664">
      <w:pPr>
        <w:pStyle w:val="style4097"/>
        <w:pBdr>
          <w:bottom w:val="single" w:sz="4" w:space="4" w:color="5c7a89"/>
        </w:pBdr>
        <w:spacing w:before="320" w:after="120"/>
        <w:rPr/>
      </w:pPr>
      <w:r>
        <w:rPr>
          <w:b/>
          <w:bCs/>
          <w:color w:val="26333f"/>
          <w:sz w:val="25"/>
          <w:szCs w:val="25"/>
        </w:rPr>
        <w:t>12. Changes to scope</w:t>
      </w:r>
    </w:p>
    <w:p w14:paraId="9766E431">
      <w:pPr>
        <w:pStyle w:val="style0"/>
        <w:spacing w:after="140"/>
        <w:rPr/>
      </w:pPr>
      <w:r>
        <w:rPr>
          <w:sz w:val="21"/>
          <w:szCs w:val="21"/>
        </w:rPr>
        <w:t>If something comes up that adds to, removes, or changes what's listed in Section 4, it goes through a quick change request — what's changing, what it does to timeline and cost — and both sides sign off before work starts on it.</w:t>
      </w:r>
    </w:p>
    <w:p w14:paraId="37C9A582">
      <w:pPr>
        <w:pStyle w:val="style4097"/>
        <w:pBdr>
          <w:bottom w:val="single" w:sz="4" w:space="4" w:color="5c7a89"/>
        </w:pBdr>
        <w:spacing w:before="320" w:after="120"/>
        <w:rPr/>
      </w:pPr>
      <w:r>
        <w:rPr>
          <w:b/>
          <w:bCs/>
          <w:color w:val="26333f"/>
          <w:sz w:val="25"/>
          <w:szCs w:val="25"/>
        </w:rPr>
        <w:t>13. Assumptions</w:t>
      </w:r>
    </w:p>
    <w:p w14:paraId="610E6B95">
      <w:pPr>
        <w:pStyle w:val="style179"/>
        <w:numPr>
          <w:ilvl w:val="0"/>
          <w:numId w:val="1"/>
        </w:numPr>
        <w:spacing w:after="55"/>
        <w:rPr/>
      </w:pPr>
      <w:r>
        <w:rPr>
          <w:sz w:val="21"/>
          <w:szCs w:val="21"/>
        </w:rPr>
        <w:t>Providers added during the MVP are vetted manually by the team, not through a formal KYC process.</w:t>
      </w:r>
    </w:p>
    <w:p w14:paraId="B7160F80">
      <w:pPr>
        <w:pStyle w:val="style179"/>
        <w:numPr>
          <w:ilvl w:val="0"/>
          <w:numId w:val="1"/>
        </w:numPr>
        <w:spacing w:after="55"/>
        <w:rPr/>
      </w:pPr>
      <w:r>
        <w:rPr>
          <w:sz w:val="21"/>
          <w:szCs w:val="21"/>
        </w:rPr>
        <w:t>No real payments are collected in-app during this phase.</w:t>
      </w:r>
    </w:p>
    <w:p w14:paraId="16DD5898">
      <w:pPr>
        <w:pStyle w:val="style179"/>
        <w:numPr>
          <w:ilvl w:val="0"/>
          <w:numId w:val="1"/>
        </w:numPr>
        <w:spacing w:after="55"/>
        <w:rPr/>
      </w:pPr>
      <w:r>
        <w:rPr>
          <w:sz w:val="21"/>
          <w:szCs w:val="21"/>
        </w:rPr>
        <w:t>No real financial or government ID data will be entered into the system.</w:t>
      </w:r>
    </w:p>
    <w:p w14:paraId="A5A76B4B">
      <w:pPr>
        <w:pStyle w:val="style179"/>
        <w:numPr>
          <w:ilvl w:val="0"/>
          <w:numId w:val="1"/>
        </w:numPr>
        <w:spacing w:after="55"/>
        <w:rPr/>
      </w:pPr>
      <w:r>
        <w:rPr>
          <w:sz w:val="21"/>
          <w:szCs w:val="21"/>
        </w:rPr>
        <w:t>Harsh will keep to the 2-day review turnaround given how tight the schedule is.</w:t>
      </w:r>
    </w:p>
    <w:p w14:paraId="1BB47E11">
      <w:pPr>
        <w:pStyle w:val="style179"/>
        <w:numPr>
          <w:ilvl w:val="0"/>
          <w:numId w:val="1"/>
        </w:numPr>
        <w:spacing w:after="55"/>
        <w:rPr/>
      </w:pPr>
      <w:r>
        <w:rPr>
          <w:sz w:val="21"/>
          <w:szCs w:val="21"/>
        </w:rPr>
        <w:t>The full BRD scope is a separate engagement, to be scoped once this MVP is live and validated.</w:t>
      </w:r>
    </w:p>
    <w:p w14:paraId="94A57D01">
      <w:pPr>
        <w:pStyle w:val="style4097"/>
        <w:pBdr>
          <w:bottom w:val="single" w:sz="4" w:space="4" w:color="5c7a89"/>
        </w:pBdr>
        <w:spacing w:before="320" w:after="120"/>
        <w:rPr/>
      </w:pPr>
      <w:r>
        <w:rPr>
          <w:b/>
          <w:bCs/>
          <w:color w:val="26333f"/>
          <w:sz w:val="25"/>
          <w:szCs w:val="25"/>
        </w:rPr>
        <w:t>14. Constraints</w:t>
      </w:r>
    </w:p>
    <w:p w14:paraId="C8CDC1D2">
      <w:pPr>
        <w:pStyle w:val="style179"/>
        <w:numPr>
          <w:ilvl w:val="0"/>
          <w:numId w:val="1"/>
        </w:numPr>
        <w:spacing w:after="55"/>
        <w:rPr/>
      </w:pPr>
      <w:r>
        <w:rPr>
          <w:sz w:val="21"/>
          <w:szCs w:val="21"/>
        </w:rPr>
        <w:t>₹1,00,000 and four weeks is what defines the scope in Section 4 — nothing more fits in this round.</w:t>
      </w:r>
    </w:p>
    <w:p w14:paraId="6CA26884">
      <w:pPr>
        <w:pStyle w:val="style179"/>
        <w:numPr>
          <w:ilvl w:val="0"/>
          <w:numId w:val="1"/>
        </w:numPr>
        <w:spacing w:after="55"/>
        <w:rPr/>
      </w:pPr>
      <w:r>
        <w:rPr>
          <w:sz w:val="21"/>
          <w:szCs w:val="21"/>
        </w:rPr>
        <w:t>No sensitive financial or ID data should touch this build, given the lighter security setup.</w:t>
      </w:r>
    </w:p>
    <w:p w14:paraId="B57DF3BB">
      <w:pPr>
        <w:pStyle w:val="style179"/>
        <w:numPr>
          <w:ilvl w:val="0"/>
          <w:numId w:val="1"/>
        </w:numPr>
        <w:spacing w:after="55"/>
        <w:rPr/>
      </w:pPr>
      <w:r>
        <w:rPr>
          <w:sz w:val="21"/>
          <w:szCs w:val="21"/>
        </w:rPr>
        <w:t>Anything from the excluded list needs its own budget, timeline, and sign-off before it's added.</w:t>
      </w:r>
    </w:p>
    <w:p w14:paraId="7ACF53DD">
      <w:pPr>
        <w:pStyle w:val="style4097"/>
        <w:pBdr>
          <w:bottom w:val="single" w:sz="4" w:space="4" w:color="5c7a89"/>
        </w:pBdr>
        <w:spacing w:before="320" w:after="120"/>
        <w:rPr/>
      </w:pPr>
      <w:r>
        <w:rPr>
          <w:b/>
          <w:bCs/>
          <w:color w:val="26333f"/>
          <w:sz w:val="25"/>
          <w:szCs w:val="25"/>
        </w:rPr>
        <w:t>15. Risks</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59"/>
        <w:gridCol w:w="954"/>
        <w:gridCol w:w="1241"/>
      </w:tblGrid>
      <w:tr w14:paraId="C6FD6C1C">
        <w:trPr>
          <w:tblHeader/>
        </w:trPr>
        <w:tc>
          <w:tcPr>
            <w:tcW w:w="0" w:type="pct"/>
            <w:tcBorders/>
            <w:shd w:val="clear" w:color="auto" w:fill="3b4b57"/>
            <w:tcMar>
              <w:top w:w="70" w:type="dxa"/>
              <w:left w:w="100" w:type="dxa"/>
              <w:bottom w:w="70" w:type="dxa"/>
              <w:right w:w="100" w:type="dxa"/>
            </w:tcMar>
            <w:vAlign w:val="center"/>
          </w:tcPr>
          <w:p w14:paraId="FB0872B3">
            <w:pPr>
              <w:pStyle w:val="style0"/>
              <w:rPr/>
            </w:pPr>
            <w:r>
              <w:rPr>
                <w:b/>
                <w:bCs/>
                <w:color w:val="ffffff"/>
                <w:sz w:val="18"/>
                <w:szCs w:val="18"/>
              </w:rPr>
              <w:t>Risk</w:t>
            </w:r>
          </w:p>
        </w:tc>
        <w:tc>
          <w:tcPr>
            <w:tcW w:w="0" w:type="pct"/>
            <w:tcBorders/>
            <w:shd w:val="clear" w:color="auto" w:fill="3b4b57"/>
            <w:tcMar>
              <w:top w:w="70" w:type="dxa"/>
              <w:left w:w="100" w:type="dxa"/>
              <w:bottom w:w="70" w:type="dxa"/>
              <w:right w:w="100" w:type="dxa"/>
            </w:tcMar>
            <w:vAlign w:val="center"/>
          </w:tcPr>
          <w:p w14:paraId="3BF04A3F">
            <w:pPr>
              <w:pStyle w:val="style0"/>
              <w:rPr/>
            </w:pPr>
            <w:r>
              <w:rPr>
                <w:b/>
                <w:bCs/>
                <w:color w:val="ffffff"/>
                <w:sz w:val="18"/>
                <w:szCs w:val="18"/>
              </w:rPr>
              <w:t>Impact</w:t>
            </w:r>
          </w:p>
        </w:tc>
        <w:tc>
          <w:tcPr>
            <w:tcW w:w="0" w:type="pct"/>
            <w:tcBorders/>
            <w:shd w:val="clear" w:color="auto" w:fill="3b4b57"/>
            <w:tcMar>
              <w:top w:w="70" w:type="dxa"/>
              <w:left w:w="100" w:type="dxa"/>
              <w:bottom w:w="70" w:type="dxa"/>
              <w:right w:w="100" w:type="dxa"/>
            </w:tcMar>
            <w:vAlign w:val="center"/>
          </w:tcPr>
          <w:p w14:paraId="B255F82C">
            <w:pPr>
              <w:pStyle w:val="style0"/>
              <w:rPr/>
            </w:pPr>
            <w:r>
              <w:rPr>
                <w:b/>
                <w:bCs/>
                <w:color w:val="ffffff"/>
                <w:sz w:val="18"/>
                <w:szCs w:val="18"/>
              </w:rPr>
              <w:t>What we'll do about it</w:t>
            </w:r>
          </w:p>
        </w:tc>
      </w:tr>
      <w:tr w14:paraId="A908AF70">
        <w:tblPrEx/>
        <w:trPr/>
        <w:tc>
          <w:tcPr>
            <w:tcW w:w="0" w:type="pct"/>
            <w:tcBorders/>
            <w:tcMar>
              <w:top w:w="70" w:type="dxa"/>
              <w:left w:w="100" w:type="dxa"/>
              <w:bottom w:w="70" w:type="dxa"/>
              <w:right w:w="100" w:type="dxa"/>
            </w:tcMar>
            <w:vAlign w:val="center"/>
          </w:tcPr>
          <w:p w14:paraId="B5134D46">
            <w:pPr>
              <w:pStyle w:val="style0"/>
              <w:rPr/>
            </w:pPr>
            <w:r>
              <w:rPr>
                <w:b w:val="false"/>
                <w:bCs w:val="false"/>
                <w:sz w:val="19"/>
                <w:szCs w:val="19"/>
              </w:rPr>
              <w:t>No formal provider vetting in this MVP</w:t>
            </w:r>
          </w:p>
        </w:tc>
        <w:tc>
          <w:tcPr>
            <w:tcW w:w="0" w:type="pct"/>
            <w:tcBorders/>
            <w:tcMar>
              <w:top w:w="70" w:type="dxa"/>
              <w:left w:w="100" w:type="dxa"/>
              <w:bottom w:w="70" w:type="dxa"/>
              <w:right w:w="100" w:type="dxa"/>
            </w:tcMar>
            <w:vAlign w:val="center"/>
          </w:tcPr>
          <w:p w14:paraId="AB1C8456">
            <w:pPr>
              <w:pStyle w:val="style0"/>
              <w:rPr/>
            </w:pPr>
            <w:r>
              <w:rPr>
                <w:b w:val="false"/>
                <w:bCs w:val="false"/>
                <w:sz w:val="19"/>
                <w:szCs w:val="19"/>
              </w:rPr>
              <w:t>Medium</w:t>
            </w:r>
          </w:p>
        </w:tc>
        <w:tc>
          <w:tcPr>
            <w:tcW w:w="0" w:type="pct"/>
            <w:tcBorders/>
            <w:tcMar>
              <w:top w:w="70" w:type="dxa"/>
              <w:left w:w="100" w:type="dxa"/>
              <w:bottom w:w="70" w:type="dxa"/>
              <w:right w:w="100" w:type="dxa"/>
            </w:tcMar>
            <w:vAlign w:val="center"/>
          </w:tcPr>
          <w:p w14:paraId="19EE4614">
            <w:pPr>
              <w:pStyle w:val="style0"/>
              <w:rPr/>
            </w:pPr>
            <w:r>
              <w:rPr>
                <w:b w:val="false"/>
                <w:bCs w:val="false"/>
                <w:sz w:val="19"/>
                <w:szCs w:val="19"/>
              </w:rPr>
              <w:t>Team manually checks providers added during the build; proper KYC comes later.</w:t>
            </w:r>
          </w:p>
        </w:tc>
      </w:tr>
      <w:tr w14:paraId="CBA13D2B">
        <w:tblPrEx/>
        <w:trPr/>
        <w:tc>
          <w:tcPr>
            <w:tcW w:w="0" w:type="pct"/>
            <w:tcBorders/>
            <w:shd w:val="clear" w:color="auto" w:fill="edf1f3"/>
            <w:tcMar>
              <w:top w:w="70" w:type="dxa"/>
              <w:left w:w="100" w:type="dxa"/>
              <w:bottom w:w="70" w:type="dxa"/>
              <w:right w:w="100" w:type="dxa"/>
            </w:tcMar>
            <w:vAlign w:val="center"/>
          </w:tcPr>
          <w:p w14:paraId="BF9DE612">
            <w:pPr>
              <w:pStyle w:val="style0"/>
              <w:rPr/>
            </w:pPr>
            <w:r>
              <w:rPr>
                <w:b w:val="false"/>
                <w:bCs w:val="false"/>
                <w:sz w:val="19"/>
                <w:szCs w:val="19"/>
              </w:rPr>
              <w:t>Client expects full BRD functionality for this budget</w:t>
            </w:r>
          </w:p>
        </w:tc>
        <w:tc>
          <w:tcPr>
            <w:tcW w:w="0" w:type="pct"/>
            <w:tcBorders/>
            <w:shd w:val="clear" w:color="auto" w:fill="edf1f3"/>
            <w:tcMar>
              <w:top w:w="70" w:type="dxa"/>
              <w:left w:w="100" w:type="dxa"/>
              <w:bottom w:w="70" w:type="dxa"/>
              <w:right w:w="100" w:type="dxa"/>
            </w:tcMar>
            <w:vAlign w:val="center"/>
          </w:tcPr>
          <w:p w14:paraId="7B6DA819">
            <w:pPr>
              <w:pStyle w:val="style0"/>
              <w:rPr/>
            </w:pPr>
            <w:r>
              <w:rPr>
                <w:b w:val="false"/>
                <w:bCs w:val="false"/>
                <w:sz w:val="19"/>
                <w:szCs w:val="19"/>
              </w:rPr>
              <w:t>High</w:t>
            </w:r>
          </w:p>
        </w:tc>
        <w:tc>
          <w:tcPr>
            <w:tcW w:w="0" w:type="pct"/>
            <w:tcBorders/>
            <w:shd w:val="clear" w:color="auto" w:fill="edf1f3"/>
            <w:tcMar>
              <w:top w:w="70" w:type="dxa"/>
              <w:left w:w="100" w:type="dxa"/>
              <w:bottom w:w="70" w:type="dxa"/>
              <w:right w:w="100" w:type="dxa"/>
            </w:tcMar>
            <w:vAlign w:val="center"/>
          </w:tcPr>
          <w:p w14:paraId="4375A53D">
            <w:pPr>
              <w:pStyle w:val="style0"/>
              <w:rPr/>
            </w:pPr>
            <w:r>
              <w:rPr>
                <w:b w:val="false"/>
                <w:bCs w:val="false"/>
                <w:sz w:val="19"/>
                <w:szCs w:val="19"/>
              </w:rPr>
              <w:t>This document spells out what's excluded (Section 4.2) — worth confirming everyone's aligned before kickoff.</w:t>
            </w:r>
          </w:p>
        </w:tc>
      </w:tr>
      <w:tr w14:paraId="9F53B564">
        <w:tblPrEx/>
        <w:trPr/>
        <w:tc>
          <w:tcPr>
            <w:tcW w:w="0" w:type="pct"/>
            <w:tcBorders/>
            <w:tcMar>
              <w:top w:w="70" w:type="dxa"/>
              <w:left w:w="100" w:type="dxa"/>
              <w:bottom w:w="70" w:type="dxa"/>
              <w:right w:w="100" w:type="dxa"/>
            </w:tcMar>
            <w:vAlign w:val="center"/>
          </w:tcPr>
          <w:p w14:paraId="0FAC6701">
            <w:pPr>
              <w:pStyle w:val="style0"/>
              <w:rPr/>
            </w:pPr>
            <w:r>
              <w:rPr>
                <w:b w:val="false"/>
                <w:bCs w:val="false"/>
                <w:sz w:val="19"/>
                <w:szCs w:val="19"/>
              </w:rPr>
              <w:t>Four weeks is tight — little room for delay</w:t>
            </w:r>
          </w:p>
        </w:tc>
        <w:tc>
          <w:tcPr>
            <w:tcW w:w="0" w:type="pct"/>
            <w:tcBorders/>
            <w:tcMar>
              <w:top w:w="70" w:type="dxa"/>
              <w:left w:w="100" w:type="dxa"/>
              <w:bottom w:w="70" w:type="dxa"/>
              <w:right w:w="100" w:type="dxa"/>
            </w:tcMar>
            <w:vAlign w:val="center"/>
          </w:tcPr>
          <w:p w14:paraId="96EF6743">
            <w:pPr>
              <w:pStyle w:val="style0"/>
              <w:rPr/>
            </w:pPr>
            <w:r>
              <w:rPr>
                <w:b w:val="false"/>
                <w:bCs w:val="false"/>
                <w:sz w:val="19"/>
                <w:szCs w:val="19"/>
              </w:rPr>
              <w:t>Medium</w:t>
            </w:r>
          </w:p>
        </w:tc>
        <w:tc>
          <w:tcPr>
            <w:tcW w:w="0" w:type="pct"/>
            <w:tcBorders/>
            <w:tcMar>
              <w:top w:w="70" w:type="dxa"/>
              <w:left w:w="100" w:type="dxa"/>
              <w:bottom w:w="70" w:type="dxa"/>
              <w:right w:w="100" w:type="dxa"/>
            </w:tcMar>
            <w:vAlign w:val="center"/>
          </w:tcPr>
          <w:p w14:paraId="62CF5F1B">
            <w:pPr>
              <w:pStyle w:val="style0"/>
              <w:rPr/>
            </w:pPr>
            <w:r>
              <w:rPr>
                <w:b w:val="false"/>
                <w:bCs w:val="false"/>
                <w:sz w:val="19"/>
                <w:szCs w:val="19"/>
              </w:rPr>
              <w:t>Hold to the 2-day review turnaround and flag slippage early rather than late.</w:t>
            </w:r>
          </w:p>
        </w:tc>
      </w:tr>
      <w:tr w14:paraId="191EDA6B">
        <w:tblPrEx/>
        <w:trPr/>
        <w:tc>
          <w:tcPr>
            <w:tcW w:w="0" w:type="pct"/>
            <w:tcBorders/>
            <w:shd w:val="clear" w:color="auto" w:fill="edf1f3"/>
            <w:tcMar>
              <w:top w:w="70" w:type="dxa"/>
              <w:left w:w="100" w:type="dxa"/>
              <w:bottom w:w="70" w:type="dxa"/>
              <w:right w:w="100" w:type="dxa"/>
            </w:tcMar>
            <w:vAlign w:val="center"/>
          </w:tcPr>
          <w:p w14:paraId="D9154993">
            <w:pPr>
              <w:pStyle w:val="style0"/>
              <w:rPr/>
            </w:pPr>
            <w:r>
              <w:rPr>
                <w:b w:val="false"/>
                <w:bCs w:val="false"/>
                <w:sz w:val="19"/>
                <w:szCs w:val="19"/>
              </w:rPr>
              <w:t>Scope creep during the build</w:t>
            </w:r>
          </w:p>
        </w:tc>
        <w:tc>
          <w:tcPr>
            <w:tcW w:w="0" w:type="pct"/>
            <w:tcBorders/>
            <w:shd w:val="clear" w:color="auto" w:fill="edf1f3"/>
            <w:tcMar>
              <w:top w:w="70" w:type="dxa"/>
              <w:left w:w="100" w:type="dxa"/>
              <w:bottom w:w="70" w:type="dxa"/>
              <w:right w:w="100" w:type="dxa"/>
            </w:tcMar>
            <w:vAlign w:val="center"/>
          </w:tcPr>
          <w:p w14:paraId="B18D1EF0">
            <w:pPr>
              <w:pStyle w:val="style0"/>
              <w:rPr/>
            </w:pPr>
            <w:r>
              <w:rPr>
                <w:b w:val="false"/>
                <w:bCs w:val="false"/>
                <w:sz w:val="19"/>
                <w:szCs w:val="19"/>
              </w:rPr>
              <w:t>Medium</w:t>
            </w:r>
          </w:p>
        </w:tc>
        <w:tc>
          <w:tcPr>
            <w:tcW w:w="0" w:type="pct"/>
            <w:tcBorders/>
            <w:shd w:val="clear" w:color="auto" w:fill="edf1f3"/>
            <w:tcMar>
              <w:top w:w="70" w:type="dxa"/>
              <w:left w:w="100" w:type="dxa"/>
              <w:bottom w:w="70" w:type="dxa"/>
              <w:right w:w="100" w:type="dxa"/>
            </w:tcMar>
            <w:vAlign w:val="center"/>
          </w:tcPr>
          <w:p w14:paraId="4EA210AD">
            <w:pPr>
              <w:pStyle w:val="style0"/>
              <w:rPr/>
            </w:pPr>
            <w:r>
              <w:rPr>
                <w:b w:val="false"/>
                <w:bCs w:val="false"/>
                <w:sz w:val="19"/>
                <w:szCs w:val="19"/>
              </w:rPr>
              <w:t>New requests get logged as change requests, not folded in quietly.</w:t>
            </w:r>
          </w:p>
        </w:tc>
      </w:tr>
      <w:tr w14:paraId="72FA99F5">
        <w:tblPrEx/>
        <w:trPr/>
        <w:tc>
          <w:tcPr>
            <w:tcW w:w="0" w:type="pct"/>
            <w:tcBorders/>
            <w:tcMar>
              <w:top w:w="70" w:type="dxa"/>
              <w:left w:w="100" w:type="dxa"/>
              <w:bottom w:w="70" w:type="dxa"/>
              <w:right w:w="100" w:type="dxa"/>
            </w:tcMar>
            <w:vAlign w:val="center"/>
          </w:tcPr>
          <w:p w14:paraId="3F319C67">
            <w:pPr>
              <w:pStyle w:val="style0"/>
              <w:rPr/>
            </w:pPr>
            <w:r>
              <w:rPr>
                <w:b w:val="false"/>
                <w:bCs w:val="false"/>
                <w:sz w:val="19"/>
                <w:szCs w:val="19"/>
              </w:rPr>
              <w:t>Real financial or ID data ending up in an MVP that isn't built to protect it</w:t>
            </w:r>
          </w:p>
        </w:tc>
        <w:tc>
          <w:tcPr>
            <w:tcW w:w="0" w:type="pct"/>
            <w:tcBorders/>
            <w:tcMar>
              <w:top w:w="70" w:type="dxa"/>
              <w:left w:w="100" w:type="dxa"/>
              <w:bottom w:w="70" w:type="dxa"/>
              <w:right w:w="100" w:type="dxa"/>
            </w:tcMar>
            <w:vAlign w:val="center"/>
          </w:tcPr>
          <w:p w14:paraId="194DF002">
            <w:pPr>
              <w:pStyle w:val="style0"/>
              <w:rPr/>
            </w:pPr>
            <w:r>
              <w:rPr>
                <w:b w:val="false"/>
                <w:bCs w:val="false"/>
                <w:sz w:val="19"/>
                <w:szCs w:val="19"/>
              </w:rPr>
              <w:t>High</w:t>
            </w:r>
          </w:p>
        </w:tc>
        <w:tc>
          <w:tcPr>
            <w:tcW w:w="0" w:type="pct"/>
            <w:tcBorders/>
            <w:tcMar>
              <w:top w:w="70" w:type="dxa"/>
              <w:left w:w="100" w:type="dxa"/>
              <w:bottom w:w="70" w:type="dxa"/>
              <w:right w:w="100" w:type="dxa"/>
            </w:tcMar>
            <w:vAlign w:val="center"/>
          </w:tcPr>
          <w:p w14:paraId="D5549A9E">
            <w:pPr>
              <w:pStyle w:val="style0"/>
              <w:rPr/>
            </w:pPr>
            <w:r>
              <w:rPr>
                <w:b w:val="false"/>
                <w:bCs w:val="false"/>
                <w:sz w:val="19"/>
                <w:szCs w:val="19"/>
              </w:rPr>
              <w:t>No such data should be entered into the system during this phase; move to the full security build before handling anything sensitive.</w:t>
            </w:r>
          </w:p>
        </w:tc>
      </w:tr>
    </w:tbl>
    <w:p w14:paraId="874FF5D7">
      <w:pPr>
        <w:pStyle w:val="style4097"/>
        <w:pBdr>
          <w:bottom w:val="single" w:sz="4" w:space="4" w:color="5c7a89"/>
        </w:pBdr>
        <w:spacing w:before="320" w:after="120"/>
        <w:rPr/>
      </w:pPr>
      <w:r>
        <w:rPr>
          <w:b/>
          <w:bCs/>
          <w:color w:val="26333f"/>
          <w:sz w:val="25"/>
          <w:szCs w:val="25"/>
        </w:rPr>
        <w:t>16. Cost</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25"/>
        <w:gridCol w:w="1243"/>
      </w:tblGrid>
      <w:tr w14:paraId="94B621DF">
        <w:trPr>
          <w:tblHeader/>
        </w:trPr>
        <w:tc>
          <w:tcPr>
            <w:tcW w:w="0" w:type="pct"/>
            <w:tcBorders/>
            <w:shd w:val="clear" w:color="auto" w:fill="3b4b57"/>
            <w:tcMar>
              <w:top w:w="70" w:type="dxa"/>
              <w:left w:w="100" w:type="dxa"/>
              <w:bottom w:w="70" w:type="dxa"/>
              <w:right w:w="100" w:type="dxa"/>
            </w:tcMar>
            <w:vAlign w:val="center"/>
          </w:tcPr>
          <w:p w14:paraId="B89D5EAB">
            <w:pPr>
              <w:pStyle w:val="style0"/>
              <w:rPr/>
            </w:pPr>
            <w:r>
              <w:rPr>
                <w:b/>
                <w:bCs/>
                <w:color w:val="ffffff"/>
                <w:sz w:val="18"/>
                <w:szCs w:val="18"/>
              </w:rPr>
              <w:t>Item</w:t>
            </w:r>
          </w:p>
        </w:tc>
        <w:tc>
          <w:tcPr>
            <w:tcW w:w="0" w:type="pct"/>
            <w:tcBorders/>
            <w:shd w:val="clear" w:color="auto" w:fill="3b4b57"/>
            <w:tcMar>
              <w:top w:w="70" w:type="dxa"/>
              <w:left w:w="100" w:type="dxa"/>
              <w:bottom w:w="70" w:type="dxa"/>
              <w:right w:w="100" w:type="dxa"/>
            </w:tcMar>
            <w:vAlign w:val="center"/>
          </w:tcPr>
          <w:p w14:paraId="E2391E1E">
            <w:pPr>
              <w:pStyle w:val="style0"/>
              <w:rPr/>
            </w:pPr>
            <w:r>
              <w:rPr>
                <w:b/>
                <w:bCs/>
                <w:color w:val="ffffff"/>
                <w:sz w:val="18"/>
                <w:szCs w:val="18"/>
              </w:rPr>
              <w:t>Details</w:t>
            </w:r>
          </w:p>
        </w:tc>
      </w:tr>
      <w:tr w14:paraId="B0521B48">
        <w:tblPrEx/>
        <w:trPr/>
        <w:tc>
          <w:tcPr>
            <w:tcW w:w="0" w:type="pct"/>
            <w:tcBorders/>
            <w:tcMar>
              <w:top w:w="70" w:type="dxa"/>
              <w:left w:w="100" w:type="dxa"/>
              <w:bottom w:w="70" w:type="dxa"/>
              <w:right w:w="100" w:type="dxa"/>
            </w:tcMar>
            <w:vAlign w:val="center"/>
          </w:tcPr>
          <w:p w14:paraId="9C667148">
            <w:pPr>
              <w:pStyle w:val="style0"/>
              <w:rPr/>
            </w:pPr>
            <w:r>
              <w:rPr>
                <w:b w:val="false"/>
                <w:bCs w:val="false"/>
                <w:sz w:val="19"/>
                <w:szCs w:val="19"/>
              </w:rPr>
              <w:t>Type</w:t>
            </w:r>
          </w:p>
        </w:tc>
        <w:tc>
          <w:tcPr>
            <w:tcW w:w="0" w:type="pct"/>
            <w:tcBorders/>
            <w:tcMar>
              <w:top w:w="70" w:type="dxa"/>
              <w:left w:w="100" w:type="dxa"/>
              <w:bottom w:w="70" w:type="dxa"/>
              <w:right w:w="100" w:type="dxa"/>
            </w:tcMar>
            <w:vAlign w:val="center"/>
          </w:tcPr>
          <w:p w14:paraId="B6F7F7CE">
            <w:pPr>
              <w:pStyle w:val="style0"/>
              <w:rPr/>
            </w:pPr>
            <w:r>
              <w:rPr>
                <w:b w:val="false"/>
                <w:bCs w:val="false"/>
                <w:sz w:val="19"/>
                <w:szCs w:val="19"/>
              </w:rPr>
              <w:t>Fixed price</w:t>
            </w:r>
          </w:p>
        </w:tc>
      </w:tr>
      <w:tr w14:paraId="7086EB5E">
        <w:tblPrEx/>
        <w:trPr/>
        <w:tc>
          <w:tcPr>
            <w:tcW w:w="0" w:type="pct"/>
            <w:tcBorders/>
            <w:shd w:val="clear" w:color="auto" w:fill="edf1f3"/>
            <w:tcMar>
              <w:top w:w="70" w:type="dxa"/>
              <w:left w:w="100" w:type="dxa"/>
              <w:bottom w:w="70" w:type="dxa"/>
              <w:right w:w="100" w:type="dxa"/>
            </w:tcMar>
            <w:vAlign w:val="center"/>
          </w:tcPr>
          <w:p w14:paraId="7871FA0A">
            <w:pPr>
              <w:pStyle w:val="style0"/>
              <w:rPr/>
            </w:pPr>
            <w:r>
              <w:rPr>
                <w:b w:val="false"/>
                <w:bCs w:val="false"/>
                <w:sz w:val="19"/>
                <w:szCs w:val="19"/>
              </w:rPr>
              <w:t>Total</w:t>
            </w:r>
          </w:p>
        </w:tc>
        <w:tc>
          <w:tcPr>
            <w:tcW w:w="0" w:type="pct"/>
            <w:tcBorders/>
            <w:shd w:val="clear" w:color="auto" w:fill="edf1f3"/>
            <w:tcMar>
              <w:top w:w="70" w:type="dxa"/>
              <w:left w:w="100" w:type="dxa"/>
              <w:bottom w:w="70" w:type="dxa"/>
              <w:right w:w="100" w:type="dxa"/>
            </w:tcMar>
            <w:vAlign w:val="center"/>
          </w:tcPr>
          <w:p w14:paraId="B48007F9">
            <w:pPr>
              <w:pStyle w:val="style0"/>
              <w:rPr/>
            </w:pPr>
            <w:r>
              <w:rPr>
                <w:b w:val="false"/>
                <w:bCs w:val="false"/>
                <w:sz w:val="19"/>
                <w:szCs w:val="19"/>
              </w:rPr>
              <w:t>₹1,00,000, covering the scope in Section 4.1 only</w:t>
            </w:r>
          </w:p>
        </w:tc>
      </w:tr>
      <w:tr w14:paraId="2CEBBE49">
        <w:tblPrEx/>
        <w:trPr/>
        <w:tc>
          <w:tcPr>
            <w:tcW w:w="0" w:type="pct"/>
            <w:tcBorders/>
            <w:tcMar>
              <w:top w:w="70" w:type="dxa"/>
              <w:left w:w="100" w:type="dxa"/>
              <w:bottom w:w="70" w:type="dxa"/>
              <w:right w:w="100" w:type="dxa"/>
            </w:tcMar>
            <w:vAlign w:val="center"/>
          </w:tcPr>
          <w:p w14:paraId="9EDC31BE">
            <w:pPr>
              <w:pStyle w:val="style0"/>
              <w:rPr/>
            </w:pPr>
            <w:r>
              <w:rPr>
                <w:b w:val="false"/>
                <w:bCs w:val="false"/>
                <w:sz w:val="19"/>
                <w:szCs w:val="19"/>
              </w:rPr>
              <w:t>Payment</w:t>
            </w:r>
          </w:p>
        </w:tc>
        <w:tc>
          <w:tcPr>
            <w:tcW w:w="0" w:type="pct"/>
            <w:tcBorders/>
            <w:tcMar>
              <w:top w:w="70" w:type="dxa"/>
              <w:left w:w="100" w:type="dxa"/>
              <w:bottom w:w="70" w:type="dxa"/>
              <w:right w:w="100" w:type="dxa"/>
            </w:tcMar>
            <w:vAlign w:val="center"/>
          </w:tcPr>
          <w:p w14:paraId="E6D94A51">
            <w:pPr>
              <w:pStyle w:val="style0"/>
              <w:rPr/>
            </w:pPr>
            <w:r>
              <w:rPr>
                <w:b w:val="false"/>
                <w:bCs w:val="false"/>
                <w:sz w:val="19"/>
                <w:szCs w:val="19"/>
              </w:rPr>
              <w:t>Suggested: 40% at kickoff, 30% at Milestone M4, 30% at launch — to confirm</w:t>
            </w:r>
          </w:p>
        </w:tc>
      </w:tr>
      <w:tr w14:paraId="E004C85E">
        <w:tblPrEx/>
        <w:trPr/>
        <w:tc>
          <w:tcPr>
            <w:tcW w:w="0" w:type="pct"/>
            <w:tcBorders/>
            <w:shd w:val="clear" w:color="auto" w:fill="edf1f3"/>
            <w:tcMar>
              <w:top w:w="70" w:type="dxa"/>
              <w:left w:w="100" w:type="dxa"/>
              <w:bottom w:w="70" w:type="dxa"/>
              <w:right w:w="100" w:type="dxa"/>
            </w:tcMar>
            <w:vAlign w:val="center"/>
          </w:tcPr>
          <w:p w14:paraId="7C4D1D04">
            <w:pPr>
              <w:pStyle w:val="style0"/>
              <w:rPr/>
            </w:pPr>
            <w:r>
              <w:rPr>
                <w:b w:val="false"/>
                <w:bCs w:val="false"/>
                <w:sz w:val="19"/>
                <w:szCs w:val="19"/>
              </w:rPr>
              <w:t>Invoicing</w:t>
            </w:r>
          </w:p>
        </w:tc>
        <w:tc>
          <w:tcPr>
            <w:tcW w:w="0" w:type="pct"/>
            <w:tcBorders/>
            <w:shd w:val="clear" w:color="auto" w:fill="edf1f3"/>
            <w:tcMar>
              <w:top w:w="70" w:type="dxa"/>
              <w:left w:w="100" w:type="dxa"/>
              <w:bottom w:w="70" w:type="dxa"/>
              <w:right w:w="100" w:type="dxa"/>
            </w:tcMar>
            <w:vAlign w:val="center"/>
          </w:tcPr>
          <w:p w14:paraId="E239F049">
            <w:pPr>
              <w:pStyle w:val="style0"/>
              <w:rPr/>
            </w:pPr>
            <w:r>
              <w:rPr>
                <w:b w:val="false"/>
                <w:bCs w:val="false"/>
                <w:sz w:val="19"/>
                <w:szCs w:val="19"/>
              </w:rPr>
              <w:t>To confirm</w:t>
            </w:r>
          </w:p>
        </w:tc>
      </w:tr>
      <w:tr w14:paraId="11D5F13B">
        <w:tblPrEx/>
        <w:trPr/>
        <w:tc>
          <w:tcPr>
            <w:tcW w:w="0" w:type="pct"/>
            <w:tcBorders/>
            <w:tcMar>
              <w:top w:w="70" w:type="dxa"/>
              <w:left w:w="100" w:type="dxa"/>
              <w:bottom w:w="70" w:type="dxa"/>
              <w:right w:w="100" w:type="dxa"/>
            </w:tcMar>
            <w:vAlign w:val="center"/>
          </w:tcPr>
          <w:p w14:paraId="4E4A0EC4">
            <w:pPr>
              <w:pStyle w:val="style0"/>
              <w:rPr/>
            </w:pPr>
            <w:r>
              <w:rPr>
                <w:b w:val="false"/>
                <w:bCs w:val="false"/>
                <w:sz w:val="19"/>
                <w:szCs w:val="19"/>
              </w:rPr>
              <w:t>Hosting costs</w:t>
            </w:r>
          </w:p>
        </w:tc>
        <w:tc>
          <w:tcPr>
            <w:tcW w:w="0" w:type="pct"/>
            <w:tcBorders/>
            <w:tcMar>
              <w:top w:w="70" w:type="dxa"/>
              <w:left w:w="100" w:type="dxa"/>
              <w:bottom w:w="70" w:type="dxa"/>
              <w:right w:w="100" w:type="dxa"/>
            </w:tcMar>
            <w:vAlign w:val="center"/>
          </w:tcPr>
          <w:p w14:paraId="50B68FCB">
            <w:pPr>
              <w:pStyle w:val="style0"/>
              <w:rPr/>
            </w:pPr>
            <w:r>
              <w:rPr>
                <w:b w:val="false"/>
                <w:bCs w:val="false"/>
                <w:sz w:val="19"/>
                <w:szCs w:val="19"/>
              </w:rPr>
              <w:t>Billed separately if they go beyond free-tier limits</w:t>
            </w:r>
          </w:p>
        </w:tc>
      </w:tr>
      <w:tr w14:paraId="5478EEC0">
        <w:tblPrEx/>
        <w:trPr/>
        <w:tc>
          <w:tcPr>
            <w:tcW w:w="0" w:type="pct"/>
            <w:tcBorders/>
            <w:shd w:val="clear" w:color="auto" w:fill="edf1f3"/>
            <w:tcMar>
              <w:top w:w="70" w:type="dxa"/>
              <w:left w:w="100" w:type="dxa"/>
              <w:bottom w:w="70" w:type="dxa"/>
              <w:right w:w="100" w:type="dxa"/>
            </w:tcMar>
            <w:vAlign w:val="center"/>
          </w:tcPr>
          <w:p w14:paraId="64B8D0DA">
            <w:pPr>
              <w:pStyle w:val="style0"/>
              <w:rPr/>
            </w:pPr>
            <w:r>
              <w:rPr>
                <w:b w:val="false"/>
                <w:bCs w:val="false"/>
                <w:sz w:val="19"/>
                <w:szCs w:val="19"/>
              </w:rPr>
              <w:t>Post-launch support</w:t>
            </w:r>
          </w:p>
        </w:tc>
        <w:tc>
          <w:tcPr>
            <w:tcW w:w="0" w:type="pct"/>
            <w:tcBorders/>
            <w:shd w:val="clear" w:color="auto" w:fill="edf1f3"/>
            <w:tcMar>
              <w:top w:w="70" w:type="dxa"/>
              <w:left w:w="100" w:type="dxa"/>
              <w:bottom w:w="70" w:type="dxa"/>
              <w:right w:w="100" w:type="dxa"/>
            </w:tcMar>
            <w:vAlign w:val="center"/>
          </w:tcPr>
          <w:p w14:paraId="DFE422B7">
            <w:pPr>
              <w:pStyle w:val="style0"/>
              <w:rPr/>
            </w:pPr>
            <w:r>
              <w:rPr>
                <w:b w:val="false"/>
                <w:bCs w:val="false"/>
                <w:sz w:val="19"/>
                <w:szCs w:val="19"/>
              </w:rPr>
              <w:t>1–2 weeks of bug fixes suggested — to confirm</w:t>
            </w:r>
          </w:p>
        </w:tc>
      </w:tr>
    </w:tbl>
    <w:p w14:paraId="A84CB369">
      <w:pPr>
        <w:pStyle w:val="style0"/>
        <w:pBdr>
          <w:left w:val="single" w:sz="12" w:space="8" w:color="5c7a89"/>
        </w:pBdr>
        <w:spacing w:before="60" w:after="160"/>
        <w:ind w:left="200"/>
        <w:rPr/>
      </w:pPr>
      <w:r>
        <w:rPr>
          <w:i/>
          <w:iCs/>
          <w:color w:val="5b6670"/>
          <w:sz w:val="20"/>
          <w:szCs w:val="20"/>
        </w:rPr>
        <w:t>This budget covers Section 4.1 only. Anything from the excluded list needs its own budget and its own SOW.</w:t>
      </w:r>
    </w:p>
    <w:p w14:paraId="EA6FB7A2">
      <w:pPr>
        <w:pStyle w:val="style4097"/>
        <w:pBdr>
          <w:bottom w:val="single" w:sz="4" w:space="4" w:color="5c7a89"/>
        </w:pBdr>
        <w:spacing w:before="320" w:after="120"/>
        <w:rPr/>
      </w:pPr>
      <w:r>
        <w:rPr>
          <w:b/>
          <w:bCs/>
          <w:color w:val="26333f"/>
          <w:sz w:val="25"/>
          <w:szCs w:val="25"/>
        </w:rPr>
        <w:t>17. Confidentiality &amp; ownership</w:t>
      </w:r>
    </w:p>
    <w:p w14:paraId="1847355C">
      <w:pPr>
        <w:pStyle w:val="style179"/>
        <w:numPr>
          <w:ilvl w:val="0"/>
          <w:numId w:val="1"/>
        </w:numPr>
        <w:spacing w:after="55"/>
        <w:rPr/>
      </w:pPr>
      <w:r>
        <w:rPr>
          <w:sz w:val="21"/>
          <w:szCs w:val="21"/>
        </w:rPr>
        <w:t>Anything shared during this project — customer data, business details — stays within the team.</w:t>
      </w:r>
    </w:p>
    <w:p w14:paraId="B7297647">
      <w:pPr>
        <w:pStyle w:val="style179"/>
        <w:numPr>
          <w:ilvl w:val="0"/>
          <w:numId w:val="1"/>
        </w:numPr>
        <w:spacing w:after="55"/>
        <w:rPr/>
      </w:pPr>
      <w:r>
        <w:rPr>
          <w:sz w:val="21"/>
          <w:szCs w:val="21"/>
        </w:rPr>
        <w:t>As noted earlier, no real financial or ID data belongs in this build.</w:t>
      </w:r>
    </w:p>
    <w:p w14:paraId="47FEAB97">
      <w:pPr>
        <w:pStyle w:val="style179"/>
        <w:numPr>
          <w:ilvl w:val="0"/>
          <w:numId w:val="1"/>
        </w:numPr>
        <w:spacing w:after="55"/>
        <w:rPr/>
      </w:pPr>
      <w:r>
        <w:rPr>
          <w:sz w:val="21"/>
          <w:szCs w:val="21"/>
        </w:rPr>
        <w:t>Once payment is complete, the code and documentation produced here belong to the client, unless agreed otherwise in writing.</w:t>
      </w:r>
    </w:p>
    <w:p w14:paraId="253EE1AB">
      <w:pPr>
        <w:pStyle w:val="style4097"/>
        <w:pBdr>
          <w:bottom w:val="single" w:sz="4" w:space="4" w:color="5c7a89"/>
        </w:pBdr>
        <w:spacing w:before="320" w:after="120"/>
        <w:rPr/>
      </w:pPr>
      <w:r>
        <w:rPr>
          <w:b/>
          <w:bCs/>
          <w:color w:val="26333f"/>
          <w:sz w:val="25"/>
          <w:szCs w:val="25"/>
        </w:rPr>
        <w:t>18. Staying in touch</w:t>
      </w:r>
    </w:p>
    <w:p w14:paraId="97DEE6E1">
      <w:pPr>
        <w:pStyle w:val="style179"/>
        <w:numPr>
          <w:ilvl w:val="0"/>
          <w:numId w:val="1"/>
        </w:numPr>
        <w:spacing w:after="55"/>
        <w:rPr/>
      </w:pPr>
      <w:r>
        <w:rPr>
          <w:sz w:val="21"/>
          <w:szCs w:val="21"/>
        </w:rPr>
        <w:t>Harsh is the point of contact for anything project-related.</w:t>
      </w:r>
    </w:p>
    <w:p w14:paraId="13AEAE39">
      <w:pPr>
        <w:pStyle w:val="style179"/>
        <w:numPr>
          <w:ilvl w:val="0"/>
          <w:numId w:val="1"/>
        </w:numPr>
        <w:spacing w:after="55"/>
        <w:rPr/>
      </w:pPr>
      <w:r>
        <w:rPr>
          <w:sz w:val="21"/>
          <w:szCs w:val="21"/>
        </w:rPr>
        <w:t>Given the four-week window, quick check-ins every 2–3 days work better than a weekly cadence.</w:t>
      </w:r>
    </w:p>
    <w:p w14:paraId="A2B04A48">
      <w:pPr>
        <w:pStyle w:val="style179"/>
        <w:numPr>
          <w:ilvl w:val="0"/>
          <w:numId w:val="1"/>
        </w:numPr>
        <w:spacing w:after="55"/>
        <w:rPr/>
      </w:pPr>
      <w:r>
        <w:rPr>
          <w:sz w:val="21"/>
          <w:szCs w:val="21"/>
        </w:rPr>
        <w:t>Technical questions can go straight to Armaan.</w:t>
      </w:r>
    </w:p>
    <w:p w14:paraId="C1EE05E6">
      <w:pPr>
        <w:pStyle w:val="style4097"/>
        <w:pBdr>
          <w:bottom w:val="single" w:sz="4" w:space="4" w:color="5c7a89"/>
        </w:pBdr>
        <w:spacing w:before="320" w:after="120"/>
        <w:rPr/>
      </w:pPr>
      <w:r>
        <w:rPr>
          <w:b/>
          <w:bCs/>
          <w:color w:val="26333f"/>
          <w:sz w:val="25"/>
          <w:szCs w:val="25"/>
        </w:rPr>
        <w:t>19. Sign-off</w:t>
      </w:r>
    </w:p>
    <w:p w14:paraId="E3E08290">
      <w:pPr>
        <w:pStyle w:val="style0"/>
        <w:spacing w:after="140"/>
        <w:rPr/>
      </w:pPr>
      <w:r>
        <w:rPr>
          <w:sz w:val="21"/>
          <w:szCs w:val="21"/>
        </w:rPr>
        <w:t>Signing below means agreeing to the scope, deliverables, timeline, and cost in this document.</w:t>
      </w:r>
    </w:p>
    <w:tbl>
      <w:tblPr>
        <w:tblW w:w="1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11"/>
        <w:gridCol w:w="1041"/>
        <w:gridCol w:w="1339"/>
        <w:gridCol w:w="1051"/>
        <w:gridCol w:w="621"/>
      </w:tblGrid>
      <w:tr w14:paraId="8E131FE5">
        <w:trPr>
          <w:tblHeader/>
        </w:trPr>
        <w:tc>
          <w:tcPr>
            <w:tcW w:w="0" w:type="pct"/>
            <w:tcBorders/>
            <w:shd w:val="clear" w:color="auto" w:fill="3b4b57"/>
            <w:tcMar>
              <w:top w:w="70" w:type="dxa"/>
              <w:left w:w="100" w:type="dxa"/>
              <w:bottom w:w="70" w:type="dxa"/>
              <w:right w:w="100" w:type="dxa"/>
            </w:tcMar>
            <w:vAlign w:val="center"/>
          </w:tcPr>
          <w:p w14:paraId="141E3CE3">
            <w:pPr>
              <w:pStyle w:val="style0"/>
              <w:rPr/>
            </w:pPr>
            <w:r>
              <w:rPr>
                <w:b/>
                <w:bCs/>
                <w:color w:val="ffffff"/>
                <w:sz w:val="18"/>
                <w:szCs w:val="18"/>
              </w:rPr>
              <w:t>Name</w:t>
            </w:r>
          </w:p>
        </w:tc>
        <w:tc>
          <w:tcPr>
            <w:tcW w:w="0" w:type="pct"/>
            <w:tcBorders/>
            <w:shd w:val="clear" w:color="auto" w:fill="3b4b57"/>
            <w:tcMar>
              <w:top w:w="70" w:type="dxa"/>
              <w:left w:w="100" w:type="dxa"/>
              <w:bottom w:w="70" w:type="dxa"/>
              <w:right w:w="100" w:type="dxa"/>
            </w:tcMar>
            <w:vAlign w:val="center"/>
          </w:tcPr>
          <w:p w14:paraId="6694654D">
            <w:pPr>
              <w:pStyle w:val="style0"/>
              <w:rPr/>
            </w:pPr>
            <w:r>
              <w:rPr>
                <w:b/>
                <w:bCs/>
                <w:color w:val="ffffff"/>
                <w:sz w:val="18"/>
                <w:szCs w:val="18"/>
              </w:rPr>
              <w:t>Role</w:t>
            </w:r>
          </w:p>
        </w:tc>
        <w:tc>
          <w:tcPr>
            <w:tcW w:w="0" w:type="pct"/>
            <w:tcBorders/>
            <w:shd w:val="clear" w:color="auto" w:fill="3b4b57"/>
            <w:tcMar>
              <w:top w:w="70" w:type="dxa"/>
              <w:left w:w="100" w:type="dxa"/>
              <w:bottom w:w="70" w:type="dxa"/>
              <w:right w:w="100" w:type="dxa"/>
            </w:tcMar>
            <w:vAlign w:val="center"/>
          </w:tcPr>
          <w:p w14:paraId="06DD6350">
            <w:pPr>
              <w:pStyle w:val="style0"/>
              <w:rPr/>
            </w:pPr>
            <w:r>
              <w:rPr>
                <w:b/>
                <w:bCs/>
                <w:color w:val="ffffff"/>
                <w:sz w:val="18"/>
                <w:szCs w:val="18"/>
              </w:rPr>
              <w:t>Organization</w:t>
            </w:r>
          </w:p>
        </w:tc>
        <w:tc>
          <w:tcPr>
            <w:tcW w:w="0" w:type="pct"/>
            <w:tcBorders/>
            <w:shd w:val="clear" w:color="auto" w:fill="3b4b57"/>
            <w:tcMar>
              <w:top w:w="70" w:type="dxa"/>
              <w:left w:w="100" w:type="dxa"/>
              <w:bottom w:w="70" w:type="dxa"/>
              <w:right w:w="100" w:type="dxa"/>
            </w:tcMar>
            <w:vAlign w:val="center"/>
          </w:tcPr>
          <w:p w14:paraId="E3CC3FCE">
            <w:pPr>
              <w:pStyle w:val="style0"/>
              <w:rPr/>
            </w:pPr>
            <w:r>
              <w:rPr>
                <w:b/>
                <w:bCs/>
                <w:color w:val="ffffff"/>
                <w:sz w:val="18"/>
                <w:szCs w:val="18"/>
              </w:rPr>
              <w:t>Signature</w:t>
            </w:r>
          </w:p>
        </w:tc>
        <w:tc>
          <w:tcPr>
            <w:tcW w:w="0" w:type="pct"/>
            <w:tcBorders/>
            <w:shd w:val="clear" w:color="auto" w:fill="3b4b57"/>
            <w:tcMar>
              <w:top w:w="70" w:type="dxa"/>
              <w:left w:w="100" w:type="dxa"/>
              <w:bottom w:w="70" w:type="dxa"/>
              <w:right w:w="100" w:type="dxa"/>
            </w:tcMar>
            <w:vAlign w:val="center"/>
          </w:tcPr>
          <w:p w14:paraId="B64B002A">
            <w:pPr>
              <w:pStyle w:val="style0"/>
              <w:rPr/>
            </w:pPr>
            <w:r>
              <w:rPr>
                <w:b/>
                <w:bCs/>
                <w:color w:val="ffffff"/>
                <w:sz w:val="18"/>
                <w:szCs w:val="18"/>
              </w:rPr>
              <w:t>Date</w:t>
            </w:r>
          </w:p>
        </w:tc>
      </w:tr>
      <w:tr w14:paraId="1A3CDD50">
        <w:tblPrEx/>
        <w:trPr/>
        <w:tc>
          <w:tcPr>
            <w:tcW w:w="0" w:type="pct"/>
            <w:tcBorders/>
            <w:tcMar>
              <w:top w:w="70" w:type="dxa"/>
              <w:left w:w="100" w:type="dxa"/>
              <w:bottom w:w="70" w:type="dxa"/>
              <w:right w:w="100" w:type="dxa"/>
            </w:tcMar>
            <w:vAlign w:val="center"/>
          </w:tcPr>
          <w:p w14:paraId="99C1AB75">
            <w:pPr>
              <w:pStyle w:val="style0"/>
              <w:rPr/>
            </w:pPr>
            <w:r>
              <w:rPr>
                <w:b w:val="false"/>
                <w:bCs w:val="false"/>
                <w:sz w:val="19"/>
                <w:szCs w:val="19"/>
              </w:rPr>
              <w:t>[Client Name]</w:t>
            </w:r>
          </w:p>
        </w:tc>
        <w:tc>
          <w:tcPr>
            <w:tcW w:w="0" w:type="pct"/>
            <w:tcBorders/>
            <w:tcMar>
              <w:top w:w="70" w:type="dxa"/>
              <w:left w:w="100" w:type="dxa"/>
              <w:bottom w:w="70" w:type="dxa"/>
              <w:right w:w="100" w:type="dxa"/>
            </w:tcMar>
            <w:vAlign w:val="center"/>
          </w:tcPr>
          <w:p w14:paraId="8B85FF76">
            <w:pPr>
              <w:pStyle w:val="style0"/>
              <w:rPr/>
            </w:pPr>
            <w:r>
              <w:rPr>
                <w:b w:val="false"/>
                <w:bCs w:val="false"/>
                <w:sz w:val="19"/>
                <w:szCs w:val="19"/>
              </w:rPr>
              <w:t>Business / Product Owner</w:t>
            </w:r>
          </w:p>
        </w:tc>
        <w:tc>
          <w:tcPr>
            <w:tcW w:w="0" w:type="pct"/>
            <w:tcBorders/>
            <w:tcMar>
              <w:top w:w="70" w:type="dxa"/>
              <w:left w:w="100" w:type="dxa"/>
              <w:bottom w:w="70" w:type="dxa"/>
              <w:right w:w="100" w:type="dxa"/>
            </w:tcMar>
            <w:vAlign w:val="center"/>
          </w:tcPr>
          <w:p w14:paraId="1AA2CD17">
            <w:pPr>
              <w:pStyle w:val="style0"/>
              <w:rPr/>
            </w:pPr>
            <w:r>
              <w:rPr>
                <w:b w:val="false"/>
                <w:bCs w:val="false"/>
                <w:sz w:val="19"/>
                <w:szCs w:val="19"/>
              </w:rPr>
              <w:t>Client</w:t>
            </w:r>
          </w:p>
        </w:tc>
        <w:tc>
          <w:tcPr>
            <w:tcW w:w="0" w:type="pct"/>
            <w:tcBorders/>
            <w:tcMar>
              <w:top w:w="70" w:type="dxa"/>
              <w:left w:w="100" w:type="dxa"/>
              <w:bottom w:w="70" w:type="dxa"/>
              <w:right w:w="100" w:type="dxa"/>
            </w:tcMar>
            <w:vAlign w:val="center"/>
          </w:tcPr>
          <w:p w14:paraId="ACE96A17">
            <w:pPr>
              <w:pStyle w:val="style0"/>
              <w:rPr/>
            </w:pPr>
          </w:p>
        </w:tc>
        <w:tc>
          <w:tcPr>
            <w:tcW w:w="0" w:type="pct"/>
            <w:tcBorders/>
            <w:tcMar>
              <w:top w:w="70" w:type="dxa"/>
              <w:left w:w="100" w:type="dxa"/>
              <w:bottom w:w="70" w:type="dxa"/>
              <w:right w:w="100" w:type="dxa"/>
            </w:tcMar>
            <w:vAlign w:val="center"/>
          </w:tcPr>
          <w:p w14:paraId="19622DFC">
            <w:pPr>
              <w:pStyle w:val="style0"/>
              <w:rPr/>
            </w:pPr>
          </w:p>
        </w:tc>
      </w:tr>
      <w:tr w14:paraId="67EB25D5">
        <w:tblPrEx/>
        <w:trPr/>
        <w:tc>
          <w:tcPr>
            <w:tcW w:w="0" w:type="pct"/>
            <w:tcBorders/>
            <w:shd w:val="clear" w:color="auto" w:fill="edf1f3"/>
            <w:tcMar>
              <w:top w:w="70" w:type="dxa"/>
              <w:left w:w="100" w:type="dxa"/>
              <w:bottom w:w="70" w:type="dxa"/>
              <w:right w:w="100" w:type="dxa"/>
            </w:tcMar>
            <w:vAlign w:val="center"/>
          </w:tcPr>
          <w:p w14:paraId="934F4118">
            <w:pPr>
              <w:pStyle w:val="style0"/>
              <w:rPr/>
            </w:pPr>
            <w:r>
              <w:rPr>
                <w:b w:val="false"/>
                <w:bCs w:val="false"/>
                <w:sz w:val="19"/>
                <w:szCs w:val="19"/>
              </w:rPr>
              <w:t>Harsh Mishra</w:t>
            </w:r>
          </w:p>
        </w:tc>
        <w:tc>
          <w:tcPr>
            <w:tcW w:w="0" w:type="pct"/>
            <w:tcBorders/>
            <w:shd w:val="clear" w:color="auto" w:fill="edf1f3"/>
            <w:tcMar>
              <w:top w:w="70" w:type="dxa"/>
              <w:left w:w="100" w:type="dxa"/>
              <w:bottom w:w="70" w:type="dxa"/>
              <w:right w:w="100" w:type="dxa"/>
            </w:tcMar>
            <w:vAlign w:val="center"/>
          </w:tcPr>
          <w:p w14:paraId="F5859917">
            <w:pPr>
              <w:pStyle w:val="style0"/>
              <w:rPr/>
            </w:pPr>
            <w:r>
              <w:rPr>
                <w:b w:val="false"/>
                <w:bCs w:val="false"/>
                <w:sz w:val="19"/>
                <w:szCs w:val="19"/>
              </w:rPr>
              <w:t>Project Manager</w:t>
            </w:r>
          </w:p>
        </w:tc>
        <w:tc>
          <w:tcPr>
            <w:tcW w:w="0" w:type="pct"/>
            <w:tcBorders/>
            <w:shd w:val="clear" w:color="auto" w:fill="edf1f3"/>
            <w:tcMar>
              <w:top w:w="70" w:type="dxa"/>
              <w:left w:w="100" w:type="dxa"/>
              <w:bottom w:w="70" w:type="dxa"/>
              <w:right w:w="100" w:type="dxa"/>
            </w:tcMar>
            <w:vAlign w:val="center"/>
          </w:tcPr>
          <w:p w14:paraId="FA7711E0">
            <w:pPr>
              <w:pStyle w:val="style0"/>
              <w:rPr/>
            </w:pPr>
            <w:r>
              <w:rPr>
                <w:b w:val="false"/>
                <w:bCs w:val="false"/>
                <w:sz w:val="19"/>
                <w:szCs w:val="19"/>
              </w:rPr>
              <w:t>Delivery Team</w:t>
            </w:r>
          </w:p>
        </w:tc>
        <w:tc>
          <w:tcPr>
            <w:tcW w:w="0" w:type="pct"/>
            <w:tcBorders/>
            <w:shd w:val="clear" w:color="auto" w:fill="edf1f3"/>
            <w:tcMar>
              <w:top w:w="70" w:type="dxa"/>
              <w:left w:w="100" w:type="dxa"/>
              <w:bottom w:w="70" w:type="dxa"/>
              <w:right w:w="100" w:type="dxa"/>
            </w:tcMar>
            <w:vAlign w:val="center"/>
          </w:tcPr>
          <w:p w14:paraId="5704D9BA">
            <w:pPr>
              <w:pStyle w:val="style0"/>
              <w:rPr/>
            </w:pPr>
          </w:p>
        </w:tc>
        <w:tc>
          <w:tcPr>
            <w:tcW w:w="0" w:type="pct"/>
            <w:tcBorders/>
            <w:shd w:val="clear" w:color="auto" w:fill="edf1f3"/>
            <w:tcMar>
              <w:top w:w="70" w:type="dxa"/>
              <w:left w:w="100" w:type="dxa"/>
              <w:bottom w:w="70" w:type="dxa"/>
              <w:right w:w="100" w:type="dxa"/>
            </w:tcMar>
            <w:vAlign w:val="center"/>
          </w:tcPr>
          <w:p w14:paraId="94AAD387">
            <w:pPr>
              <w:pStyle w:val="style0"/>
              <w:rPr/>
            </w:pPr>
          </w:p>
        </w:tc>
      </w:tr>
      <w:tr w14:paraId="B96AA381">
        <w:tblPrEx/>
        <w:trPr/>
        <w:tc>
          <w:tcPr>
            <w:tcW w:w="0" w:type="pct"/>
            <w:tcBorders/>
            <w:tcMar>
              <w:top w:w="70" w:type="dxa"/>
              <w:left w:w="100" w:type="dxa"/>
              <w:bottom w:w="70" w:type="dxa"/>
              <w:right w:w="100" w:type="dxa"/>
            </w:tcMar>
            <w:vAlign w:val="center"/>
          </w:tcPr>
          <w:p w14:paraId="E0DB72FD">
            <w:pPr>
              <w:pStyle w:val="style0"/>
              <w:rPr/>
            </w:pPr>
            <w:r>
              <w:rPr>
                <w:b w:val="false"/>
                <w:bCs w:val="false"/>
                <w:sz w:val="19"/>
                <w:szCs w:val="19"/>
              </w:rPr>
              <w:t>Armaan Mulani</w:t>
            </w:r>
          </w:p>
        </w:tc>
        <w:tc>
          <w:tcPr>
            <w:tcW w:w="0" w:type="pct"/>
            <w:tcBorders/>
            <w:tcMar>
              <w:top w:w="70" w:type="dxa"/>
              <w:left w:w="100" w:type="dxa"/>
              <w:bottom w:w="70" w:type="dxa"/>
              <w:right w:w="100" w:type="dxa"/>
            </w:tcMar>
            <w:vAlign w:val="center"/>
          </w:tcPr>
          <w:p w14:paraId="3AED6FEE">
            <w:pPr>
              <w:pStyle w:val="style0"/>
              <w:rPr/>
            </w:pPr>
            <w:r>
              <w:rPr>
                <w:b w:val="false"/>
                <w:bCs w:val="false"/>
                <w:sz w:val="19"/>
                <w:szCs w:val="19"/>
              </w:rPr>
              <w:t>Tech Lead &amp; Solution Architect</w:t>
            </w:r>
          </w:p>
        </w:tc>
        <w:tc>
          <w:tcPr>
            <w:tcW w:w="0" w:type="pct"/>
            <w:tcBorders/>
            <w:tcMar>
              <w:top w:w="70" w:type="dxa"/>
              <w:left w:w="100" w:type="dxa"/>
              <w:bottom w:w="70" w:type="dxa"/>
              <w:right w:w="100" w:type="dxa"/>
            </w:tcMar>
            <w:vAlign w:val="center"/>
          </w:tcPr>
          <w:p w14:paraId="49CAACD4">
            <w:pPr>
              <w:pStyle w:val="style0"/>
              <w:rPr/>
            </w:pPr>
            <w:r>
              <w:rPr>
                <w:b w:val="false"/>
                <w:bCs w:val="false"/>
                <w:sz w:val="19"/>
                <w:szCs w:val="19"/>
              </w:rPr>
              <w:t>Delivery Team</w:t>
            </w:r>
          </w:p>
        </w:tc>
        <w:tc>
          <w:tcPr>
            <w:tcW w:w="0" w:type="pct"/>
            <w:tcBorders/>
            <w:tcMar>
              <w:top w:w="70" w:type="dxa"/>
              <w:left w:w="100" w:type="dxa"/>
              <w:bottom w:w="70" w:type="dxa"/>
              <w:right w:w="100" w:type="dxa"/>
            </w:tcMar>
            <w:vAlign w:val="center"/>
          </w:tcPr>
          <w:p w14:paraId="7438830E">
            <w:pPr>
              <w:pStyle w:val="style0"/>
              <w:rPr/>
            </w:pPr>
          </w:p>
        </w:tc>
        <w:tc>
          <w:tcPr>
            <w:tcW w:w="0" w:type="pct"/>
            <w:tcBorders/>
            <w:tcMar>
              <w:top w:w="70" w:type="dxa"/>
              <w:left w:w="100" w:type="dxa"/>
              <w:bottom w:w="70" w:type="dxa"/>
              <w:right w:w="100" w:type="dxa"/>
            </w:tcMar>
            <w:vAlign w:val="center"/>
          </w:tcPr>
          <w:p w14:paraId="0DEACDFA">
            <w:pPr>
              <w:pStyle w:val="style0"/>
              <w:rPr/>
            </w:pPr>
          </w:p>
        </w:tc>
      </w:tr>
    </w:tbl>
    <w:p w14:paraId="E9F6A592">
      <w:pPr>
        <w:rPr/>
      </w:pPr>
    </w:p>
    <w:sectPr>
      <w:pgSz w:w="12240" w:h="15840"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20" w:hanging="24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3f2542f3-ea80-4fda-bf70-f7b57662d214"/>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1811</Words>
  <Characters>9235</Characters>
  <Application>WPS Office</Application>
  <Paragraphs>292</Paragraphs>
  <CharactersWithSpaces>10814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2026-09-05T08:15:31Z</dcterms:created>
  <dc:creator>Un-named</dc:creator>
  <lastModifiedBy>Infinix X6851</lastModifiedBy>
  <dcterms:modified xsi:type="dcterms:W3CDTF">2026-09-05T08:15:31Z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05addc9ac0d24482978824f738720595_23</vt:lpwstr>
  </property>
</Properties>
</file>