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EC218" w14:textId="77777777" w:rsidR="00FE2522" w:rsidRDefault="00FE2522" w:rsidP="00FE2522">
      <w:pPr>
        <w:pStyle w:val="paragraph"/>
        <w:spacing w:before="0" w:beforeAutospacing="0" w:after="0" w:afterAutospacing="0"/>
        <w:textAlignment w:val="baseline"/>
        <w:rPr>
          <w:rFonts w:ascii="Segoe UI" w:hAnsi="Segoe UI" w:cs="Segoe UI"/>
          <w:sz w:val="18"/>
          <w:szCs w:val="18"/>
        </w:rPr>
      </w:pPr>
      <w:r>
        <w:rPr>
          <w:rStyle w:val="normaltextrun"/>
          <w:sz w:val="32"/>
          <w:szCs w:val="32"/>
        </w:rPr>
        <w:t xml:space="preserve">Leveraging Random Forest for Distributed Denial </w:t>
      </w:r>
      <w:proofErr w:type="gramStart"/>
      <w:r>
        <w:rPr>
          <w:rStyle w:val="normaltextrun"/>
          <w:sz w:val="32"/>
          <w:szCs w:val="32"/>
        </w:rPr>
        <w:t>Of</w:t>
      </w:r>
      <w:proofErr w:type="gramEnd"/>
      <w:r>
        <w:rPr>
          <w:rStyle w:val="normaltextrun"/>
          <w:sz w:val="32"/>
          <w:szCs w:val="32"/>
        </w:rPr>
        <w:t xml:space="preserve"> Service Attack </w:t>
      </w:r>
      <w:proofErr w:type="spellStart"/>
      <w:r>
        <w:rPr>
          <w:rStyle w:val="normaltextrun"/>
          <w:sz w:val="32"/>
          <w:szCs w:val="32"/>
        </w:rPr>
        <w:t>Defense</w:t>
      </w:r>
      <w:proofErr w:type="spellEnd"/>
      <w:r>
        <w:rPr>
          <w:rStyle w:val="normaltextrun"/>
          <w:sz w:val="32"/>
          <w:szCs w:val="32"/>
        </w:rPr>
        <w:t>.</w:t>
      </w:r>
      <w:r>
        <w:rPr>
          <w:rStyle w:val="eop"/>
          <w:sz w:val="32"/>
          <w:szCs w:val="32"/>
        </w:rPr>
        <w:t> </w:t>
      </w:r>
    </w:p>
    <w:p w14:paraId="325D974A" w14:textId="77777777" w:rsidR="00374473" w:rsidRDefault="00374473" w:rsidP="00FE2522">
      <w:pPr>
        <w:pStyle w:val="paragraph"/>
        <w:spacing w:before="0" w:beforeAutospacing="0" w:after="0" w:afterAutospacing="0"/>
        <w:jc w:val="both"/>
        <w:textAlignment w:val="baseline"/>
        <w:rPr>
          <w:rStyle w:val="normaltextrun"/>
        </w:rPr>
      </w:pPr>
    </w:p>
    <w:p w14:paraId="2FD8EC8F" w14:textId="4B81AD3A" w:rsidR="00FE2522" w:rsidRDefault="00FE2522" w:rsidP="00FE2522">
      <w:pPr>
        <w:pStyle w:val="paragraph"/>
        <w:spacing w:before="0" w:beforeAutospacing="0" w:after="0" w:afterAutospacing="0"/>
        <w:jc w:val="both"/>
        <w:textAlignment w:val="baseline"/>
        <w:rPr>
          <w:rFonts w:ascii="Segoe UI" w:hAnsi="Segoe UI" w:cs="Segoe UI"/>
          <w:sz w:val="18"/>
          <w:szCs w:val="18"/>
        </w:rPr>
      </w:pPr>
      <w:r>
        <w:rPr>
          <w:rStyle w:val="normaltextrun"/>
        </w:rPr>
        <w:t>Prof. R. Papalkar</w:t>
      </w:r>
      <w:r>
        <w:rPr>
          <w:rStyle w:val="eop"/>
        </w:rPr>
        <w:t> </w:t>
      </w:r>
    </w:p>
    <w:p w14:paraId="2FF7FB9F" w14:textId="77777777" w:rsidR="00FE2522" w:rsidRDefault="00FE2522" w:rsidP="00FE2522">
      <w:pPr>
        <w:pStyle w:val="paragraph"/>
        <w:spacing w:before="0" w:beforeAutospacing="0" w:after="0" w:afterAutospacing="0"/>
        <w:jc w:val="both"/>
        <w:textAlignment w:val="baseline"/>
        <w:rPr>
          <w:rFonts w:ascii="Segoe UI" w:hAnsi="Segoe UI" w:cs="Segoe UI"/>
          <w:i/>
          <w:iCs/>
          <w:sz w:val="18"/>
          <w:szCs w:val="18"/>
        </w:rPr>
      </w:pPr>
      <w:r>
        <w:rPr>
          <w:rStyle w:val="normaltextrun"/>
          <w:i/>
          <w:iCs/>
          <w:sz w:val="20"/>
        </w:rPr>
        <w:t>Vishwakarma University, Pune, Maharashtra, India</w:t>
      </w:r>
      <w:r>
        <w:rPr>
          <w:rStyle w:val="eop"/>
          <w:i/>
          <w:iCs/>
          <w:sz w:val="20"/>
        </w:rPr>
        <w:t> </w:t>
      </w:r>
    </w:p>
    <w:p w14:paraId="577CDC26" w14:textId="77777777" w:rsidR="00FE2522" w:rsidRDefault="00FE2522" w:rsidP="00FE2522">
      <w:pPr>
        <w:pStyle w:val="paragraph"/>
        <w:spacing w:before="0" w:beforeAutospacing="0" w:after="0" w:afterAutospacing="0"/>
        <w:jc w:val="both"/>
        <w:textAlignment w:val="baseline"/>
        <w:rPr>
          <w:rFonts w:ascii="Segoe UI" w:hAnsi="Segoe UI" w:cs="Segoe UI"/>
          <w:sz w:val="18"/>
          <w:szCs w:val="18"/>
        </w:rPr>
      </w:pPr>
      <w:r>
        <w:rPr>
          <w:rStyle w:val="normaltextrun"/>
        </w:rPr>
        <w:t>P. Ingle, A. Joshi, S. Shah, A. Sayyed</w:t>
      </w:r>
      <w:r>
        <w:rPr>
          <w:rStyle w:val="eop"/>
        </w:rPr>
        <w:t> </w:t>
      </w:r>
    </w:p>
    <w:p w14:paraId="6C169264" w14:textId="77777777" w:rsidR="00FE2522" w:rsidRDefault="00FE2522" w:rsidP="00FE2522">
      <w:pPr>
        <w:pStyle w:val="paragraph"/>
        <w:spacing w:before="0" w:beforeAutospacing="0" w:after="0" w:afterAutospacing="0"/>
        <w:jc w:val="both"/>
        <w:textAlignment w:val="baseline"/>
        <w:rPr>
          <w:rFonts w:ascii="Segoe UI" w:hAnsi="Segoe UI" w:cs="Segoe UI"/>
          <w:i/>
          <w:iCs/>
          <w:sz w:val="18"/>
          <w:szCs w:val="18"/>
        </w:rPr>
      </w:pPr>
      <w:r>
        <w:rPr>
          <w:rStyle w:val="normaltextrun"/>
          <w:i/>
          <w:iCs/>
          <w:sz w:val="20"/>
        </w:rPr>
        <w:t>Vishwakarma University, Pune, Maharashtra, India</w:t>
      </w:r>
      <w:r>
        <w:rPr>
          <w:rStyle w:val="eop"/>
          <w:i/>
          <w:iCs/>
          <w:sz w:val="20"/>
        </w:rPr>
        <w:t> </w:t>
      </w:r>
    </w:p>
    <w:p w14:paraId="38FAF872" w14:textId="77777777" w:rsidR="00FE2522" w:rsidRDefault="00FE2522" w:rsidP="00FE2522">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H. Mohite, P. </w:t>
      </w:r>
      <w:proofErr w:type="spellStart"/>
      <w:r>
        <w:rPr>
          <w:rStyle w:val="normaltextrun"/>
        </w:rPr>
        <w:t>Ghatkar</w:t>
      </w:r>
      <w:proofErr w:type="spellEnd"/>
      <w:r>
        <w:rPr>
          <w:rStyle w:val="normaltextrun"/>
        </w:rPr>
        <w:t xml:space="preserve">, M. </w:t>
      </w:r>
      <w:proofErr w:type="spellStart"/>
      <w:r>
        <w:rPr>
          <w:rStyle w:val="normaltextrun"/>
        </w:rPr>
        <w:t>Nasikwala</w:t>
      </w:r>
      <w:proofErr w:type="spellEnd"/>
      <w:r>
        <w:rPr>
          <w:rStyle w:val="normaltextrun"/>
        </w:rPr>
        <w:t> </w:t>
      </w:r>
      <w:r>
        <w:rPr>
          <w:rStyle w:val="eop"/>
        </w:rPr>
        <w:t> </w:t>
      </w:r>
    </w:p>
    <w:p w14:paraId="0F19F978" w14:textId="77777777" w:rsidR="00FE2522" w:rsidRDefault="00FE2522" w:rsidP="00FE2522">
      <w:pPr>
        <w:pStyle w:val="paragraph"/>
        <w:spacing w:before="0" w:beforeAutospacing="0" w:after="0" w:afterAutospacing="0"/>
        <w:jc w:val="both"/>
        <w:textAlignment w:val="baseline"/>
        <w:rPr>
          <w:rFonts w:ascii="Segoe UI" w:hAnsi="Segoe UI" w:cs="Segoe UI"/>
          <w:i/>
          <w:iCs/>
          <w:sz w:val="18"/>
          <w:szCs w:val="18"/>
        </w:rPr>
      </w:pPr>
      <w:r>
        <w:rPr>
          <w:rStyle w:val="normaltextrun"/>
          <w:i/>
          <w:iCs/>
          <w:sz w:val="20"/>
        </w:rPr>
        <w:t>Vishwakarma University, Pune, Maharashtra, India</w:t>
      </w:r>
      <w:r>
        <w:rPr>
          <w:rStyle w:val="eop"/>
          <w:i/>
          <w:iCs/>
          <w:sz w:val="20"/>
        </w:rPr>
        <w:t> </w:t>
      </w:r>
    </w:p>
    <w:p w14:paraId="72843214" w14:textId="77777777" w:rsidR="00FE2522" w:rsidRDefault="00FE2522" w:rsidP="00FE2522">
      <w:pPr>
        <w:pStyle w:val="paragraph"/>
        <w:spacing w:before="0" w:beforeAutospacing="0" w:after="0" w:afterAutospacing="0"/>
        <w:jc w:val="both"/>
        <w:textAlignment w:val="baseline"/>
        <w:rPr>
          <w:rFonts w:ascii="Segoe UI" w:hAnsi="Segoe UI" w:cs="Segoe UI"/>
          <w:i/>
          <w:iCs/>
          <w:sz w:val="18"/>
          <w:szCs w:val="18"/>
        </w:rPr>
      </w:pPr>
      <w:r>
        <w:rPr>
          <w:rStyle w:val="eop"/>
          <w:i/>
          <w:iCs/>
          <w:sz w:val="20"/>
        </w:rPr>
        <w:t> </w:t>
      </w:r>
    </w:p>
    <w:p w14:paraId="54822007" w14:textId="77777777" w:rsidR="00FE2522" w:rsidRDefault="00FE2522" w:rsidP="00FE2522">
      <w:pPr>
        <w:pStyle w:val="Affiliation"/>
      </w:pPr>
    </w:p>
    <w:p w14:paraId="1F1382A3" w14:textId="77777777" w:rsidR="00FE2522" w:rsidRDefault="00FE2522" w:rsidP="00FE2522">
      <w:pPr>
        <w:pStyle w:val="Author"/>
      </w:pPr>
    </w:p>
    <w:p w14:paraId="4A8775BD" w14:textId="77777777" w:rsidR="00FE2522" w:rsidRPr="00AE0511" w:rsidRDefault="00FE2522" w:rsidP="00FE2522">
      <w:pPr>
        <w:pStyle w:val="Affiliation"/>
      </w:pPr>
    </w:p>
    <w:p w14:paraId="49BCBB49" w14:textId="77777777" w:rsidR="00FE2522" w:rsidRPr="00D40BC0" w:rsidRDefault="00FE2522" w:rsidP="00FE2522">
      <w:pPr>
        <w:pStyle w:val="Abstract"/>
        <w:framePr w:w="8505" w:hSpace="170" w:wrap="around" w:vAnchor="margin"/>
      </w:pPr>
      <w:r>
        <w:t>ABSTRACT: This paper presents a holistic approach to defending against Distributed Denial of Service (DDoS) attacks in today's dynamic cybersecurity landscape. By integrating innovative techniques and robust security measures, organizations can effectively mitigate these threats. Our methodology involves simulating DDoS traffic using Internet of Things (IoT) devices, facilitating rigorous testing and analysis. Upon detecting anomalous traffic, the system swiftly initiates blacklisting protocols, mitigating the impact by temporarily blocking malicious IP addresses. Model Input Filtering ensures accurate analysis by focusing solely on legitimate traffic. Leveraging machine learning algorithms like random forest, our DoS Detection Model identifies subtle attack signatures, promptly signaling ongoing threats. Additionally, a fortified Secured Server Network responds swiftly to detected threats, safeguarding network data confidentiality. Through meticulous integration, organizations can enhance their vigilance against DDoS attacks, fortifying the resilience and reliability of their network infrastructure.</w:t>
      </w:r>
    </w:p>
    <w:p w14:paraId="6869C160" w14:textId="77777777" w:rsidR="00FE2522" w:rsidRPr="00D40BC0" w:rsidRDefault="00FE2522" w:rsidP="00FE2522">
      <w:pPr>
        <w:framePr w:w="8505" w:hSpace="170" w:wrap="around" w:hAnchor="margin" w:y="4083" w:anchorLock="1"/>
        <w:sectPr w:rsidR="00FE2522" w:rsidRPr="00D40BC0" w:rsidSect="004454B3">
          <w:headerReference w:type="even" r:id="rId7"/>
          <w:headerReference w:type="default" r:id="rId8"/>
          <w:footerReference w:type="even" r:id="rId9"/>
          <w:footerReference w:type="default" r:id="rId10"/>
          <w:headerReference w:type="first" r:id="rId11"/>
          <w:footerReference w:type="first" r:id="rId12"/>
          <w:pgSz w:w="11907" w:h="16840" w:code="9"/>
          <w:pgMar w:top="1418" w:right="1701" w:bottom="1701" w:left="1701" w:header="0" w:footer="0" w:gutter="0"/>
          <w:cols w:space="397"/>
          <w:noEndnote/>
        </w:sectPr>
      </w:pPr>
    </w:p>
    <w:p w14:paraId="3C2C6242" w14:textId="77777777" w:rsidR="00FE2522" w:rsidRPr="00D40BC0" w:rsidRDefault="00FE2522" w:rsidP="00FE2522">
      <w:pPr>
        <w:pStyle w:val="Heading1"/>
        <w:numPr>
          <w:ilvl w:val="0"/>
          <w:numId w:val="0"/>
        </w:numPr>
        <w:spacing w:before="0" w:after="0"/>
      </w:pPr>
      <w:r>
        <w:t xml:space="preserve">                                                                                                                                                                                                                      </w:t>
      </w:r>
    </w:p>
    <w:p w14:paraId="0DC2446A" w14:textId="77777777" w:rsidR="00FE2522" w:rsidRDefault="00FE2522" w:rsidP="00FE2522">
      <w:pPr>
        <w:jc w:val="left"/>
      </w:pPr>
      <w:r>
        <w:t xml:space="preserve">                                                                                                                                                      </w:t>
      </w:r>
      <w:proofErr w:type="gramStart"/>
      <w:r>
        <w:t>1  INTRODUCTION</w:t>
      </w:r>
      <w:proofErr w:type="gramEnd"/>
      <w:r>
        <w:t>:</w:t>
      </w:r>
    </w:p>
    <w:p w14:paraId="70C74017" w14:textId="77777777" w:rsidR="00FE2522" w:rsidRDefault="00FE2522" w:rsidP="00FE2522">
      <w:pPr>
        <w:jc w:val="left"/>
      </w:pPr>
    </w:p>
    <w:p w14:paraId="26F2AB4B" w14:textId="77777777" w:rsidR="00FE2522" w:rsidRDefault="00FE2522" w:rsidP="00FE2522">
      <w:pPr>
        <w:jc w:val="left"/>
      </w:pPr>
      <w:r>
        <w:t>In the ever-evolving landscape of cybersecurity, Distributed Denial of Service (DDoS) attacks continue to pose significant threats to the stability and integrity of network infrastructures. To combat these threats effectively, organizations must adopt a proactive defense strategy that encompasses various stages of detection and prevention. This paper proposes a comprehensive approach to mitigating DDoS attacks, leveraging a combination of innovative techniques and robust security measures. Beginning with the orchestrated creation of simulated traffic through Internet of Things (IoT) devices, our approach mirrors the behavior of real-world DDoS assaults, allowing for rigorous testing and analysis. Upon detection of anomalous traffic patterns, the system swiftly initiates blacklisting protocols, temporarily blocking identified malicious IP addresses to minimize the attack's impact. Subsequent Model Input Filtering ensures that subsequent analysis focuses exclusively on legitimate traffic, optimizing the accuracy of the detection model. Leveraging machine learning algorithms, such as random forest, our DoS Detection Model discerns subtle attack signatures, generating binary output to promptly signal the presence of ongoing threats. Finally, a fortified Secured Server Network acts as a central nerve center, equipped with robust security measures, to swiftly respond to detected threats and safeguard the confidentiality of network data. Through the meticulous integration of these components, organizations can attain a heightened level of vigilance against DDoS attacks, enhancing the resilience and reliability of their network infrastructure against potential compromises.</w:t>
      </w:r>
    </w:p>
    <w:p w14:paraId="46A21651" w14:textId="77777777" w:rsidR="00FE2522" w:rsidRPr="00D40BC0" w:rsidRDefault="00FE2522" w:rsidP="00FE2522">
      <w:pPr>
        <w:pStyle w:val="Tablerule"/>
      </w:pPr>
      <w:r w:rsidRPr="00D40BC0">
        <w:tab/>
      </w:r>
      <w:r w:rsidRPr="00D40BC0">
        <w:tab/>
      </w:r>
      <w:r w:rsidRPr="00D40BC0">
        <w:tab/>
      </w:r>
      <w:r w:rsidRPr="00D40BC0">
        <w:tab/>
      </w:r>
      <w:r w:rsidRPr="00D40BC0">
        <w:tab/>
      </w:r>
    </w:p>
    <w:p w14:paraId="533EF27F" w14:textId="77777777" w:rsidR="00FE2522" w:rsidRPr="00D40BC0" w:rsidRDefault="00FE2522" w:rsidP="00FE2522">
      <w:pPr>
        <w:pStyle w:val="Heading1"/>
        <w:numPr>
          <w:ilvl w:val="0"/>
          <w:numId w:val="2"/>
        </w:numPr>
      </w:pPr>
      <w:r>
        <w:lastRenderedPageBreak/>
        <w:t>Objective</w:t>
      </w:r>
    </w:p>
    <w:p w14:paraId="30E9E082" w14:textId="77777777" w:rsidR="00FE2522" w:rsidRPr="001050D3" w:rsidRDefault="00FE2522" w:rsidP="00FE2522">
      <w:pPr>
        <w:ind w:firstLine="0"/>
        <w:jc w:val="left"/>
      </w:pPr>
      <w:r>
        <w:t>This research paper aims to develop a comprehensive framework for detecting and mitigating Distributed Denial of Service (DDoS) attacks, focusing on the integration of IoT devices and machine learning algorithms. Firstly, the study will simulate DDoS attacks using IoT devices to generate controlled floods of traffic, replicating real-world scenarios for testing purposes. Then, a blacklisting mechanism will be implemented to identify and block malicious IP addresses responsible for the flood, mitigating further impact on the target network. Following this, a filtering mechanism will ensure that only legitimate traffic is processed by the detection model, enhancing its accuracy by reducing noise. The core of the framework involves designing and training a detection model, potentially utilizing machine learning algorithms like Random Forest, to identify patterns indicative of DDoS attacks within the incoming traffic. This model will generate alerts upon detecting suspicious activity, enabling timely response and mitigation efforts. Finally, a secure server network will be integrated to receive and process alerts, equipped with robust security measures to ensure the integrity and confidentiality of transmitted data. Through these objectives, the research seeks to contribute to more effective methods for enhancing the resilience and security of web services against DDoS attacks.</w:t>
      </w:r>
    </w:p>
    <w:p w14:paraId="1756A40F" w14:textId="77777777" w:rsidR="00FE2522" w:rsidRPr="001050D3" w:rsidRDefault="00FE2522" w:rsidP="00FE2522">
      <w:pPr>
        <w:jc w:val="left"/>
      </w:pPr>
    </w:p>
    <w:p w14:paraId="71E09C34" w14:textId="77777777" w:rsidR="00FE2522" w:rsidRPr="00D40BC0" w:rsidRDefault="00FE2522" w:rsidP="00FE2522">
      <w:pPr>
        <w:pStyle w:val="Heading1"/>
        <w:numPr>
          <w:ilvl w:val="0"/>
          <w:numId w:val="2"/>
        </w:numPr>
        <w:spacing w:after="0"/>
      </w:pPr>
      <w:r>
        <w:t>Methodology</w:t>
      </w:r>
    </w:p>
    <w:p w14:paraId="50D55F0A" w14:textId="77777777" w:rsidR="00FE2522" w:rsidRDefault="00FE2522" w:rsidP="00FE2522">
      <w:pPr>
        <w:pStyle w:val="Firstparagraph"/>
        <w:jc w:val="left"/>
      </w:pPr>
    </w:p>
    <w:p w14:paraId="24ABEF0E" w14:textId="77777777" w:rsidR="00FE2522" w:rsidRDefault="00FE2522" w:rsidP="00FE2522">
      <w:pPr>
        <w:pStyle w:val="Firstparagraph"/>
        <w:jc w:val="left"/>
        <w:rPr>
          <w:i/>
          <w:iCs/>
        </w:rPr>
      </w:pPr>
      <w:r w:rsidRPr="14A6A267">
        <w:rPr>
          <w:i/>
          <w:iCs/>
        </w:rPr>
        <w:t>3.1 Dataset Used</w:t>
      </w:r>
    </w:p>
    <w:p w14:paraId="72FEBF8E" w14:textId="77777777" w:rsidR="00FE2522" w:rsidRDefault="00FE2522" w:rsidP="00FE2522">
      <w:pPr>
        <w:jc w:val="left"/>
      </w:pPr>
    </w:p>
    <w:p w14:paraId="320791C3" w14:textId="77777777" w:rsidR="00FE2522" w:rsidRDefault="00FE2522" w:rsidP="00FE2522">
      <w:pPr>
        <w:spacing w:after="200" w:line="276" w:lineRule="auto"/>
        <w:jc w:val="left"/>
        <w:rPr>
          <w:sz w:val="16"/>
          <w:szCs w:val="16"/>
        </w:rPr>
      </w:pPr>
      <w:r w:rsidRPr="14A6A267">
        <w:rPr>
          <w:sz w:val="18"/>
          <w:szCs w:val="18"/>
        </w:rPr>
        <w:t>Table 1</w:t>
      </w:r>
      <w:r w:rsidRPr="14A6A267">
        <w:rPr>
          <w:b/>
          <w:bCs/>
          <w:sz w:val="18"/>
          <w:szCs w:val="18"/>
        </w:rPr>
        <w:t>.</w:t>
      </w:r>
      <w:r w:rsidRPr="14A6A267">
        <w:rPr>
          <w:sz w:val="18"/>
          <w:szCs w:val="18"/>
        </w:rPr>
        <w:t xml:space="preserve"> Comparative table for Bot-IoT dataset</w:t>
      </w:r>
    </w:p>
    <w:tbl>
      <w:tblPr>
        <w:tblStyle w:val="PlainTable2"/>
        <w:tblW w:w="0" w:type="auto"/>
        <w:tblLayout w:type="fixed"/>
        <w:tblLook w:val="04A0" w:firstRow="1" w:lastRow="0" w:firstColumn="1" w:lastColumn="0" w:noHBand="0" w:noVBand="1"/>
      </w:tblPr>
      <w:tblGrid>
        <w:gridCol w:w="1214"/>
        <w:gridCol w:w="1226"/>
        <w:gridCol w:w="1225"/>
        <w:gridCol w:w="1225"/>
        <w:gridCol w:w="1205"/>
        <w:gridCol w:w="1205"/>
        <w:gridCol w:w="1205"/>
      </w:tblGrid>
      <w:tr w:rsidR="00FE2522" w14:paraId="1A015693" w14:textId="77777777" w:rsidTr="004C6427">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14" w:type="dxa"/>
            <w:vMerge w:val="restart"/>
            <w:tcBorders>
              <w:top w:val="single" w:sz="8" w:space="0" w:color="7F7F7F" w:themeColor="text1" w:themeTint="80"/>
              <w:left w:val="nil"/>
              <w:bottom w:val="single" w:sz="12" w:space="0" w:color="auto"/>
              <w:right w:val="nil"/>
            </w:tcBorders>
            <w:tcMar>
              <w:left w:w="108" w:type="dxa"/>
              <w:right w:w="108" w:type="dxa"/>
            </w:tcMar>
          </w:tcPr>
          <w:p w14:paraId="676FC453" w14:textId="77777777" w:rsidR="00FE2522" w:rsidRDefault="00FE2522" w:rsidP="004C6427">
            <w:pPr>
              <w:spacing w:after="200" w:line="276" w:lineRule="auto"/>
              <w:jc w:val="center"/>
            </w:pPr>
            <w:r w:rsidRPr="6B426BAA">
              <w:rPr>
                <w:b w:val="0"/>
                <w:bCs w:val="0"/>
              </w:rPr>
              <w:t xml:space="preserve"> </w:t>
            </w:r>
          </w:p>
          <w:p w14:paraId="45CB7FDD" w14:textId="77777777" w:rsidR="00FE2522" w:rsidRDefault="00FE2522" w:rsidP="004C6427">
            <w:pPr>
              <w:spacing w:after="200" w:line="276" w:lineRule="auto"/>
              <w:jc w:val="center"/>
            </w:pPr>
            <w:r w:rsidRPr="6B426BAA">
              <w:rPr>
                <w:b w:val="0"/>
                <w:bCs w:val="0"/>
              </w:rPr>
              <w:t>Methods</w:t>
            </w:r>
          </w:p>
        </w:tc>
        <w:tc>
          <w:tcPr>
            <w:tcW w:w="7291" w:type="dxa"/>
            <w:gridSpan w:val="6"/>
            <w:tcBorders>
              <w:top w:val="single" w:sz="8" w:space="0" w:color="7F7F7F" w:themeColor="text1" w:themeTint="80"/>
              <w:left w:val="nil"/>
              <w:bottom w:val="single" w:sz="8" w:space="0" w:color="7F7F7F" w:themeColor="text1" w:themeTint="80"/>
              <w:right w:val="nil"/>
            </w:tcBorders>
            <w:tcMar>
              <w:left w:w="108" w:type="dxa"/>
              <w:right w:w="108" w:type="dxa"/>
            </w:tcMar>
          </w:tcPr>
          <w:p w14:paraId="2AF527B7" w14:textId="77777777" w:rsidR="00FE2522" w:rsidRDefault="00FE2522" w:rsidP="004C6427">
            <w:pPr>
              <w:spacing w:after="200" w:line="360" w:lineRule="auto"/>
              <w:jc w:val="center"/>
              <w:cnfStyle w:val="100000000000" w:firstRow="1" w:lastRow="0" w:firstColumn="0" w:lastColumn="0" w:oddVBand="0" w:evenVBand="0" w:oddHBand="0" w:evenHBand="0" w:firstRowFirstColumn="0" w:firstRowLastColumn="0" w:lastRowFirstColumn="0" w:lastRowLastColumn="0"/>
            </w:pPr>
            <w:r w:rsidRPr="6B426BAA">
              <w:rPr>
                <w:b w:val="0"/>
                <w:bCs w:val="0"/>
              </w:rPr>
              <w:t>Bot-IoT dataset</w:t>
            </w:r>
          </w:p>
        </w:tc>
      </w:tr>
      <w:tr w:rsidR="00FE2522" w14:paraId="350D79EA" w14:textId="77777777" w:rsidTr="004C64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4" w:type="dxa"/>
            <w:vMerge/>
            <w:vAlign w:val="center"/>
          </w:tcPr>
          <w:p w14:paraId="4062F6A1" w14:textId="77777777" w:rsidR="00FE2522" w:rsidRDefault="00FE2522" w:rsidP="004C6427"/>
        </w:tc>
        <w:tc>
          <w:tcPr>
            <w:tcW w:w="3676" w:type="dxa"/>
            <w:gridSpan w:val="3"/>
            <w:tcBorders>
              <w:top w:val="single" w:sz="8" w:space="0" w:color="7F7F7F" w:themeColor="text1" w:themeTint="80"/>
              <w:left w:val="nil"/>
              <w:bottom w:val="single" w:sz="12" w:space="0" w:color="auto"/>
              <w:right w:val="nil"/>
            </w:tcBorders>
            <w:tcMar>
              <w:left w:w="108" w:type="dxa"/>
              <w:right w:w="108" w:type="dxa"/>
            </w:tcMar>
          </w:tcPr>
          <w:p w14:paraId="2F9C654B"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t>80 % of training data</w:t>
            </w:r>
          </w:p>
        </w:tc>
        <w:tc>
          <w:tcPr>
            <w:tcW w:w="3615" w:type="dxa"/>
            <w:gridSpan w:val="3"/>
            <w:tcBorders>
              <w:top w:val="nil"/>
              <w:left w:val="nil"/>
              <w:bottom w:val="single" w:sz="12" w:space="0" w:color="auto"/>
              <w:right w:val="nil"/>
            </w:tcBorders>
            <w:tcMar>
              <w:left w:w="108" w:type="dxa"/>
              <w:right w:w="108" w:type="dxa"/>
            </w:tcMar>
          </w:tcPr>
          <w:p w14:paraId="1DE6A9D1"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t>K-fold 10</w:t>
            </w:r>
          </w:p>
        </w:tc>
      </w:tr>
      <w:tr w:rsidR="00FE2522" w14:paraId="4DCF3EB8" w14:textId="77777777" w:rsidTr="004C6427">
        <w:trPr>
          <w:trHeight w:val="300"/>
        </w:trPr>
        <w:tc>
          <w:tcPr>
            <w:cnfStyle w:val="001000000000" w:firstRow="0" w:lastRow="0" w:firstColumn="1" w:lastColumn="0" w:oddVBand="0" w:evenVBand="0" w:oddHBand="0" w:evenHBand="0" w:firstRowFirstColumn="0" w:firstRowLastColumn="0" w:lastRowFirstColumn="0" w:lastRowLastColumn="0"/>
            <w:tcW w:w="1214"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8" w:type="dxa"/>
              <w:right w:w="108" w:type="dxa"/>
            </w:tcMar>
          </w:tcPr>
          <w:p w14:paraId="610AC851" w14:textId="77777777" w:rsidR="00FE2522" w:rsidRDefault="00FE2522" w:rsidP="004C6427">
            <w:pPr>
              <w:spacing w:line="276" w:lineRule="auto"/>
              <w:jc w:val="center"/>
            </w:pPr>
            <w:r w:rsidRPr="14A6A267">
              <w:rPr>
                <w:b w:val="0"/>
                <w:bCs w:val="0"/>
              </w:rPr>
              <w:t>SVM</w:t>
            </w:r>
          </w:p>
        </w:tc>
        <w:tc>
          <w:tcPr>
            <w:tcW w:w="1226" w:type="dxa"/>
            <w:tcBorders>
              <w:top w:val="single" w:sz="12" w:space="0" w:color="auto"/>
              <w:left w:val="none" w:sz="12" w:space="0" w:color="000000" w:themeColor="text1"/>
              <w:bottom w:val="none" w:sz="12" w:space="0" w:color="000000" w:themeColor="text1"/>
              <w:right w:val="none" w:sz="12" w:space="0" w:color="000000" w:themeColor="text1"/>
            </w:tcBorders>
            <w:tcMar>
              <w:left w:w="108" w:type="dxa"/>
              <w:right w:w="108" w:type="dxa"/>
            </w:tcMar>
          </w:tcPr>
          <w:p w14:paraId="75B3C21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60.760</w:t>
            </w:r>
          </w:p>
        </w:tc>
        <w:tc>
          <w:tcPr>
            <w:tcW w:w="1225"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8" w:type="dxa"/>
              <w:right w:w="108" w:type="dxa"/>
            </w:tcMar>
          </w:tcPr>
          <w:p w14:paraId="0C2AA197"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61.538</w:t>
            </w:r>
          </w:p>
        </w:tc>
        <w:tc>
          <w:tcPr>
            <w:tcW w:w="1225"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8" w:type="dxa"/>
              <w:right w:w="108" w:type="dxa"/>
            </w:tcMar>
          </w:tcPr>
          <w:p w14:paraId="5A85C33E"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60.494</w:t>
            </w:r>
          </w:p>
        </w:tc>
        <w:tc>
          <w:tcPr>
            <w:tcW w:w="1205" w:type="dxa"/>
            <w:tcBorders>
              <w:top w:val="single" w:sz="12" w:space="0" w:color="auto"/>
              <w:left w:val="none" w:sz="12" w:space="0" w:color="000000" w:themeColor="text1"/>
              <w:bottom w:val="none" w:sz="12" w:space="0" w:color="000000" w:themeColor="text1"/>
              <w:right w:val="none" w:sz="12" w:space="0" w:color="000000" w:themeColor="text1"/>
            </w:tcBorders>
            <w:tcMar>
              <w:left w:w="108" w:type="dxa"/>
              <w:right w:w="108" w:type="dxa"/>
            </w:tcMar>
          </w:tcPr>
          <w:p w14:paraId="58A013DD"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70.868</w:t>
            </w:r>
          </w:p>
        </w:tc>
        <w:tc>
          <w:tcPr>
            <w:tcW w:w="1205"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8" w:type="dxa"/>
              <w:right w:w="108" w:type="dxa"/>
            </w:tcMar>
          </w:tcPr>
          <w:p w14:paraId="1026E62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71.728</w:t>
            </w:r>
          </w:p>
        </w:tc>
        <w:tc>
          <w:tcPr>
            <w:tcW w:w="1205"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8" w:type="dxa"/>
              <w:right w:w="108" w:type="dxa"/>
            </w:tcMar>
          </w:tcPr>
          <w:p w14:paraId="3F58D424"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71.286</w:t>
            </w:r>
          </w:p>
        </w:tc>
      </w:tr>
      <w:tr w:rsidR="00FE2522" w14:paraId="7ECA9130" w14:textId="77777777" w:rsidTr="004C6427">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2A60A4A" w14:textId="77777777" w:rsidR="00FE2522" w:rsidRDefault="00FE2522" w:rsidP="004C6427">
            <w:pPr>
              <w:spacing w:line="276" w:lineRule="auto"/>
              <w:jc w:val="center"/>
            </w:pPr>
            <w:r w:rsidRPr="14A6A267">
              <w:rPr>
                <w:b w:val="0"/>
                <w:bCs w:val="0"/>
              </w:rPr>
              <w:t>SAE-LSTM</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6E56C82"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60.936</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A8096D6"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61.715</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722760E3"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60.670</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6BBCD9CD"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71.005</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6FC78B2"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71.866</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EAF1BCE"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71.423</w:t>
            </w:r>
          </w:p>
        </w:tc>
      </w:tr>
      <w:tr w:rsidR="00FE2522" w14:paraId="3D33D0B4" w14:textId="77777777" w:rsidTr="004C6427">
        <w:trPr>
          <w:trHeight w:val="300"/>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C30D918" w14:textId="77777777" w:rsidR="00FE2522" w:rsidRDefault="00FE2522" w:rsidP="004C6427">
            <w:pPr>
              <w:spacing w:line="276" w:lineRule="auto"/>
              <w:jc w:val="center"/>
            </w:pPr>
            <w:r w:rsidRPr="14A6A267">
              <w:rPr>
                <w:b w:val="0"/>
                <w:bCs w:val="0"/>
              </w:rPr>
              <w:t>KNN</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90554E5"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67.108</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1C96B39B"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67.886</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C74EFB0"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66.842</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D1C1D7D"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71.301</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AA40321"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72.161</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118BDBD"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71.719</w:t>
            </w:r>
          </w:p>
        </w:tc>
      </w:tr>
      <w:tr w:rsidR="00FE2522" w14:paraId="4A0E96DD" w14:textId="77777777" w:rsidTr="004C642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7DA6974" w14:textId="77777777" w:rsidR="00FE2522" w:rsidRDefault="00FE2522" w:rsidP="004C6427">
            <w:pPr>
              <w:spacing w:line="276" w:lineRule="auto"/>
              <w:jc w:val="center"/>
            </w:pPr>
            <w:r w:rsidRPr="14A6A267">
              <w:rPr>
                <w:b w:val="0"/>
                <w:bCs w:val="0"/>
              </w:rPr>
              <w:t>Light GBM</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610C355F"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70.011</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C685A20"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70.790</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A564495"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69.745</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A91E27F"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71.847</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69AAD7DC"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72.707</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A27F5D3"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72.265</w:t>
            </w:r>
          </w:p>
        </w:tc>
      </w:tr>
      <w:tr w:rsidR="00FE2522" w14:paraId="04B83D4A" w14:textId="77777777" w:rsidTr="004C6427">
        <w:trPr>
          <w:trHeight w:val="300"/>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CBE75C0" w14:textId="77777777" w:rsidR="00FE2522" w:rsidRDefault="00FE2522" w:rsidP="004C6427">
            <w:pPr>
              <w:spacing w:line="276" w:lineRule="auto"/>
              <w:jc w:val="center"/>
            </w:pPr>
            <w:r w:rsidRPr="14A6A267">
              <w:rPr>
                <w:b w:val="0"/>
                <w:bCs w:val="0"/>
              </w:rPr>
              <w:t>Deep NN</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1B81BF2"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70.970</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F14DA8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71.749</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E10F936"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70.704</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C3569F9"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72.500</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82F8219"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73.360</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19ED0A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72.918</w:t>
            </w:r>
          </w:p>
        </w:tc>
      </w:tr>
      <w:tr w:rsidR="00FE2522" w14:paraId="1F497BA6" w14:textId="77777777" w:rsidTr="004C6427">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B13FB74" w14:textId="77777777" w:rsidR="00FE2522" w:rsidRDefault="00FE2522" w:rsidP="004C6427">
            <w:pPr>
              <w:spacing w:line="276" w:lineRule="auto"/>
              <w:jc w:val="center"/>
            </w:pPr>
            <w:r w:rsidRPr="14A6A267">
              <w:rPr>
                <w:b w:val="0"/>
                <w:bCs w:val="0"/>
              </w:rPr>
              <w:t>Cloud-based DL</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8A25421"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71.290</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682384D"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72.069</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CB6B24D"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71.024</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7E2DCA8"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83.588</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5380B13"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84.448</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20D9CE9"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84.006</w:t>
            </w:r>
          </w:p>
        </w:tc>
      </w:tr>
      <w:tr w:rsidR="00FE2522" w14:paraId="6108AE7F" w14:textId="77777777" w:rsidTr="004C6427">
        <w:trPr>
          <w:trHeight w:val="852"/>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1196373" w14:textId="77777777" w:rsidR="00FE2522" w:rsidRDefault="00FE2522" w:rsidP="004C6427">
            <w:pPr>
              <w:spacing w:line="276" w:lineRule="auto"/>
              <w:jc w:val="center"/>
            </w:pPr>
            <w:r w:rsidRPr="14A6A267">
              <w:rPr>
                <w:b w:val="0"/>
                <w:bCs w:val="0"/>
              </w:rPr>
              <w:t>Fog-based detection</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6090BF2"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71.610</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41BFC3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72.388</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0A861EB"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71.343</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6C118D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84.793</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8E39B5F"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85.653</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ECC5C95"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85.211</w:t>
            </w:r>
          </w:p>
        </w:tc>
      </w:tr>
      <w:tr w:rsidR="00FE2522" w14:paraId="1773CA82" w14:textId="77777777" w:rsidTr="004C6427">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51B2D55" w14:textId="77777777" w:rsidR="00FE2522" w:rsidRDefault="00FE2522" w:rsidP="004C6427">
            <w:pPr>
              <w:spacing w:line="276" w:lineRule="auto"/>
              <w:jc w:val="center"/>
            </w:pPr>
            <w:r w:rsidRPr="14A6A267">
              <w:rPr>
                <w:b w:val="0"/>
                <w:bCs w:val="0"/>
              </w:rPr>
              <w:t>TEHO-DBN</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EA6DEA3"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71.929</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2B7D502"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72.708</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61734D45"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71.663</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F683BF8"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85.392</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7CD152C9"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86.253</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561E3FB"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85.811</w:t>
            </w:r>
          </w:p>
        </w:tc>
      </w:tr>
      <w:tr w:rsidR="00FE2522" w14:paraId="5CDFE9E5" w14:textId="77777777" w:rsidTr="004C6427">
        <w:trPr>
          <w:trHeight w:val="1129"/>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02CAB27" w14:textId="77777777" w:rsidR="00FE2522" w:rsidRDefault="00FE2522" w:rsidP="004C6427">
            <w:pPr>
              <w:spacing w:line="276" w:lineRule="auto"/>
              <w:jc w:val="center"/>
            </w:pPr>
            <w:r w:rsidRPr="14A6A267">
              <w:rPr>
                <w:b w:val="0"/>
                <w:bCs w:val="0"/>
              </w:rPr>
              <w:t xml:space="preserve">Multilayer </w:t>
            </w:r>
            <w:proofErr w:type="spellStart"/>
            <w:r w:rsidRPr="14A6A267">
              <w:rPr>
                <w:b w:val="0"/>
                <w:bCs w:val="0"/>
              </w:rPr>
              <w:t>perceptrons</w:t>
            </w:r>
            <w:proofErr w:type="spellEnd"/>
            <w:r w:rsidRPr="14A6A267">
              <w:rPr>
                <w:b w:val="0"/>
                <w:bCs w:val="0"/>
              </w:rPr>
              <w:t xml:space="preserve"> (MLP)</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CAECD69"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86.508</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90B119B"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87.286</w:t>
            </w:r>
          </w:p>
        </w:tc>
        <w:tc>
          <w:tcPr>
            <w:tcW w:w="122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8AF46B0"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86.242</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737D6E7"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86.415</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43C5D9F"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87.275</w:t>
            </w:r>
          </w:p>
        </w:tc>
        <w:tc>
          <w:tcPr>
            <w:tcW w:w="1205"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AE0606D"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86.833</w:t>
            </w:r>
          </w:p>
        </w:tc>
      </w:tr>
      <w:tr w:rsidR="00FE2522" w14:paraId="241D4127" w14:textId="77777777" w:rsidTr="004C642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51CEE28" w14:textId="77777777" w:rsidR="00FE2522" w:rsidRDefault="00FE2522" w:rsidP="004C6427">
            <w:pPr>
              <w:spacing w:line="276" w:lineRule="auto"/>
              <w:jc w:val="center"/>
            </w:pPr>
            <w:r w:rsidRPr="14A6A267">
              <w:rPr>
                <w:b w:val="0"/>
                <w:bCs w:val="0"/>
              </w:rPr>
              <w:lastRenderedPageBreak/>
              <w:t>Deep CNN</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1E92098"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87.112</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7941334"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87.891</w:t>
            </w:r>
          </w:p>
        </w:tc>
        <w:tc>
          <w:tcPr>
            <w:tcW w:w="122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6B17D45"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86.846</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21F8F91"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87.017</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FD37CCD"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87.877</w:t>
            </w:r>
          </w:p>
        </w:tc>
        <w:tc>
          <w:tcPr>
            <w:tcW w:w="1205"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F67971E" w14:textId="77777777" w:rsidR="00FE2522" w:rsidRDefault="00FE2522" w:rsidP="004C6427">
            <w:pPr>
              <w:spacing w:after="200" w:line="276" w:lineRule="auto"/>
              <w:jc w:val="center"/>
              <w:cnfStyle w:val="000000100000" w:firstRow="0" w:lastRow="0" w:firstColumn="0" w:lastColumn="0" w:oddVBand="0" w:evenVBand="0" w:oddHBand="1" w:evenHBand="0" w:firstRowFirstColumn="0" w:firstRowLastColumn="0" w:lastRowFirstColumn="0" w:lastRowLastColumn="0"/>
            </w:pPr>
            <w:r w:rsidRPr="6B426BAA">
              <w:rPr>
                <w:color w:val="000000" w:themeColor="text1"/>
              </w:rPr>
              <w:t>87.435</w:t>
            </w:r>
          </w:p>
        </w:tc>
      </w:tr>
      <w:tr w:rsidR="00FE2522" w14:paraId="30B9742D" w14:textId="77777777" w:rsidTr="004C6427">
        <w:trPr>
          <w:trHeight w:val="300"/>
        </w:trPr>
        <w:tc>
          <w:tcPr>
            <w:cnfStyle w:val="001000000000" w:firstRow="0" w:lastRow="0" w:firstColumn="1" w:lastColumn="0" w:oddVBand="0" w:evenVBand="0" w:oddHBand="0" w:evenHBand="0" w:firstRowFirstColumn="0" w:firstRowLastColumn="0" w:lastRowFirstColumn="0" w:lastRowLastColumn="0"/>
            <w:tcW w:w="1214"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11593430" w14:textId="77777777" w:rsidR="00FE2522" w:rsidRDefault="00FE2522" w:rsidP="004C6427">
            <w:pPr>
              <w:spacing w:line="276" w:lineRule="auto"/>
              <w:jc w:val="center"/>
            </w:pPr>
            <w:r w:rsidRPr="14A6A267">
              <w:rPr>
                <w:b w:val="0"/>
                <w:bCs w:val="0"/>
              </w:rPr>
              <w:t>CS-based Deep CNN</w:t>
            </w:r>
          </w:p>
        </w:tc>
        <w:tc>
          <w:tcPr>
            <w:tcW w:w="1226"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2633BFB3"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87.233</w:t>
            </w:r>
          </w:p>
        </w:tc>
        <w:tc>
          <w:tcPr>
            <w:tcW w:w="1225"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2A4DFA97"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88.012</w:t>
            </w:r>
          </w:p>
        </w:tc>
        <w:tc>
          <w:tcPr>
            <w:tcW w:w="1225"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0C932E0D"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86.967</w:t>
            </w:r>
          </w:p>
        </w:tc>
        <w:tc>
          <w:tcPr>
            <w:tcW w:w="1205"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055A6F3C"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87.138</w:t>
            </w:r>
          </w:p>
        </w:tc>
        <w:tc>
          <w:tcPr>
            <w:tcW w:w="1205"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796A0159"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87.998</w:t>
            </w:r>
          </w:p>
        </w:tc>
        <w:tc>
          <w:tcPr>
            <w:tcW w:w="1205" w:type="dxa"/>
            <w:tcBorders>
              <w:top w:val="none" w:sz="8" w:space="0" w:color="7F7F7F" w:themeColor="text1" w:themeTint="80"/>
              <w:left w:val="none" w:sz="12" w:space="0" w:color="000000" w:themeColor="text1"/>
              <w:bottom w:val="single" w:sz="12" w:space="0" w:color="auto"/>
              <w:right w:val="none" w:sz="12" w:space="0" w:color="000000" w:themeColor="text1"/>
            </w:tcBorders>
            <w:tcMar>
              <w:left w:w="108" w:type="dxa"/>
              <w:right w:w="108" w:type="dxa"/>
            </w:tcMar>
          </w:tcPr>
          <w:p w14:paraId="72C2A824" w14:textId="77777777" w:rsidR="00FE2522" w:rsidRDefault="00FE2522" w:rsidP="004C6427">
            <w:pPr>
              <w:spacing w:after="200" w:line="276" w:lineRule="auto"/>
              <w:jc w:val="center"/>
              <w:cnfStyle w:val="000000000000" w:firstRow="0" w:lastRow="0" w:firstColumn="0" w:lastColumn="0" w:oddVBand="0" w:evenVBand="0" w:oddHBand="0" w:evenHBand="0" w:firstRowFirstColumn="0" w:firstRowLastColumn="0" w:lastRowFirstColumn="0" w:lastRowLastColumn="0"/>
            </w:pPr>
            <w:r w:rsidRPr="6B426BAA">
              <w:rPr>
                <w:color w:val="000000" w:themeColor="text1"/>
              </w:rPr>
              <w:t>87.556</w:t>
            </w:r>
          </w:p>
        </w:tc>
      </w:tr>
    </w:tbl>
    <w:p w14:paraId="55AAA901" w14:textId="77777777" w:rsidR="00FE2522" w:rsidRDefault="00FE2522" w:rsidP="00FE2522">
      <w:pPr>
        <w:spacing w:after="200" w:line="276" w:lineRule="auto"/>
        <w:jc w:val="left"/>
        <w:rPr>
          <w:sz w:val="18"/>
          <w:szCs w:val="18"/>
        </w:rPr>
      </w:pPr>
    </w:p>
    <w:p w14:paraId="0F227038" w14:textId="77777777" w:rsidR="00FE2522" w:rsidRDefault="00FE2522" w:rsidP="00FE2522">
      <w:pPr>
        <w:spacing w:after="200" w:line="276" w:lineRule="auto"/>
        <w:jc w:val="left"/>
        <w:rPr>
          <w:sz w:val="18"/>
          <w:szCs w:val="18"/>
        </w:rPr>
      </w:pPr>
    </w:p>
    <w:p w14:paraId="3737DA8D" w14:textId="77777777" w:rsidR="00FE2522" w:rsidRDefault="00FE2522" w:rsidP="00FE2522">
      <w:pPr>
        <w:spacing w:after="200" w:line="276" w:lineRule="auto"/>
        <w:ind w:firstLine="0"/>
        <w:jc w:val="left"/>
        <w:rPr>
          <w:sz w:val="20"/>
        </w:rPr>
      </w:pPr>
      <w:r w:rsidRPr="14A6A267">
        <w:rPr>
          <w:sz w:val="18"/>
          <w:szCs w:val="18"/>
        </w:rPr>
        <w:t xml:space="preserve">Table 2. Comparative table for </w:t>
      </w:r>
      <w:r w:rsidRPr="14A6A267">
        <w:rPr>
          <w:color w:val="000000" w:themeColor="text1"/>
          <w:sz w:val="18"/>
          <w:szCs w:val="18"/>
        </w:rPr>
        <w:t>UNSW-NB15 Dataset</w:t>
      </w:r>
      <w:r w:rsidRPr="14A6A267">
        <w:rPr>
          <w:sz w:val="20"/>
        </w:rPr>
        <w:t xml:space="preserve"> </w:t>
      </w:r>
    </w:p>
    <w:tbl>
      <w:tblPr>
        <w:tblStyle w:val="PlainTable2"/>
        <w:tblW w:w="0" w:type="auto"/>
        <w:tblLayout w:type="fixed"/>
        <w:tblLook w:val="04A0" w:firstRow="1" w:lastRow="0" w:firstColumn="1" w:lastColumn="0" w:noHBand="0" w:noVBand="1"/>
      </w:tblPr>
      <w:tblGrid>
        <w:gridCol w:w="1207"/>
        <w:gridCol w:w="1227"/>
        <w:gridCol w:w="1226"/>
        <w:gridCol w:w="1226"/>
        <w:gridCol w:w="1206"/>
        <w:gridCol w:w="1206"/>
        <w:gridCol w:w="1206"/>
      </w:tblGrid>
      <w:tr w:rsidR="00FE2522" w14:paraId="32992144" w14:textId="77777777" w:rsidTr="004C642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7" w:type="dxa"/>
            <w:vMerge w:val="restart"/>
            <w:tcBorders>
              <w:top w:val="single" w:sz="8" w:space="0" w:color="7F7F7F" w:themeColor="text1" w:themeTint="80"/>
              <w:left w:val="nil"/>
              <w:bottom w:val="single" w:sz="12" w:space="0" w:color="FFFFFF" w:themeColor="background1" w:themeTint="00"/>
              <w:right w:val="nil"/>
            </w:tcBorders>
            <w:tcMar>
              <w:left w:w="108" w:type="dxa"/>
              <w:right w:w="108" w:type="dxa"/>
            </w:tcMar>
          </w:tcPr>
          <w:p w14:paraId="74C834A0" w14:textId="77777777" w:rsidR="00FE2522" w:rsidRDefault="00FE2522" w:rsidP="004C6427">
            <w:pPr>
              <w:spacing w:after="200" w:line="276" w:lineRule="auto"/>
              <w:contextualSpacing/>
              <w:jc w:val="center"/>
              <w:rPr>
                <w:b w:val="0"/>
                <w:bCs w:val="0"/>
              </w:rPr>
            </w:pPr>
            <w:r w:rsidRPr="14A6A267">
              <w:rPr>
                <w:b w:val="0"/>
                <w:bCs w:val="0"/>
              </w:rPr>
              <w:t xml:space="preserve"> </w:t>
            </w:r>
          </w:p>
          <w:p w14:paraId="3F97E36C" w14:textId="77777777" w:rsidR="00FE2522" w:rsidRDefault="00FE2522" w:rsidP="004C6427">
            <w:pPr>
              <w:spacing w:after="200" w:line="276" w:lineRule="auto"/>
              <w:contextualSpacing/>
              <w:jc w:val="center"/>
              <w:rPr>
                <w:b w:val="0"/>
                <w:bCs w:val="0"/>
              </w:rPr>
            </w:pPr>
            <w:r w:rsidRPr="14A6A267">
              <w:rPr>
                <w:b w:val="0"/>
                <w:bCs w:val="0"/>
              </w:rPr>
              <w:t>Methods</w:t>
            </w:r>
          </w:p>
        </w:tc>
        <w:tc>
          <w:tcPr>
            <w:tcW w:w="7297" w:type="dxa"/>
            <w:gridSpan w:val="6"/>
            <w:tcBorders>
              <w:top w:val="single" w:sz="8" w:space="0" w:color="7F7F7F" w:themeColor="text1" w:themeTint="80"/>
              <w:left w:val="nil"/>
              <w:bottom w:val="single" w:sz="8" w:space="0" w:color="7F7F7F" w:themeColor="text1" w:themeTint="80"/>
              <w:right w:val="nil"/>
            </w:tcBorders>
            <w:tcMar>
              <w:left w:w="108" w:type="dxa"/>
              <w:right w:w="108" w:type="dxa"/>
            </w:tcMar>
          </w:tcPr>
          <w:p w14:paraId="40FC8578" w14:textId="77777777" w:rsidR="00FE2522" w:rsidRDefault="00FE2522" w:rsidP="004C6427">
            <w:pPr>
              <w:spacing w:after="200" w:line="36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14A6A267">
              <w:rPr>
                <w:b w:val="0"/>
                <w:bCs w:val="0"/>
                <w:color w:val="000000" w:themeColor="text1"/>
              </w:rPr>
              <w:t>UNSW-NB15 Dataset</w:t>
            </w:r>
          </w:p>
        </w:tc>
      </w:tr>
      <w:tr w:rsidR="00FE2522" w14:paraId="7840055E" w14:textId="77777777" w:rsidTr="004C64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7" w:type="dxa"/>
            <w:vMerge/>
            <w:tcBorders>
              <w:bottom w:val="single" w:sz="4" w:space="0" w:color="auto"/>
            </w:tcBorders>
            <w:vAlign w:val="center"/>
          </w:tcPr>
          <w:p w14:paraId="379DEAEC" w14:textId="77777777" w:rsidR="00FE2522" w:rsidRDefault="00FE2522" w:rsidP="004C6427"/>
        </w:tc>
        <w:tc>
          <w:tcPr>
            <w:tcW w:w="3679" w:type="dxa"/>
            <w:gridSpan w:val="3"/>
            <w:tcBorders>
              <w:top w:val="single" w:sz="8" w:space="0" w:color="7F7F7F" w:themeColor="text1" w:themeTint="80"/>
              <w:left w:val="nil"/>
              <w:bottom w:val="single" w:sz="4" w:space="0" w:color="auto"/>
              <w:right w:val="nil"/>
            </w:tcBorders>
            <w:tcMar>
              <w:left w:w="108" w:type="dxa"/>
              <w:right w:w="108" w:type="dxa"/>
            </w:tcMar>
          </w:tcPr>
          <w:p w14:paraId="404A2292" w14:textId="77777777" w:rsidR="00FE2522" w:rsidRDefault="00FE2522" w:rsidP="004C6427">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pPr>
            <w:r w:rsidRPr="14A6A267">
              <w:t>80 % of training data</w:t>
            </w:r>
          </w:p>
        </w:tc>
        <w:tc>
          <w:tcPr>
            <w:tcW w:w="3618" w:type="dxa"/>
            <w:gridSpan w:val="3"/>
            <w:tcBorders>
              <w:top w:val="nil"/>
              <w:left w:val="nil"/>
              <w:bottom w:val="single" w:sz="4" w:space="0" w:color="auto"/>
              <w:right w:val="nil"/>
            </w:tcBorders>
            <w:tcMar>
              <w:left w:w="108" w:type="dxa"/>
              <w:right w:w="108" w:type="dxa"/>
            </w:tcMar>
          </w:tcPr>
          <w:p w14:paraId="771D15C6" w14:textId="77777777" w:rsidR="00FE2522" w:rsidRDefault="00FE2522" w:rsidP="004C6427">
            <w:pPr>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pPr>
            <w:r w:rsidRPr="14A6A267">
              <w:t>K-fold 10</w:t>
            </w:r>
          </w:p>
          <w:p w14:paraId="31D94BDC" w14:textId="77777777" w:rsidR="00FE2522" w:rsidRDefault="00FE2522" w:rsidP="004C6427">
            <w:pPr>
              <w:spacing w:after="200" w:line="276" w:lineRule="auto"/>
              <w:ind w:firstLine="0"/>
              <w:contextualSpacing/>
              <w:jc w:val="left"/>
              <w:cnfStyle w:val="000000100000" w:firstRow="0" w:lastRow="0" w:firstColumn="0" w:lastColumn="0" w:oddVBand="0" w:evenVBand="0" w:oddHBand="1" w:evenHBand="0" w:firstRowFirstColumn="0" w:firstRowLastColumn="0" w:lastRowFirstColumn="0" w:lastRowLastColumn="0"/>
            </w:pPr>
          </w:p>
        </w:tc>
      </w:tr>
      <w:tr w:rsidR="00FE2522" w14:paraId="0C45E61A" w14:textId="77777777" w:rsidTr="004C6427">
        <w:trPr>
          <w:trHeight w:val="449"/>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nil"/>
              <w:bottom w:val="nil"/>
              <w:right w:val="nil"/>
            </w:tcBorders>
            <w:tcMar>
              <w:left w:w="108" w:type="dxa"/>
              <w:right w:w="108" w:type="dxa"/>
            </w:tcMar>
          </w:tcPr>
          <w:p w14:paraId="4B1AEE2B" w14:textId="77777777" w:rsidR="00FE2522" w:rsidRDefault="00FE2522" w:rsidP="004C6427">
            <w:pPr>
              <w:spacing w:line="276" w:lineRule="auto"/>
              <w:contextualSpacing/>
              <w:jc w:val="center"/>
              <w:rPr>
                <w:b w:val="0"/>
                <w:bCs w:val="0"/>
              </w:rPr>
            </w:pPr>
            <w:r w:rsidRPr="14A6A267">
              <w:rPr>
                <w:b w:val="0"/>
                <w:bCs w:val="0"/>
              </w:rPr>
              <w:t>SVM</w:t>
            </w:r>
          </w:p>
        </w:tc>
        <w:tc>
          <w:tcPr>
            <w:tcW w:w="1227" w:type="dxa"/>
            <w:tcBorders>
              <w:top w:val="single" w:sz="4" w:space="0" w:color="auto"/>
              <w:left w:val="nil"/>
              <w:bottom w:val="nil"/>
              <w:right w:val="nil"/>
            </w:tcBorders>
            <w:tcMar>
              <w:left w:w="108" w:type="dxa"/>
              <w:right w:w="108" w:type="dxa"/>
            </w:tcMar>
          </w:tcPr>
          <w:p w14:paraId="632FCDB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63.017</w:t>
            </w:r>
          </w:p>
        </w:tc>
        <w:tc>
          <w:tcPr>
            <w:tcW w:w="1226" w:type="dxa"/>
            <w:tcBorders>
              <w:top w:val="single" w:sz="4" w:space="0" w:color="auto"/>
              <w:left w:val="nil"/>
              <w:bottom w:val="nil"/>
              <w:right w:val="nil"/>
            </w:tcBorders>
            <w:tcMar>
              <w:left w:w="108" w:type="dxa"/>
              <w:right w:w="108" w:type="dxa"/>
            </w:tcMar>
          </w:tcPr>
          <w:p w14:paraId="3BF50855"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63.448</w:t>
            </w:r>
          </w:p>
        </w:tc>
        <w:tc>
          <w:tcPr>
            <w:tcW w:w="1226" w:type="dxa"/>
            <w:tcBorders>
              <w:top w:val="single" w:sz="4" w:space="0" w:color="auto"/>
              <w:left w:val="nil"/>
              <w:bottom w:val="nil"/>
              <w:right w:val="nil"/>
            </w:tcBorders>
            <w:tcMar>
              <w:left w:w="108" w:type="dxa"/>
              <w:right w:w="108" w:type="dxa"/>
            </w:tcMar>
          </w:tcPr>
          <w:p w14:paraId="424D6697"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63.440</w:t>
            </w:r>
          </w:p>
        </w:tc>
        <w:tc>
          <w:tcPr>
            <w:tcW w:w="1206" w:type="dxa"/>
            <w:tcBorders>
              <w:top w:val="single" w:sz="4" w:space="0" w:color="auto"/>
              <w:left w:val="nil"/>
              <w:bottom w:val="nil"/>
              <w:right w:val="nil"/>
            </w:tcBorders>
            <w:tcMar>
              <w:left w:w="108" w:type="dxa"/>
              <w:right w:w="108" w:type="dxa"/>
            </w:tcMar>
          </w:tcPr>
          <w:p w14:paraId="2E659429"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63.049</w:t>
            </w:r>
          </w:p>
        </w:tc>
        <w:tc>
          <w:tcPr>
            <w:tcW w:w="1206" w:type="dxa"/>
            <w:tcBorders>
              <w:top w:val="single" w:sz="4" w:space="0" w:color="auto"/>
              <w:left w:val="nil"/>
              <w:bottom w:val="nil"/>
              <w:right w:val="nil"/>
            </w:tcBorders>
            <w:tcMar>
              <w:left w:w="108" w:type="dxa"/>
              <w:right w:w="108" w:type="dxa"/>
            </w:tcMar>
          </w:tcPr>
          <w:p w14:paraId="09F1B28D"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63.148</w:t>
            </w:r>
          </w:p>
        </w:tc>
        <w:tc>
          <w:tcPr>
            <w:tcW w:w="1206" w:type="dxa"/>
            <w:tcBorders>
              <w:top w:val="single" w:sz="4" w:space="0" w:color="auto"/>
              <w:left w:val="nil"/>
              <w:bottom w:val="nil"/>
              <w:right w:val="nil"/>
            </w:tcBorders>
            <w:tcMar>
              <w:left w:w="108" w:type="dxa"/>
              <w:right w:w="108" w:type="dxa"/>
            </w:tcMar>
          </w:tcPr>
          <w:p w14:paraId="185B93E8"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63.288</w:t>
            </w:r>
          </w:p>
        </w:tc>
      </w:tr>
      <w:tr w:rsidR="00FE2522" w14:paraId="2557C787" w14:textId="77777777" w:rsidTr="004C6427">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207"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70993D79" w14:textId="77777777" w:rsidR="00FE2522" w:rsidRDefault="00FE2522" w:rsidP="004C6427">
            <w:pPr>
              <w:spacing w:line="276" w:lineRule="auto"/>
              <w:contextualSpacing/>
              <w:jc w:val="center"/>
              <w:rPr>
                <w:b w:val="0"/>
                <w:bCs w:val="0"/>
              </w:rPr>
            </w:pPr>
            <w:r w:rsidRPr="14A6A267">
              <w:rPr>
                <w:b w:val="0"/>
                <w:bCs w:val="0"/>
              </w:rPr>
              <w:t>SAE-LSTM</w:t>
            </w:r>
          </w:p>
        </w:tc>
        <w:tc>
          <w:tcPr>
            <w:tcW w:w="1227"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1D8367B"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63.407</w:t>
            </w:r>
          </w:p>
        </w:tc>
        <w:tc>
          <w:tcPr>
            <w:tcW w:w="1226"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EAED956"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63.838</w:t>
            </w:r>
          </w:p>
        </w:tc>
        <w:tc>
          <w:tcPr>
            <w:tcW w:w="1226"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4D48B1D"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63.830</w:t>
            </w:r>
          </w:p>
        </w:tc>
        <w:tc>
          <w:tcPr>
            <w:tcW w:w="1206"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8E9AD54"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63.431</w:t>
            </w:r>
          </w:p>
        </w:tc>
        <w:tc>
          <w:tcPr>
            <w:tcW w:w="1206"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7AB4889"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63.530</w:t>
            </w:r>
          </w:p>
        </w:tc>
        <w:tc>
          <w:tcPr>
            <w:tcW w:w="1206" w:type="dxa"/>
            <w:tcBorders>
              <w:top w:val="nil"/>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10A5B28"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63.669</w:t>
            </w:r>
          </w:p>
        </w:tc>
      </w:tr>
      <w:tr w:rsidR="00FE2522" w14:paraId="0C8C808F" w14:textId="77777777" w:rsidTr="004C6427">
        <w:trPr>
          <w:trHeight w:val="574"/>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38E5026" w14:textId="77777777" w:rsidR="00FE2522" w:rsidRDefault="00FE2522" w:rsidP="004C6427">
            <w:pPr>
              <w:spacing w:line="276" w:lineRule="auto"/>
              <w:contextualSpacing/>
              <w:jc w:val="center"/>
              <w:rPr>
                <w:b w:val="0"/>
                <w:bCs w:val="0"/>
              </w:rPr>
            </w:pPr>
            <w:r w:rsidRPr="14A6A267">
              <w:rPr>
                <w:b w:val="0"/>
                <w:bCs w:val="0"/>
              </w:rPr>
              <w:t>KNN</w:t>
            </w:r>
          </w:p>
        </w:tc>
        <w:tc>
          <w:tcPr>
            <w:tcW w:w="122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5A58DEE"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63.537</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B42D247"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63.968</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D89E081"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63.960</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D76B8AA"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63.558</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E9718B7"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63.657</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59BFED8"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63.797</w:t>
            </w:r>
          </w:p>
        </w:tc>
      </w:tr>
      <w:tr w:rsidR="00FE2522" w14:paraId="3252CA0B" w14:textId="77777777" w:rsidTr="004C6427">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52CAA7F" w14:textId="77777777" w:rsidR="00FE2522" w:rsidRDefault="00FE2522" w:rsidP="004C6427">
            <w:pPr>
              <w:spacing w:line="276" w:lineRule="auto"/>
              <w:contextualSpacing/>
              <w:jc w:val="center"/>
              <w:rPr>
                <w:b w:val="0"/>
                <w:bCs w:val="0"/>
              </w:rPr>
            </w:pPr>
            <w:r w:rsidRPr="14A6A267">
              <w:rPr>
                <w:b w:val="0"/>
                <w:bCs w:val="0"/>
              </w:rPr>
              <w:t>Light GBM</w:t>
            </w:r>
          </w:p>
        </w:tc>
        <w:tc>
          <w:tcPr>
            <w:tcW w:w="122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D9574A0"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63.667</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9A7D13B"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64.098</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6127345"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64.090</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CDCBF57"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63.778</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BA51299"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63.877</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6C72E94"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64.017</w:t>
            </w:r>
          </w:p>
        </w:tc>
      </w:tr>
      <w:tr w:rsidR="00FE2522" w14:paraId="6D707C15" w14:textId="77777777" w:rsidTr="004C6427">
        <w:trPr>
          <w:trHeight w:val="564"/>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D1DDF84" w14:textId="77777777" w:rsidR="00FE2522" w:rsidRDefault="00FE2522" w:rsidP="004C6427">
            <w:pPr>
              <w:spacing w:line="276" w:lineRule="auto"/>
              <w:contextualSpacing/>
              <w:jc w:val="center"/>
              <w:rPr>
                <w:b w:val="0"/>
                <w:bCs w:val="0"/>
              </w:rPr>
            </w:pPr>
            <w:r w:rsidRPr="14A6A267">
              <w:rPr>
                <w:b w:val="0"/>
                <w:bCs w:val="0"/>
              </w:rPr>
              <w:t>Deep NN</w:t>
            </w:r>
          </w:p>
        </w:tc>
        <w:tc>
          <w:tcPr>
            <w:tcW w:w="122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E14846C"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63.797</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429094A"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64.228</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5561EA5"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64.220</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3E273B6"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63.910</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17DE9C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64.009</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67F51C3"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64.149</w:t>
            </w:r>
          </w:p>
        </w:tc>
      </w:tr>
      <w:tr w:rsidR="00FE2522" w14:paraId="6C7E5C51" w14:textId="77777777" w:rsidTr="004C642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F55198F" w14:textId="77777777" w:rsidR="00FE2522" w:rsidRDefault="00FE2522" w:rsidP="004C6427">
            <w:pPr>
              <w:spacing w:line="276" w:lineRule="auto"/>
              <w:contextualSpacing/>
              <w:jc w:val="center"/>
              <w:rPr>
                <w:b w:val="0"/>
                <w:bCs w:val="0"/>
              </w:rPr>
            </w:pPr>
            <w:r w:rsidRPr="14A6A267">
              <w:rPr>
                <w:b w:val="0"/>
                <w:bCs w:val="0"/>
              </w:rPr>
              <w:t>Cloud-based DL</w:t>
            </w:r>
          </w:p>
        </w:tc>
        <w:tc>
          <w:tcPr>
            <w:tcW w:w="122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EC23407"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82.091</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B52C969"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82.522</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20584F5"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82.514</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8CA6D3E"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64.042</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78CDACE1"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64.141</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56E1DEA"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64.281</w:t>
            </w:r>
          </w:p>
        </w:tc>
      </w:tr>
      <w:tr w:rsidR="00FE2522" w14:paraId="06CFDB62" w14:textId="77777777" w:rsidTr="004C6427">
        <w:trPr>
          <w:trHeight w:val="1004"/>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6A8861D" w14:textId="77777777" w:rsidR="00FE2522" w:rsidRDefault="00FE2522" w:rsidP="004C6427">
            <w:pPr>
              <w:spacing w:line="276" w:lineRule="auto"/>
              <w:contextualSpacing/>
              <w:jc w:val="center"/>
              <w:rPr>
                <w:b w:val="0"/>
                <w:bCs w:val="0"/>
              </w:rPr>
            </w:pPr>
            <w:r w:rsidRPr="14A6A267">
              <w:rPr>
                <w:b w:val="0"/>
                <w:bCs w:val="0"/>
              </w:rPr>
              <w:t>Fog-based detection</w:t>
            </w:r>
          </w:p>
        </w:tc>
        <w:tc>
          <w:tcPr>
            <w:tcW w:w="122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4A2DD596"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85.237</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B67A72B"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85.668</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28507F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85.660</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34908047"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84.233</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695F7F0"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84.332</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2558B5A"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84.471</w:t>
            </w:r>
          </w:p>
        </w:tc>
      </w:tr>
      <w:tr w:rsidR="00FE2522" w14:paraId="1B40EEB9" w14:textId="77777777" w:rsidTr="004C6427">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6F1FF05A" w14:textId="77777777" w:rsidR="00FE2522" w:rsidRDefault="00FE2522" w:rsidP="004C6427">
            <w:pPr>
              <w:spacing w:line="276" w:lineRule="auto"/>
              <w:contextualSpacing/>
              <w:jc w:val="center"/>
              <w:rPr>
                <w:b w:val="0"/>
                <w:bCs w:val="0"/>
              </w:rPr>
            </w:pPr>
            <w:r w:rsidRPr="14A6A267">
              <w:rPr>
                <w:b w:val="0"/>
                <w:bCs w:val="0"/>
              </w:rPr>
              <w:t>TEHO-DBN</w:t>
            </w:r>
          </w:p>
        </w:tc>
        <w:tc>
          <w:tcPr>
            <w:tcW w:w="122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7549DEA"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86.434</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43ADF2B"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86.865</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1904133"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86.857</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36220D6E"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85.869</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36A0EE0"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85.968</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6C98004"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86.108</w:t>
            </w:r>
          </w:p>
        </w:tc>
      </w:tr>
      <w:tr w:rsidR="00FE2522" w14:paraId="3B1B4D00" w14:textId="77777777" w:rsidTr="004C6427">
        <w:trPr>
          <w:trHeight w:val="1411"/>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2512FDCF" w14:textId="77777777" w:rsidR="00FE2522" w:rsidRDefault="00FE2522" w:rsidP="004C6427">
            <w:pPr>
              <w:spacing w:line="276" w:lineRule="auto"/>
              <w:contextualSpacing/>
              <w:jc w:val="center"/>
              <w:rPr>
                <w:b w:val="0"/>
                <w:bCs w:val="0"/>
              </w:rPr>
            </w:pPr>
            <w:r w:rsidRPr="14A6A267">
              <w:rPr>
                <w:b w:val="0"/>
                <w:bCs w:val="0"/>
              </w:rPr>
              <w:t xml:space="preserve">Multilayer </w:t>
            </w:r>
            <w:proofErr w:type="spellStart"/>
            <w:r w:rsidRPr="14A6A267">
              <w:rPr>
                <w:b w:val="0"/>
                <w:bCs w:val="0"/>
              </w:rPr>
              <w:t>perceptrons</w:t>
            </w:r>
            <w:proofErr w:type="spellEnd"/>
            <w:r w:rsidRPr="14A6A267">
              <w:rPr>
                <w:b w:val="0"/>
                <w:bCs w:val="0"/>
              </w:rPr>
              <w:t xml:space="preserve"> (MLP)</w:t>
            </w:r>
          </w:p>
        </w:tc>
        <w:tc>
          <w:tcPr>
            <w:tcW w:w="1227"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49FB66E"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86.673</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5E2677B2"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87.104</w:t>
            </w:r>
          </w:p>
        </w:tc>
        <w:tc>
          <w:tcPr>
            <w:tcW w:w="122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04CACA6C"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87.096</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2C45424"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86.106</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70DCF125"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86.205</w:t>
            </w:r>
          </w:p>
        </w:tc>
        <w:tc>
          <w:tcPr>
            <w:tcW w:w="1206" w:type="dxa"/>
            <w:tcBorders>
              <w:top w:val="none" w:sz="8" w:space="0" w:color="7F7F7F" w:themeColor="text1" w:themeTint="80"/>
              <w:left w:val="none" w:sz="12" w:space="0" w:color="000000" w:themeColor="text1"/>
              <w:bottom w:val="none" w:sz="12" w:space="0" w:color="000000" w:themeColor="text1"/>
              <w:right w:val="none" w:sz="12" w:space="0" w:color="000000" w:themeColor="text1"/>
            </w:tcBorders>
            <w:tcMar>
              <w:left w:w="108" w:type="dxa"/>
              <w:right w:w="108" w:type="dxa"/>
            </w:tcMar>
          </w:tcPr>
          <w:p w14:paraId="671C133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86.345</w:t>
            </w:r>
          </w:p>
        </w:tc>
      </w:tr>
      <w:tr w:rsidR="00FE2522" w14:paraId="7FDAB8CF" w14:textId="77777777" w:rsidTr="004C6427">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165CF2B" w14:textId="77777777" w:rsidR="00FE2522" w:rsidRDefault="00FE2522" w:rsidP="004C6427">
            <w:pPr>
              <w:spacing w:line="276" w:lineRule="auto"/>
              <w:contextualSpacing/>
              <w:jc w:val="center"/>
              <w:rPr>
                <w:b w:val="0"/>
                <w:bCs w:val="0"/>
              </w:rPr>
            </w:pPr>
            <w:r w:rsidRPr="14A6A267">
              <w:rPr>
                <w:b w:val="0"/>
                <w:bCs w:val="0"/>
              </w:rPr>
              <w:t>Deep CNN</w:t>
            </w:r>
          </w:p>
        </w:tc>
        <w:tc>
          <w:tcPr>
            <w:tcW w:w="1227"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59C97A1D"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87.151</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215E8E0B"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87.582</w:t>
            </w:r>
          </w:p>
        </w:tc>
        <w:tc>
          <w:tcPr>
            <w:tcW w:w="122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437BF7DD"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87.574</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05E0B826"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86.580</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19053BA2"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86.679</w:t>
            </w:r>
          </w:p>
        </w:tc>
        <w:tc>
          <w:tcPr>
            <w:tcW w:w="1206" w:type="dxa"/>
            <w:tcBorders>
              <w:top w:val="none" w:sz="8" w:space="0" w:color="7F7F7F" w:themeColor="text1" w:themeTint="80"/>
              <w:left w:val="none" w:sz="12" w:space="0" w:color="000000" w:themeColor="text1"/>
              <w:bottom w:val="none" w:sz="8" w:space="0" w:color="7F7F7F" w:themeColor="text1" w:themeTint="80"/>
              <w:right w:val="none" w:sz="12" w:space="0" w:color="000000" w:themeColor="text1"/>
            </w:tcBorders>
            <w:tcMar>
              <w:left w:w="108" w:type="dxa"/>
              <w:right w:w="108" w:type="dxa"/>
            </w:tcMar>
          </w:tcPr>
          <w:p w14:paraId="78CD87AC" w14:textId="77777777" w:rsidR="00FE2522" w:rsidRDefault="00FE2522" w:rsidP="004C6427">
            <w:pPr>
              <w:spacing w:line="276" w:lineRule="auto"/>
              <w:contextualSpacing/>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14A6A267">
              <w:rPr>
                <w:color w:val="000000" w:themeColor="text1"/>
              </w:rPr>
              <w:t>86.818</w:t>
            </w:r>
          </w:p>
        </w:tc>
      </w:tr>
      <w:tr w:rsidR="00FE2522" w14:paraId="5B6F8C4F" w14:textId="77777777" w:rsidTr="004C6427">
        <w:trPr>
          <w:trHeight w:val="300"/>
        </w:trPr>
        <w:tc>
          <w:tcPr>
            <w:cnfStyle w:val="001000000000" w:firstRow="0" w:lastRow="0" w:firstColumn="1" w:lastColumn="0" w:oddVBand="0" w:evenVBand="0" w:oddHBand="0" w:evenHBand="0" w:firstRowFirstColumn="0" w:firstRowLastColumn="0" w:lastRowFirstColumn="0" w:lastRowLastColumn="0"/>
            <w:tcW w:w="1207"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04F0C9A0" w14:textId="77777777" w:rsidR="00FE2522" w:rsidRDefault="00FE2522" w:rsidP="004C6427">
            <w:pPr>
              <w:spacing w:line="276" w:lineRule="auto"/>
              <w:contextualSpacing/>
              <w:jc w:val="center"/>
              <w:rPr>
                <w:b w:val="0"/>
                <w:bCs w:val="0"/>
              </w:rPr>
            </w:pPr>
            <w:r w:rsidRPr="14A6A267">
              <w:rPr>
                <w:b w:val="0"/>
                <w:bCs w:val="0"/>
              </w:rPr>
              <w:t>CS-based Deep CNN</w:t>
            </w:r>
          </w:p>
        </w:tc>
        <w:tc>
          <w:tcPr>
            <w:tcW w:w="1227"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2473AC4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87.630</w:t>
            </w:r>
          </w:p>
        </w:tc>
        <w:tc>
          <w:tcPr>
            <w:tcW w:w="1226"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04A61A7C"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88.061</w:t>
            </w:r>
          </w:p>
        </w:tc>
        <w:tc>
          <w:tcPr>
            <w:tcW w:w="1226"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7352BAF8"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88.053</w:t>
            </w:r>
          </w:p>
        </w:tc>
        <w:tc>
          <w:tcPr>
            <w:tcW w:w="1206"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47DBB793"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87.053</w:t>
            </w:r>
          </w:p>
        </w:tc>
        <w:tc>
          <w:tcPr>
            <w:tcW w:w="1206"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531E696E"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87.152</w:t>
            </w:r>
          </w:p>
        </w:tc>
        <w:tc>
          <w:tcPr>
            <w:tcW w:w="1206" w:type="dxa"/>
            <w:tcBorders>
              <w:top w:val="none" w:sz="8" w:space="0" w:color="7F7F7F" w:themeColor="text1" w:themeTint="80"/>
              <w:left w:val="none" w:sz="12" w:space="0" w:color="000000" w:themeColor="text1"/>
              <w:bottom w:val="single" w:sz="12" w:space="0" w:color="FFFFFF" w:themeColor="background1" w:themeTint="00"/>
              <w:right w:val="none" w:sz="12" w:space="0" w:color="000000" w:themeColor="text1"/>
            </w:tcBorders>
            <w:tcMar>
              <w:left w:w="108" w:type="dxa"/>
              <w:right w:w="108" w:type="dxa"/>
            </w:tcMar>
          </w:tcPr>
          <w:p w14:paraId="50BF716F" w14:textId="77777777" w:rsidR="00FE2522" w:rsidRDefault="00FE2522" w:rsidP="004C6427">
            <w:pPr>
              <w:spacing w:line="276" w:lineRule="auto"/>
              <w:contextualSpacing/>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14A6A267">
              <w:rPr>
                <w:color w:val="000000" w:themeColor="text1"/>
              </w:rPr>
              <w:t>87.292</w:t>
            </w:r>
          </w:p>
        </w:tc>
      </w:tr>
    </w:tbl>
    <w:p w14:paraId="61669C7F" w14:textId="77777777" w:rsidR="00FE2522" w:rsidRDefault="00FE2522" w:rsidP="00FE2522">
      <w:pPr>
        <w:ind w:firstLine="0"/>
        <w:contextualSpacing/>
        <w:jc w:val="left"/>
        <w:rPr>
          <w:b/>
          <w:bCs/>
        </w:rPr>
      </w:pPr>
      <w:r w:rsidRPr="14A6A267">
        <w:rPr>
          <w:b/>
          <w:bCs/>
        </w:rPr>
        <w:t>_____________________________________________________________________________</w:t>
      </w:r>
    </w:p>
    <w:p w14:paraId="388EA042" w14:textId="77777777" w:rsidR="00FE2522" w:rsidRDefault="00FE2522" w:rsidP="00FE2522">
      <w:pPr>
        <w:ind w:firstLine="0"/>
        <w:jc w:val="left"/>
      </w:pPr>
      <w:r>
        <w:t xml:space="preserve">  </w:t>
      </w:r>
    </w:p>
    <w:p w14:paraId="52A6E1F0" w14:textId="77777777" w:rsidR="00FE2522" w:rsidRDefault="00FE2522" w:rsidP="00FE2522">
      <w:pPr>
        <w:ind w:firstLine="0"/>
        <w:jc w:val="left"/>
      </w:pPr>
      <w:r>
        <w:t>In selecting a dataset for our research, we considered two options: the Bot IoT dataset and the Ton dataset. Upon examination of the Bot IoT dataset, we observed a significant class imbalance, with only 7 entries classified as normal and the remaining approximately 1.5 million entries categorized as DDoS attacks. Recognizing the importance of dataset balance to mitigate issues of overfitting, we opted not to utilize this dataset.</w:t>
      </w:r>
    </w:p>
    <w:p w14:paraId="6736857C" w14:textId="77777777" w:rsidR="00FE2522" w:rsidRDefault="00FE2522" w:rsidP="00FE2522">
      <w:pPr>
        <w:ind w:firstLine="0"/>
        <w:jc w:val="left"/>
      </w:pPr>
      <w:r>
        <w:lastRenderedPageBreak/>
        <w:t xml:space="preserve"> </w:t>
      </w:r>
    </w:p>
    <w:p w14:paraId="31ABC2F6" w14:textId="77777777" w:rsidR="00FE2522" w:rsidRDefault="00FE2522" w:rsidP="00FE2522">
      <w:pPr>
        <w:ind w:firstLine="0"/>
        <w:jc w:val="left"/>
      </w:pPr>
      <w:r>
        <w:t>Turning our attention to the Ton dataset, we found a total of 7 million entries, with 7 lakh labeled as normal and the remainder as DDoS attacks. To ensure a balanced representation for training purposes, we randomly selected 7 lakh entries from both the normal and DDoS categories. Subsequently, we fine-tuned this balanced dataset to prepare it for our research objectives. This meticulous approach ensured that our dataset maintained a 50-50 distribution between normal and DDoS instances, thus enhancing the reliability and effectiveness of our model training process.</w:t>
      </w:r>
    </w:p>
    <w:p w14:paraId="256313D6" w14:textId="77777777" w:rsidR="00FE2522" w:rsidRDefault="00FE2522" w:rsidP="00FE2522">
      <w:pPr>
        <w:ind w:firstLine="0"/>
        <w:jc w:val="left"/>
      </w:pPr>
    </w:p>
    <w:p w14:paraId="64FCC29F" w14:textId="77777777" w:rsidR="00FE2522" w:rsidRPr="00D40BC0" w:rsidRDefault="00FE2522" w:rsidP="00FE2522">
      <w:pPr>
        <w:pStyle w:val="Heading2"/>
        <w:numPr>
          <w:ilvl w:val="1"/>
          <w:numId w:val="0"/>
        </w:numPr>
        <w:spacing w:before="120"/>
      </w:pPr>
      <w:proofErr w:type="gramStart"/>
      <w:r>
        <w:t>3.2  Models</w:t>
      </w:r>
      <w:proofErr w:type="gramEnd"/>
      <w:r>
        <w:t xml:space="preserve"> Used</w:t>
      </w:r>
    </w:p>
    <w:p w14:paraId="4FC32B59" w14:textId="77777777" w:rsidR="00FE2522" w:rsidRPr="00D40BC0" w:rsidRDefault="00FE2522" w:rsidP="00FE2522">
      <w:pPr>
        <w:jc w:val="left"/>
      </w:pPr>
      <w:r>
        <w:t>Random Forest:</w:t>
      </w:r>
    </w:p>
    <w:p w14:paraId="0D62CA27" w14:textId="77777777" w:rsidR="00FE2522" w:rsidRPr="00D40BC0" w:rsidRDefault="00FE2522" w:rsidP="00FE2522">
      <w:pPr>
        <w:jc w:val="left"/>
      </w:pPr>
      <w:r>
        <w:t>Methodology: Random Forest is an ensemble learning method that constructs a multitude of decision trees at training time. Each tree in the forest is trained on a random subset of the training data and makes predictions independently. The final prediction is determined by aggregating the predictions of all the trees (e.g., averaging for regression, voting for classification). Random Forests are known for their robustness against overfitting and their ability to handle large datasets with high dimensionality. However, they might not perform well on datasets with highly correlated features or noisy data.</w:t>
      </w:r>
    </w:p>
    <w:p w14:paraId="21F20553" w14:textId="77777777" w:rsidR="00FE2522" w:rsidRPr="00D40BC0" w:rsidRDefault="00FE2522" w:rsidP="00FE2522">
      <w:pPr>
        <w:jc w:val="left"/>
      </w:pPr>
    </w:p>
    <w:p w14:paraId="5CC2FBBF" w14:textId="77777777" w:rsidR="00FE2522" w:rsidRPr="00D40BC0" w:rsidRDefault="00FE2522" w:rsidP="00FE2522">
      <w:pPr>
        <w:ind w:firstLine="0"/>
        <w:jc w:val="left"/>
      </w:pPr>
      <w:r>
        <w:t>Convolutional Neural Network (CNN):</w:t>
      </w:r>
    </w:p>
    <w:p w14:paraId="3F40A9E0" w14:textId="77777777" w:rsidR="00FE2522" w:rsidRPr="00D40BC0" w:rsidRDefault="00FE2522" w:rsidP="00FE2522">
      <w:pPr>
        <w:ind w:firstLine="0"/>
        <w:jc w:val="left"/>
      </w:pPr>
      <w:r>
        <w:t>Methodology: CNN is primarily used for image classification and recognition tasks. It consists of multiple layers of convolutional and pooling layers followed by fully connected layers. The convolutional layers apply filters to input data to extract features, while pooling layers reduce the spatial dimensions of the features. CNNs excel in tasks involving spatial data like images due to their ability to automatically learn hierarchical patterns.</w:t>
      </w:r>
    </w:p>
    <w:p w14:paraId="2EC1C7E6" w14:textId="77777777" w:rsidR="00FE2522" w:rsidRPr="00D40BC0" w:rsidRDefault="00FE2522" w:rsidP="00FE2522">
      <w:pPr>
        <w:jc w:val="left"/>
      </w:pPr>
    </w:p>
    <w:p w14:paraId="5B1E8E02" w14:textId="77777777" w:rsidR="00FE2522" w:rsidRPr="00D40BC0" w:rsidRDefault="00FE2522" w:rsidP="00FE2522">
      <w:pPr>
        <w:ind w:firstLine="0"/>
        <w:jc w:val="left"/>
      </w:pPr>
      <w:r>
        <w:t>Recurrent Neural Network (RNN):</w:t>
      </w:r>
    </w:p>
    <w:p w14:paraId="3E3AB932" w14:textId="77777777" w:rsidR="00FE2522" w:rsidRPr="00D40BC0" w:rsidRDefault="00FE2522" w:rsidP="00FE2522">
      <w:pPr>
        <w:ind w:firstLine="0"/>
        <w:jc w:val="left"/>
      </w:pPr>
      <w:r>
        <w:t>Methodology: RNN is designed to handle sequential data by maintaining a state vector that captures information about previous inputs. This allows RNNs to model temporal dependencies in data. Long Short-Term Memory (LSTM) and Gated Recurrent Unit (GRU) are popular RNN variants that address the vanishing gradient problem. RNNs are suitable for sequential data like time series, natural language, and speech recognition tasks.</w:t>
      </w:r>
    </w:p>
    <w:p w14:paraId="6DDF7E2A" w14:textId="77777777" w:rsidR="00FE2522" w:rsidRPr="00D40BC0" w:rsidRDefault="00FE2522" w:rsidP="00FE2522">
      <w:pPr>
        <w:jc w:val="left"/>
      </w:pPr>
    </w:p>
    <w:p w14:paraId="31F80AA5" w14:textId="77777777" w:rsidR="00FE2522" w:rsidRPr="00D40BC0" w:rsidRDefault="00FE2522" w:rsidP="00FE2522">
      <w:pPr>
        <w:ind w:firstLine="0"/>
        <w:jc w:val="left"/>
      </w:pPr>
      <w:r>
        <w:t>Support Vector Machine (SVM):</w:t>
      </w:r>
    </w:p>
    <w:p w14:paraId="13BD1950" w14:textId="77777777" w:rsidR="00FE2522" w:rsidRPr="00D40BC0" w:rsidRDefault="00FE2522" w:rsidP="00FE2522">
      <w:pPr>
        <w:ind w:firstLine="0"/>
        <w:jc w:val="left"/>
      </w:pPr>
      <w:r>
        <w:t>Methodology: SVM is a supervised learning algorithm used for classification and regression tasks. It works by finding the hyperplane that best separates different classes in the feature space. SVM can use various kernel functions to map input data into higher-dimensional spaces to find non-linear decision boundaries. SVMs are effective in high-dimensional spaces and are particularly well-suited for small to medium-sized datasets.</w:t>
      </w:r>
    </w:p>
    <w:p w14:paraId="5880BC79" w14:textId="77777777" w:rsidR="00FE2522" w:rsidRDefault="00FE2522" w:rsidP="00FE2522">
      <w:pPr>
        <w:ind w:firstLine="0"/>
        <w:jc w:val="left"/>
      </w:pPr>
    </w:p>
    <w:p w14:paraId="5DCB4074" w14:textId="77777777" w:rsidR="00FE2522" w:rsidRPr="00D40BC0" w:rsidRDefault="00FE2522" w:rsidP="00FE2522">
      <w:pPr>
        <w:ind w:firstLine="0"/>
        <w:jc w:val="left"/>
      </w:pPr>
      <w:r>
        <w:t>Simple Neural Network:</w:t>
      </w:r>
    </w:p>
    <w:p w14:paraId="59747B74" w14:textId="77777777" w:rsidR="00FE2522" w:rsidRDefault="00FE2522" w:rsidP="00FE2522">
      <w:pPr>
        <w:ind w:firstLine="0"/>
        <w:jc w:val="left"/>
      </w:pPr>
      <w:r>
        <w:t>Methodology: A simple neural network consists of an input layer, one or more hidden layers, and an output layer. Each layer contains neurons that are interconnected and apply a nonlinear activation function to their inputs. These networks are trained using techniques like backpropagation and gradient descent. Simple neural networks are versatile and can be applied to a wide range of tasks.</w:t>
      </w:r>
    </w:p>
    <w:p w14:paraId="64B0FEC2" w14:textId="77777777" w:rsidR="00FE2522" w:rsidRDefault="00FE2522" w:rsidP="00FE2522">
      <w:pPr>
        <w:ind w:firstLine="0"/>
        <w:jc w:val="left"/>
      </w:pPr>
    </w:p>
    <w:p w14:paraId="752A4EB6" w14:textId="77777777" w:rsidR="00FE2522" w:rsidRPr="00D40BC0" w:rsidRDefault="00FE2522" w:rsidP="00FE2522">
      <w:pPr>
        <w:pStyle w:val="Tablecaption"/>
        <w:jc w:val="left"/>
      </w:pPr>
    </w:p>
    <w:p w14:paraId="731A8E15" w14:textId="77777777" w:rsidR="00FE2522" w:rsidRPr="00D40BC0" w:rsidRDefault="00FE2522" w:rsidP="00FE2522">
      <w:pPr>
        <w:pStyle w:val="Tablecaption"/>
        <w:jc w:val="left"/>
        <w:rPr>
          <w:sz w:val="16"/>
          <w:szCs w:val="16"/>
        </w:rPr>
      </w:pPr>
      <w:r w:rsidRPr="14A6A267">
        <w:rPr>
          <w:sz w:val="18"/>
          <w:szCs w:val="18"/>
        </w:rPr>
        <w:t xml:space="preserve">               Table 3. Comparative analysis of models used.</w:t>
      </w:r>
    </w:p>
    <w:tbl>
      <w:tblPr>
        <w:tblStyle w:val="TableGrid"/>
        <w:tblW w:w="7079" w:type="dxa"/>
        <w:tblBorders>
          <w:left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415"/>
        <w:gridCol w:w="1416"/>
        <w:gridCol w:w="1416"/>
        <w:gridCol w:w="1416"/>
        <w:gridCol w:w="1416"/>
      </w:tblGrid>
      <w:tr w:rsidR="00FE2522" w:rsidRPr="00390FB7" w14:paraId="0CA9692F" w14:textId="77777777" w:rsidTr="004C6427">
        <w:trPr>
          <w:trHeight w:val="300"/>
        </w:trPr>
        <w:tc>
          <w:tcPr>
            <w:tcW w:w="1415" w:type="dxa"/>
            <w:tcBorders>
              <w:top w:val="single" w:sz="4" w:space="0" w:color="auto"/>
              <w:bottom w:val="single" w:sz="4" w:space="0" w:color="auto"/>
            </w:tcBorders>
          </w:tcPr>
          <w:p w14:paraId="5CC9A01B" w14:textId="77777777" w:rsidR="00FE2522" w:rsidRPr="00390FB7" w:rsidRDefault="00FE2522" w:rsidP="004C6427">
            <w:pPr>
              <w:pStyle w:val="Tabletext"/>
              <w:spacing w:line="276" w:lineRule="auto"/>
            </w:pPr>
            <w:r>
              <w:t>Sr</w:t>
            </w:r>
          </w:p>
        </w:tc>
        <w:tc>
          <w:tcPr>
            <w:tcW w:w="1416" w:type="dxa"/>
            <w:tcBorders>
              <w:top w:val="single" w:sz="4" w:space="0" w:color="auto"/>
              <w:bottom w:val="single" w:sz="4" w:space="0" w:color="auto"/>
            </w:tcBorders>
          </w:tcPr>
          <w:p w14:paraId="3E101BFA" w14:textId="77777777" w:rsidR="00FE2522" w:rsidRPr="00390FB7" w:rsidRDefault="00FE2522" w:rsidP="004C6427">
            <w:pPr>
              <w:pStyle w:val="Tabletext"/>
              <w:spacing w:line="276" w:lineRule="auto"/>
              <w:rPr>
                <w:rStyle w:val="selectable-text"/>
              </w:rPr>
            </w:pPr>
            <w:r w:rsidRPr="36563E26">
              <w:rPr>
                <w:rStyle w:val="selectable-text"/>
              </w:rPr>
              <w:t>Models</w:t>
            </w:r>
          </w:p>
        </w:tc>
        <w:tc>
          <w:tcPr>
            <w:tcW w:w="1416" w:type="dxa"/>
            <w:tcBorders>
              <w:top w:val="single" w:sz="4" w:space="0" w:color="auto"/>
              <w:bottom w:val="single" w:sz="4" w:space="0" w:color="auto"/>
            </w:tcBorders>
          </w:tcPr>
          <w:p w14:paraId="0B0E1C71" w14:textId="77777777" w:rsidR="00FE2522" w:rsidRPr="00390FB7" w:rsidRDefault="00FE2522" w:rsidP="004C6427">
            <w:pPr>
              <w:pStyle w:val="Tabletext"/>
              <w:spacing w:line="276" w:lineRule="auto"/>
              <w:rPr>
                <w:szCs w:val="22"/>
              </w:rPr>
            </w:pPr>
            <w:r>
              <w:rPr>
                <w:szCs w:val="22"/>
              </w:rPr>
              <w:t>T</w:t>
            </w:r>
            <w:r>
              <w:t>est Accuracy</w:t>
            </w:r>
          </w:p>
        </w:tc>
        <w:tc>
          <w:tcPr>
            <w:tcW w:w="1416" w:type="dxa"/>
            <w:tcBorders>
              <w:top w:val="single" w:sz="4" w:space="0" w:color="auto"/>
              <w:bottom w:val="single" w:sz="4" w:space="0" w:color="auto"/>
            </w:tcBorders>
          </w:tcPr>
          <w:p w14:paraId="3765CDA1" w14:textId="77777777" w:rsidR="00FE2522" w:rsidRPr="00390FB7" w:rsidRDefault="00FE2522" w:rsidP="004C6427">
            <w:pPr>
              <w:pStyle w:val="Tabletext"/>
              <w:spacing w:line="276" w:lineRule="auto"/>
              <w:rPr>
                <w:szCs w:val="22"/>
              </w:rPr>
            </w:pPr>
            <w:r>
              <w:rPr>
                <w:szCs w:val="22"/>
              </w:rPr>
              <w:t>T</w:t>
            </w:r>
            <w:r>
              <w:t>est Precision</w:t>
            </w:r>
          </w:p>
        </w:tc>
        <w:tc>
          <w:tcPr>
            <w:tcW w:w="1416" w:type="dxa"/>
            <w:tcBorders>
              <w:top w:val="single" w:sz="4" w:space="0" w:color="auto"/>
              <w:bottom w:val="single" w:sz="4" w:space="0" w:color="auto"/>
            </w:tcBorders>
          </w:tcPr>
          <w:p w14:paraId="578E6444" w14:textId="77777777" w:rsidR="00FE2522" w:rsidRPr="00390FB7" w:rsidRDefault="00FE2522" w:rsidP="004C6427">
            <w:pPr>
              <w:pStyle w:val="Tabletext"/>
              <w:spacing w:line="276" w:lineRule="auto"/>
              <w:rPr>
                <w:szCs w:val="22"/>
              </w:rPr>
            </w:pPr>
            <w:r>
              <w:rPr>
                <w:szCs w:val="22"/>
              </w:rPr>
              <w:t>T</w:t>
            </w:r>
            <w:r>
              <w:t xml:space="preserve">est </w:t>
            </w:r>
            <w:r>
              <w:rPr>
                <w:szCs w:val="22"/>
              </w:rPr>
              <w:t>R</w:t>
            </w:r>
            <w:r>
              <w:t>ecall</w:t>
            </w:r>
          </w:p>
        </w:tc>
      </w:tr>
      <w:tr w:rsidR="00FE2522" w:rsidRPr="00390FB7" w14:paraId="2CE7C9C1" w14:textId="77777777" w:rsidTr="004C6427">
        <w:trPr>
          <w:trHeight w:val="300"/>
        </w:trPr>
        <w:tc>
          <w:tcPr>
            <w:tcW w:w="1415" w:type="dxa"/>
            <w:tcBorders>
              <w:top w:val="single" w:sz="4" w:space="0" w:color="auto"/>
            </w:tcBorders>
          </w:tcPr>
          <w:p w14:paraId="5A34F9CD" w14:textId="77777777" w:rsidR="00FE2522" w:rsidRPr="00390FB7" w:rsidRDefault="00FE2522" w:rsidP="004C6427">
            <w:pPr>
              <w:pStyle w:val="Tabletext"/>
              <w:spacing w:line="276" w:lineRule="auto"/>
              <w:rPr>
                <w:szCs w:val="22"/>
              </w:rPr>
            </w:pPr>
            <w:r w:rsidRPr="00390FB7">
              <w:rPr>
                <w:szCs w:val="22"/>
              </w:rPr>
              <w:t>1</w:t>
            </w:r>
          </w:p>
        </w:tc>
        <w:tc>
          <w:tcPr>
            <w:tcW w:w="1416" w:type="dxa"/>
            <w:tcBorders>
              <w:top w:val="single" w:sz="4" w:space="0" w:color="auto"/>
            </w:tcBorders>
          </w:tcPr>
          <w:p w14:paraId="3D60237C" w14:textId="77777777" w:rsidR="00FE2522" w:rsidRPr="00390FB7" w:rsidRDefault="00FE2522" w:rsidP="004C6427">
            <w:pPr>
              <w:pStyle w:val="Tabletext"/>
              <w:spacing w:line="276" w:lineRule="auto"/>
              <w:rPr>
                <w:color w:val="0D0D0D" w:themeColor="text1" w:themeTint="F2"/>
              </w:rPr>
            </w:pPr>
            <w:r w:rsidRPr="6AB23AEA">
              <w:rPr>
                <w:color w:val="0D0D0D" w:themeColor="text1" w:themeTint="F2"/>
              </w:rPr>
              <w:t>SVM</w:t>
            </w:r>
          </w:p>
        </w:tc>
        <w:tc>
          <w:tcPr>
            <w:tcW w:w="1416" w:type="dxa"/>
            <w:tcBorders>
              <w:top w:val="single" w:sz="4" w:space="0" w:color="auto"/>
            </w:tcBorders>
          </w:tcPr>
          <w:p w14:paraId="2C3E291C" w14:textId="77777777" w:rsidR="00FE2522" w:rsidRPr="00390FB7" w:rsidRDefault="00FE2522" w:rsidP="004C6427">
            <w:pPr>
              <w:pStyle w:val="Tabletext"/>
              <w:spacing w:line="276" w:lineRule="auto"/>
            </w:pPr>
            <w:r>
              <w:t>96.32</w:t>
            </w:r>
          </w:p>
        </w:tc>
        <w:tc>
          <w:tcPr>
            <w:tcW w:w="1416" w:type="dxa"/>
            <w:tcBorders>
              <w:top w:val="single" w:sz="4" w:space="0" w:color="auto"/>
            </w:tcBorders>
          </w:tcPr>
          <w:p w14:paraId="67BBE193" w14:textId="77777777" w:rsidR="00FE2522" w:rsidRPr="00390FB7" w:rsidRDefault="00FE2522" w:rsidP="004C6427">
            <w:pPr>
              <w:pStyle w:val="Tabletext"/>
              <w:spacing w:line="276" w:lineRule="auto"/>
            </w:pPr>
            <w:r>
              <w:t>96.32</w:t>
            </w:r>
          </w:p>
        </w:tc>
        <w:tc>
          <w:tcPr>
            <w:tcW w:w="1416" w:type="dxa"/>
            <w:tcBorders>
              <w:top w:val="single" w:sz="4" w:space="0" w:color="auto"/>
            </w:tcBorders>
          </w:tcPr>
          <w:p w14:paraId="2DC9AC67" w14:textId="77777777" w:rsidR="00FE2522" w:rsidRPr="00390FB7" w:rsidRDefault="00FE2522" w:rsidP="004C6427">
            <w:pPr>
              <w:pStyle w:val="Tabletext"/>
              <w:spacing w:line="276" w:lineRule="auto"/>
            </w:pPr>
            <w:r>
              <w:t>96.32</w:t>
            </w:r>
          </w:p>
        </w:tc>
      </w:tr>
      <w:tr w:rsidR="00FE2522" w:rsidRPr="00390FB7" w14:paraId="4E546D41" w14:textId="77777777" w:rsidTr="004C6427">
        <w:trPr>
          <w:trHeight w:val="300"/>
        </w:trPr>
        <w:tc>
          <w:tcPr>
            <w:tcW w:w="1415" w:type="dxa"/>
          </w:tcPr>
          <w:p w14:paraId="5333BEE3" w14:textId="77777777" w:rsidR="00FE2522" w:rsidRPr="00390FB7" w:rsidRDefault="00FE2522" w:rsidP="004C6427">
            <w:pPr>
              <w:pStyle w:val="Tabletext"/>
              <w:spacing w:line="276" w:lineRule="auto"/>
              <w:rPr>
                <w:szCs w:val="22"/>
              </w:rPr>
            </w:pPr>
            <w:r w:rsidRPr="00390FB7">
              <w:rPr>
                <w:szCs w:val="22"/>
              </w:rPr>
              <w:t>2</w:t>
            </w:r>
          </w:p>
        </w:tc>
        <w:tc>
          <w:tcPr>
            <w:tcW w:w="1416" w:type="dxa"/>
          </w:tcPr>
          <w:p w14:paraId="032EF923" w14:textId="77777777" w:rsidR="00FE2522" w:rsidRPr="00390FB7" w:rsidRDefault="00FE2522" w:rsidP="004C6427">
            <w:pPr>
              <w:pStyle w:val="Tabletext"/>
              <w:spacing w:line="276" w:lineRule="auto"/>
            </w:pPr>
            <w:r>
              <w:t>SNN</w:t>
            </w:r>
          </w:p>
        </w:tc>
        <w:tc>
          <w:tcPr>
            <w:tcW w:w="1416" w:type="dxa"/>
          </w:tcPr>
          <w:p w14:paraId="3C18720E" w14:textId="77777777" w:rsidR="00FE2522" w:rsidRPr="00390FB7" w:rsidRDefault="00FE2522" w:rsidP="004C6427">
            <w:pPr>
              <w:pStyle w:val="Tabletext"/>
              <w:spacing w:line="276" w:lineRule="auto"/>
            </w:pPr>
            <w:r>
              <w:t>99.84</w:t>
            </w:r>
          </w:p>
        </w:tc>
        <w:tc>
          <w:tcPr>
            <w:tcW w:w="1416" w:type="dxa"/>
          </w:tcPr>
          <w:p w14:paraId="10DC61BA" w14:textId="77777777" w:rsidR="00FE2522" w:rsidRPr="00390FB7" w:rsidRDefault="00FE2522" w:rsidP="004C6427">
            <w:pPr>
              <w:pStyle w:val="Tabletext"/>
              <w:spacing w:line="276" w:lineRule="auto"/>
            </w:pPr>
            <w:r>
              <w:t>99.84</w:t>
            </w:r>
          </w:p>
        </w:tc>
        <w:tc>
          <w:tcPr>
            <w:tcW w:w="1416" w:type="dxa"/>
          </w:tcPr>
          <w:p w14:paraId="719DD07E" w14:textId="77777777" w:rsidR="00FE2522" w:rsidRPr="00390FB7" w:rsidRDefault="00FE2522" w:rsidP="004C6427">
            <w:pPr>
              <w:pStyle w:val="Tabletext"/>
              <w:spacing w:line="276" w:lineRule="auto"/>
            </w:pPr>
            <w:r>
              <w:t>99.84</w:t>
            </w:r>
          </w:p>
        </w:tc>
      </w:tr>
      <w:tr w:rsidR="00FE2522" w:rsidRPr="00390FB7" w14:paraId="01BA69D3" w14:textId="77777777" w:rsidTr="004C6427">
        <w:trPr>
          <w:trHeight w:val="300"/>
        </w:trPr>
        <w:tc>
          <w:tcPr>
            <w:tcW w:w="1415" w:type="dxa"/>
          </w:tcPr>
          <w:p w14:paraId="17F03DA4" w14:textId="77777777" w:rsidR="00FE2522" w:rsidRPr="00390FB7" w:rsidRDefault="00FE2522" w:rsidP="004C6427">
            <w:pPr>
              <w:pStyle w:val="Tabletext"/>
              <w:spacing w:line="276" w:lineRule="auto"/>
              <w:rPr>
                <w:szCs w:val="22"/>
              </w:rPr>
            </w:pPr>
            <w:r w:rsidRPr="00390FB7">
              <w:rPr>
                <w:szCs w:val="22"/>
              </w:rPr>
              <w:t>3</w:t>
            </w:r>
          </w:p>
        </w:tc>
        <w:tc>
          <w:tcPr>
            <w:tcW w:w="1416" w:type="dxa"/>
          </w:tcPr>
          <w:p w14:paraId="76798D0C" w14:textId="77777777" w:rsidR="00FE2522" w:rsidRPr="00390FB7" w:rsidRDefault="00FE2522" w:rsidP="004C6427">
            <w:pPr>
              <w:pStyle w:val="Tabletext"/>
              <w:spacing w:line="276" w:lineRule="auto"/>
            </w:pPr>
            <w:r>
              <w:t>RNN</w:t>
            </w:r>
          </w:p>
        </w:tc>
        <w:tc>
          <w:tcPr>
            <w:tcW w:w="1416" w:type="dxa"/>
          </w:tcPr>
          <w:p w14:paraId="302508B6" w14:textId="77777777" w:rsidR="00FE2522" w:rsidRPr="00390FB7" w:rsidRDefault="00FE2522" w:rsidP="004C6427">
            <w:pPr>
              <w:pStyle w:val="Tabletext"/>
              <w:spacing w:line="276" w:lineRule="auto"/>
            </w:pPr>
            <w:r>
              <w:t>99.97</w:t>
            </w:r>
          </w:p>
        </w:tc>
        <w:tc>
          <w:tcPr>
            <w:tcW w:w="1416" w:type="dxa"/>
          </w:tcPr>
          <w:p w14:paraId="17CBF1A1" w14:textId="77777777" w:rsidR="00FE2522" w:rsidRPr="00390FB7" w:rsidRDefault="00FE2522" w:rsidP="004C6427">
            <w:pPr>
              <w:pStyle w:val="Tabletext"/>
              <w:spacing w:line="276" w:lineRule="auto"/>
            </w:pPr>
            <w:r>
              <w:t>99.97</w:t>
            </w:r>
          </w:p>
        </w:tc>
        <w:tc>
          <w:tcPr>
            <w:tcW w:w="1416" w:type="dxa"/>
          </w:tcPr>
          <w:p w14:paraId="06017A38" w14:textId="77777777" w:rsidR="00FE2522" w:rsidRPr="00390FB7" w:rsidRDefault="00FE2522" w:rsidP="004C6427">
            <w:pPr>
              <w:pStyle w:val="Tabletext"/>
              <w:spacing w:line="276" w:lineRule="auto"/>
            </w:pPr>
            <w:r>
              <w:t>99.97</w:t>
            </w:r>
          </w:p>
        </w:tc>
      </w:tr>
      <w:tr w:rsidR="00FE2522" w:rsidRPr="00390FB7" w14:paraId="13A02C01" w14:textId="77777777" w:rsidTr="00FE2522">
        <w:trPr>
          <w:trHeight w:val="300"/>
        </w:trPr>
        <w:tc>
          <w:tcPr>
            <w:tcW w:w="1415" w:type="dxa"/>
            <w:tcBorders>
              <w:bottom w:val="nil"/>
            </w:tcBorders>
          </w:tcPr>
          <w:p w14:paraId="677A6EF5" w14:textId="77777777" w:rsidR="00FE2522" w:rsidRPr="00390FB7" w:rsidRDefault="00FE2522" w:rsidP="004C6427">
            <w:pPr>
              <w:pStyle w:val="Tabletext"/>
              <w:spacing w:line="276" w:lineRule="auto"/>
              <w:rPr>
                <w:szCs w:val="22"/>
              </w:rPr>
            </w:pPr>
            <w:r w:rsidRPr="00390FB7">
              <w:rPr>
                <w:szCs w:val="22"/>
              </w:rPr>
              <w:t>4</w:t>
            </w:r>
          </w:p>
        </w:tc>
        <w:tc>
          <w:tcPr>
            <w:tcW w:w="1416" w:type="dxa"/>
            <w:tcBorders>
              <w:bottom w:val="nil"/>
            </w:tcBorders>
          </w:tcPr>
          <w:p w14:paraId="5EFFACC2" w14:textId="77777777" w:rsidR="00FE2522" w:rsidRPr="00390FB7" w:rsidRDefault="00FE2522" w:rsidP="004C6427">
            <w:pPr>
              <w:pStyle w:val="Tabletext"/>
              <w:spacing w:line="276" w:lineRule="auto"/>
            </w:pPr>
            <w:r>
              <w:t xml:space="preserve">CNN </w:t>
            </w:r>
          </w:p>
        </w:tc>
        <w:tc>
          <w:tcPr>
            <w:tcW w:w="1416" w:type="dxa"/>
            <w:tcBorders>
              <w:bottom w:val="nil"/>
            </w:tcBorders>
          </w:tcPr>
          <w:p w14:paraId="119373B5" w14:textId="77777777" w:rsidR="00FE2522" w:rsidRPr="00390FB7" w:rsidRDefault="00FE2522" w:rsidP="004C6427">
            <w:pPr>
              <w:pStyle w:val="Tabletext"/>
              <w:spacing w:line="276" w:lineRule="auto"/>
            </w:pPr>
            <w:r>
              <w:t>99.84</w:t>
            </w:r>
          </w:p>
        </w:tc>
        <w:tc>
          <w:tcPr>
            <w:tcW w:w="1416" w:type="dxa"/>
            <w:tcBorders>
              <w:bottom w:val="nil"/>
            </w:tcBorders>
          </w:tcPr>
          <w:p w14:paraId="60CAA970" w14:textId="77777777" w:rsidR="00FE2522" w:rsidRPr="00390FB7" w:rsidRDefault="00FE2522" w:rsidP="004C6427">
            <w:pPr>
              <w:pStyle w:val="Tabletext"/>
              <w:spacing w:line="276" w:lineRule="auto"/>
            </w:pPr>
            <w:r>
              <w:t xml:space="preserve">99.84 </w:t>
            </w:r>
          </w:p>
        </w:tc>
        <w:tc>
          <w:tcPr>
            <w:tcW w:w="1416" w:type="dxa"/>
            <w:tcBorders>
              <w:bottom w:val="nil"/>
            </w:tcBorders>
          </w:tcPr>
          <w:p w14:paraId="59D320DA" w14:textId="77777777" w:rsidR="00FE2522" w:rsidRPr="00390FB7" w:rsidRDefault="00FE2522" w:rsidP="004C6427">
            <w:pPr>
              <w:pStyle w:val="Tabletext"/>
              <w:spacing w:line="276" w:lineRule="auto"/>
            </w:pPr>
            <w:r>
              <w:t>99.84</w:t>
            </w:r>
          </w:p>
        </w:tc>
      </w:tr>
      <w:tr w:rsidR="00FE2522" w:rsidRPr="00390FB7" w14:paraId="7E804800" w14:textId="77777777" w:rsidTr="00FE2522">
        <w:trPr>
          <w:trHeight w:val="300"/>
        </w:trPr>
        <w:tc>
          <w:tcPr>
            <w:tcW w:w="1415" w:type="dxa"/>
            <w:tcBorders>
              <w:top w:val="nil"/>
              <w:bottom w:val="single" w:sz="4" w:space="0" w:color="auto"/>
            </w:tcBorders>
          </w:tcPr>
          <w:p w14:paraId="02C4EFEB" w14:textId="77777777" w:rsidR="00FE2522" w:rsidRPr="00390FB7" w:rsidRDefault="00FE2522" w:rsidP="004C6427">
            <w:pPr>
              <w:pStyle w:val="Tabletext"/>
              <w:spacing w:line="276" w:lineRule="auto"/>
              <w:rPr>
                <w:szCs w:val="22"/>
              </w:rPr>
            </w:pPr>
            <w:r w:rsidRPr="00390FB7">
              <w:rPr>
                <w:szCs w:val="22"/>
              </w:rPr>
              <w:lastRenderedPageBreak/>
              <w:t>5</w:t>
            </w:r>
          </w:p>
        </w:tc>
        <w:tc>
          <w:tcPr>
            <w:tcW w:w="1416" w:type="dxa"/>
            <w:tcBorders>
              <w:top w:val="nil"/>
              <w:bottom w:val="single" w:sz="4" w:space="0" w:color="auto"/>
            </w:tcBorders>
          </w:tcPr>
          <w:p w14:paraId="5834BDC5" w14:textId="77777777" w:rsidR="00FE2522" w:rsidRPr="00390FB7" w:rsidRDefault="00FE2522" w:rsidP="004C6427">
            <w:pPr>
              <w:pStyle w:val="Tabletext"/>
              <w:spacing w:line="276" w:lineRule="auto"/>
            </w:pPr>
            <w:r>
              <w:t>RANDOM</w:t>
            </w:r>
          </w:p>
          <w:p w14:paraId="7A611FA2" w14:textId="77777777" w:rsidR="00FE2522" w:rsidRPr="00390FB7" w:rsidRDefault="00FE2522" w:rsidP="004C6427">
            <w:pPr>
              <w:pStyle w:val="Tabletext"/>
              <w:spacing w:line="276" w:lineRule="auto"/>
            </w:pPr>
            <w:r>
              <w:t>FOREST</w:t>
            </w:r>
          </w:p>
        </w:tc>
        <w:tc>
          <w:tcPr>
            <w:tcW w:w="1416" w:type="dxa"/>
            <w:tcBorders>
              <w:top w:val="nil"/>
              <w:bottom w:val="single" w:sz="4" w:space="0" w:color="auto"/>
            </w:tcBorders>
          </w:tcPr>
          <w:p w14:paraId="7B077E5D" w14:textId="77777777" w:rsidR="00FE2522" w:rsidRPr="00390FB7" w:rsidRDefault="00FE2522" w:rsidP="004C6427">
            <w:pPr>
              <w:pStyle w:val="Tabletext"/>
              <w:spacing w:line="276" w:lineRule="auto"/>
            </w:pPr>
            <w:r>
              <w:t>99.99</w:t>
            </w:r>
          </w:p>
        </w:tc>
        <w:tc>
          <w:tcPr>
            <w:tcW w:w="1416" w:type="dxa"/>
            <w:tcBorders>
              <w:top w:val="nil"/>
              <w:bottom w:val="single" w:sz="4" w:space="0" w:color="auto"/>
            </w:tcBorders>
          </w:tcPr>
          <w:p w14:paraId="6987A101" w14:textId="77777777" w:rsidR="00FE2522" w:rsidRPr="00390FB7" w:rsidRDefault="00FE2522" w:rsidP="004C6427">
            <w:pPr>
              <w:pStyle w:val="Tabletext"/>
              <w:spacing w:line="276" w:lineRule="auto"/>
            </w:pPr>
            <w:r>
              <w:t>99.99</w:t>
            </w:r>
          </w:p>
        </w:tc>
        <w:tc>
          <w:tcPr>
            <w:tcW w:w="1416" w:type="dxa"/>
            <w:tcBorders>
              <w:top w:val="nil"/>
              <w:bottom w:val="single" w:sz="4" w:space="0" w:color="auto"/>
            </w:tcBorders>
          </w:tcPr>
          <w:p w14:paraId="1338A0DF" w14:textId="77777777" w:rsidR="00FE2522" w:rsidRPr="00390FB7" w:rsidRDefault="00FE2522" w:rsidP="004C6427">
            <w:pPr>
              <w:pStyle w:val="Tabletext"/>
              <w:spacing w:line="276" w:lineRule="auto"/>
            </w:pPr>
            <w:r>
              <w:t>99,99</w:t>
            </w:r>
          </w:p>
        </w:tc>
      </w:tr>
    </w:tbl>
    <w:p w14:paraId="1A5722A9" w14:textId="77777777" w:rsidR="00FE2522" w:rsidRPr="00D40BC0" w:rsidRDefault="00FE2522" w:rsidP="00FE2522">
      <w:pPr>
        <w:ind w:firstLine="0"/>
        <w:jc w:val="left"/>
      </w:pPr>
    </w:p>
    <w:p w14:paraId="1BD96E36" w14:textId="77777777" w:rsidR="00FE2522" w:rsidRDefault="00FE2522" w:rsidP="00FE2522">
      <w:pPr>
        <w:ind w:firstLine="0"/>
        <w:jc w:val="left"/>
      </w:pPr>
    </w:p>
    <w:p w14:paraId="7F65C5A9" w14:textId="77777777" w:rsidR="00FE2522" w:rsidRDefault="00FE2522" w:rsidP="00FE2522">
      <w:pPr>
        <w:ind w:firstLine="0"/>
        <w:jc w:val="left"/>
      </w:pPr>
    </w:p>
    <w:p w14:paraId="7E5CDF80" w14:textId="77777777" w:rsidR="00FE2522" w:rsidRDefault="00FE2522" w:rsidP="00FE2522">
      <w:pPr>
        <w:ind w:firstLine="0"/>
        <w:jc w:val="left"/>
      </w:pPr>
    </w:p>
    <w:p w14:paraId="4BF71C1F" w14:textId="77777777" w:rsidR="00FE2522" w:rsidRDefault="00FE2522" w:rsidP="00FE2522">
      <w:pPr>
        <w:ind w:firstLine="0"/>
        <w:jc w:val="left"/>
      </w:pPr>
    </w:p>
    <w:p w14:paraId="61FEBD62" w14:textId="77777777" w:rsidR="00FE2522" w:rsidRDefault="00FE2522" w:rsidP="00FE2522">
      <w:pPr>
        <w:ind w:firstLine="0"/>
        <w:jc w:val="left"/>
      </w:pPr>
    </w:p>
    <w:p w14:paraId="04B43691" w14:textId="77777777" w:rsidR="00FE2522" w:rsidRDefault="00FE2522" w:rsidP="00FE2522">
      <w:pPr>
        <w:ind w:firstLine="0"/>
        <w:jc w:val="left"/>
      </w:pPr>
    </w:p>
    <w:p w14:paraId="109E039D" w14:textId="77777777" w:rsidR="00FE2522" w:rsidRDefault="00FE2522" w:rsidP="00FE2522">
      <w:pPr>
        <w:ind w:firstLine="0"/>
        <w:jc w:val="left"/>
      </w:pPr>
      <w:r w:rsidRPr="00FE2522">
        <w:rPr>
          <w:noProof/>
          <w:lang w:val="en-IN" w:eastAsia="en-IN"/>
        </w:rPr>
        <w:drawing>
          <wp:anchor distT="0" distB="0" distL="114300" distR="114300" simplePos="0" relativeHeight="251658240" behindDoc="0" locked="0" layoutInCell="1" allowOverlap="1" wp14:anchorId="772E222B" wp14:editId="3C39BCA1">
            <wp:simplePos x="0" y="0"/>
            <wp:positionH relativeFrom="margin">
              <wp:align>left</wp:align>
            </wp:positionH>
            <wp:positionV relativeFrom="paragraph">
              <wp:posOffset>284480</wp:posOffset>
            </wp:positionV>
            <wp:extent cx="5338445"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8445" cy="2247900"/>
                    </a:xfrm>
                    <a:prstGeom prst="rect">
                      <a:avLst/>
                    </a:prstGeom>
                  </pic:spPr>
                </pic:pic>
              </a:graphicData>
            </a:graphic>
            <wp14:sizeRelH relativeFrom="margin">
              <wp14:pctWidth>0</wp14:pctWidth>
            </wp14:sizeRelH>
            <wp14:sizeRelV relativeFrom="margin">
              <wp14:pctHeight>0</wp14:pctHeight>
            </wp14:sizeRelV>
          </wp:anchor>
        </w:drawing>
      </w:r>
    </w:p>
    <w:p w14:paraId="18FD5496" w14:textId="77777777" w:rsidR="00FE2522" w:rsidRDefault="00FE2522" w:rsidP="00FE2522">
      <w:pPr>
        <w:ind w:firstLine="0"/>
        <w:jc w:val="left"/>
        <w:rPr>
          <w:sz w:val="16"/>
          <w:szCs w:val="16"/>
        </w:rPr>
      </w:pPr>
      <w:r>
        <w:t xml:space="preserve">       </w:t>
      </w:r>
      <w:r w:rsidRPr="14A6A267">
        <w:rPr>
          <w:sz w:val="18"/>
          <w:szCs w:val="18"/>
        </w:rPr>
        <w:t xml:space="preserve"> Fig 1.1 Accuracy</w:t>
      </w:r>
    </w:p>
    <w:p w14:paraId="49A2BAF6" w14:textId="77777777" w:rsidR="00FE2522" w:rsidRDefault="00FE2522" w:rsidP="00FE2522">
      <w:pPr>
        <w:ind w:firstLine="0"/>
        <w:jc w:val="left"/>
      </w:pPr>
    </w:p>
    <w:p w14:paraId="02EB3940" w14:textId="77777777" w:rsidR="00FE2522" w:rsidRDefault="00FE2522" w:rsidP="00FE2522">
      <w:pPr>
        <w:pStyle w:val="Heading2"/>
        <w:numPr>
          <w:ilvl w:val="1"/>
          <w:numId w:val="0"/>
        </w:numPr>
      </w:pPr>
      <w:proofErr w:type="gramStart"/>
      <w:r>
        <w:t>3.3  Proposed</w:t>
      </w:r>
      <w:proofErr w:type="gramEnd"/>
      <w:r>
        <w:t xml:space="preserve"> Model</w:t>
      </w:r>
    </w:p>
    <w:p w14:paraId="1500037A" w14:textId="77777777" w:rsidR="00FE2522" w:rsidRDefault="00FE2522" w:rsidP="00FE2522">
      <w:pPr>
        <w:pStyle w:val="Firstparagraph"/>
        <w:jc w:val="left"/>
      </w:pPr>
      <w:r>
        <w:t>Our proposed model for defending against Distributed Denial of Service (DDoS) attacks is structured to create a resilient network environment capable of effectively detecting and mitigating malicious traffic. To initiate this defense, IoT devices are employed to simulate traffic floods, replicating the behavior of real DDoS attacks and facilitating comprehensive testing scenarios. Upon detecting these simulated floods, an immediate blacklisting mechanism is triggered, swiftly identifying and blocking the originating IP addresses to proactively mitigate further disruption. Following blacklisting, a rigorous model input filtering process is implemented, meticulously sieving through incoming data to ensure subsequent analysis is focused solely on authentic traffic, thereby enhancing the precision of the detection model and reducing false positives.</w:t>
      </w:r>
    </w:p>
    <w:p w14:paraId="3C920DC7" w14:textId="77777777" w:rsidR="00FE2522" w:rsidRDefault="00FE2522" w:rsidP="00FE2522">
      <w:pPr>
        <w:pStyle w:val="Firstparagraph"/>
        <w:jc w:val="left"/>
      </w:pPr>
    </w:p>
    <w:p w14:paraId="4A276D73" w14:textId="77777777" w:rsidR="00FE2522" w:rsidRPr="00E75688" w:rsidRDefault="00FE2522" w:rsidP="00FE2522">
      <w:pPr>
        <w:pStyle w:val="Firstparagraph"/>
        <w:jc w:val="left"/>
      </w:pPr>
      <w:r>
        <w:t>Central to our defense strategy is the development of a specialized DoS detection model, potentially utilizing advanced machine learning algorithms like Random Forest. Trained on historical data, this model possesses the capability to discern subtle patterns indicative of DDoS attacks within incoming traffic. Once anomalies are detected, the model swiftly produces binary output, serving as an alert mechanism to promptly flag the presence of an ongoing attack. Complementing this, a fortified secure server network is established as the final layer of defense. Equipped with robust security measures including firewalls, intrusion detection systems, and encryption protocols, this network functions as a centralized hub for receiving output from the detection model and orchestrating rapid responses to detected threats. By seamlessly integrating these components, our proposed model aims to achieve a heightened level of accuracy in detecting DDoS attacks while maintaining resilience against potential breaches or compromises. Through proactive measures such as blacklisting, meticulous data filtering, and advanced machine learning-driven detection, our model endeavors to safeguard network integrity and ensure uninterrupted operation, even in the face of sophisticated cyber threats.</w:t>
      </w:r>
    </w:p>
    <w:p w14:paraId="659EACAB" w14:textId="77777777" w:rsidR="00FE2522" w:rsidRDefault="00FE2522" w:rsidP="00FE2522">
      <w:pPr>
        <w:jc w:val="left"/>
      </w:pPr>
    </w:p>
    <w:p w14:paraId="1352F870" w14:textId="77777777" w:rsidR="00FE2522" w:rsidRDefault="00FE2522" w:rsidP="00FE2522">
      <w:pPr>
        <w:jc w:val="left"/>
      </w:pPr>
    </w:p>
    <w:p w14:paraId="71118BC5" w14:textId="77777777" w:rsidR="00FE2522" w:rsidRDefault="00FE2522" w:rsidP="00FE2522">
      <w:pPr>
        <w:jc w:val="left"/>
        <w:rPr>
          <w:noProof/>
          <w:lang w:val="en-IN" w:eastAsia="en-IN"/>
        </w:rPr>
      </w:pPr>
    </w:p>
    <w:p w14:paraId="492BEF6A" w14:textId="77777777" w:rsidR="00E24210" w:rsidRDefault="00E24210" w:rsidP="00FE2522">
      <w:pPr>
        <w:jc w:val="left"/>
        <w:rPr>
          <w:noProof/>
          <w:lang w:val="en-IN" w:eastAsia="en-IN"/>
        </w:rPr>
      </w:pPr>
    </w:p>
    <w:p w14:paraId="358C903F" w14:textId="77777777" w:rsidR="00E24210" w:rsidRDefault="00E24210" w:rsidP="00FE2522">
      <w:pPr>
        <w:jc w:val="left"/>
        <w:rPr>
          <w:noProof/>
          <w:lang w:val="en-IN" w:eastAsia="en-IN"/>
        </w:rPr>
      </w:pPr>
      <w:r>
        <w:rPr>
          <w:noProof/>
          <w:lang w:val="en-IN" w:eastAsia="en-IN"/>
        </w:rPr>
        <w:drawing>
          <wp:anchor distT="0" distB="0" distL="114300" distR="114300" simplePos="0" relativeHeight="251660288" behindDoc="0" locked="0" layoutInCell="1" allowOverlap="1" wp14:anchorId="53697A01" wp14:editId="107A5162">
            <wp:simplePos x="0" y="0"/>
            <wp:positionH relativeFrom="column">
              <wp:posOffset>0</wp:posOffset>
            </wp:positionH>
            <wp:positionV relativeFrom="paragraph">
              <wp:posOffset>151765</wp:posOffset>
            </wp:positionV>
            <wp:extent cx="3442923" cy="2728057"/>
            <wp:effectExtent l="0" t="0" r="5715" b="0"/>
            <wp:wrapSquare wrapText="bothSides"/>
            <wp:docPr id="1382827182" name="Picture 138282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827182"/>
                    <pic:cNvPicPr/>
                  </pic:nvPicPr>
                  <pic:blipFill>
                    <a:blip r:embed="rId14">
                      <a:extLst>
                        <a:ext uri="{28A0092B-C50C-407E-A947-70E740481C1C}">
                          <a14:useLocalDpi xmlns:a14="http://schemas.microsoft.com/office/drawing/2010/main" val="0"/>
                        </a:ext>
                      </a:extLst>
                    </a:blip>
                    <a:stretch>
                      <a:fillRect/>
                    </a:stretch>
                  </pic:blipFill>
                  <pic:spPr>
                    <a:xfrm>
                      <a:off x="0" y="0"/>
                      <a:ext cx="3442923" cy="2728057"/>
                    </a:xfrm>
                    <a:prstGeom prst="rect">
                      <a:avLst/>
                    </a:prstGeom>
                  </pic:spPr>
                </pic:pic>
              </a:graphicData>
            </a:graphic>
          </wp:anchor>
        </w:drawing>
      </w:r>
    </w:p>
    <w:p w14:paraId="6C869973" w14:textId="77777777" w:rsidR="00E24210" w:rsidRDefault="00E24210" w:rsidP="00FE2522">
      <w:pPr>
        <w:jc w:val="left"/>
        <w:rPr>
          <w:noProof/>
          <w:lang w:val="en-IN" w:eastAsia="en-IN"/>
        </w:rPr>
      </w:pPr>
    </w:p>
    <w:p w14:paraId="02B9C572" w14:textId="77777777" w:rsidR="00E24210" w:rsidRDefault="00E24210" w:rsidP="00FE2522">
      <w:pPr>
        <w:jc w:val="left"/>
        <w:rPr>
          <w:noProof/>
          <w:lang w:val="en-IN" w:eastAsia="en-IN"/>
        </w:rPr>
      </w:pPr>
    </w:p>
    <w:p w14:paraId="2BD852D9" w14:textId="77777777" w:rsidR="00E24210" w:rsidRDefault="00E24210" w:rsidP="00FE2522">
      <w:pPr>
        <w:jc w:val="left"/>
        <w:rPr>
          <w:noProof/>
          <w:lang w:val="en-IN" w:eastAsia="en-IN"/>
        </w:rPr>
      </w:pPr>
    </w:p>
    <w:p w14:paraId="24EF1DA9" w14:textId="77777777" w:rsidR="00E24210" w:rsidRDefault="00E24210" w:rsidP="00FE2522">
      <w:pPr>
        <w:jc w:val="left"/>
        <w:rPr>
          <w:noProof/>
          <w:lang w:val="en-IN" w:eastAsia="en-IN"/>
        </w:rPr>
      </w:pPr>
    </w:p>
    <w:p w14:paraId="0451AA2D" w14:textId="77777777" w:rsidR="00E24210" w:rsidRDefault="00E24210" w:rsidP="00FE2522">
      <w:pPr>
        <w:jc w:val="left"/>
        <w:rPr>
          <w:noProof/>
          <w:lang w:val="en-IN" w:eastAsia="en-IN"/>
        </w:rPr>
      </w:pPr>
    </w:p>
    <w:p w14:paraId="4BFA224A" w14:textId="77777777" w:rsidR="00E24210" w:rsidRDefault="00E24210" w:rsidP="00FE2522">
      <w:pPr>
        <w:jc w:val="left"/>
        <w:rPr>
          <w:noProof/>
          <w:lang w:val="en-IN" w:eastAsia="en-IN"/>
        </w:rPr>
      </w:pPr>
    </w:p>
    <w:p w14:paraId="56025596" w14:textId="77777777" w:rsidR="00E24210" w:rsidRDefault="00E24210" w:rsidP="00FE2522">
      <w:pPr>
        <w:jc w:val="left"/>
        <w:rPr>
          <w:noProof/>
          <w:lang w:val="en-IN" w:eastAsia="en-IN"/>
        </w:rPr>
      </w:pPr>
    </w:p>
    <w:p w14:paraId="329A3A21" w14:textId="77777777" w:rsidR="00E24210" w:rsidRDefault="00E24210" w:rsidP="00FE2522">
      <w:pPr>
        <w:jc w:val="left"/>
        <w:rPr>
          <w:noProof/>
          <w:lang w:val="en-IN" w:eastAsia="en-IN"/>
        </w:rPr>
      </w:pPr>
    </w:p>
    <w:p w14:paraId="61B4C746" w14:textId="77777777" w:rsidR="00E24210" w:rsidRDefault="00E24210" w:rsidP="00FE2522">
      <w:pPr>
        <w:jc w:val="left"/>
        <w:rPr>
          <w:noProof/>
          <w:lang w:val="en-IN" w:eastAsia="en-IN"/>
        </w:rPr>
      </w:pPr>
    </w:p>
    <w:p w14:paraId="6F4DA69D" w14:textId="77777777" w:rsidR="00E24210" w:rsidRDefault="00E24210" w:rsidP="00FE2522">
      <w:pPr>
        <w:jc w:val="left"/>
        <w:rPr>
          <w:noProof/>
          <w:lang w:val="en-IN" w:eastAsia="en-IN"/>
        </w:rPr>
      </w:pPr>
    </w:p>
    <w:p w14:paraId="10FDBB3E" w14:textId="77777777" w:rsidR="00E24210" w:rsidRDefault="00E24210" w:rsidP="00FE2522">
      <w:pPr>
        <w:jc w:val="left"/>
        <w:rPr>
          <w:noProof/>
          <w:lang w:val="en-IN" w:eastAsia="en-IN"/>
        </w:rPr>
      </w:pPr>
    </w:p>
    <w:p w14:paraId="7104E3B5" w14:textId="77777777" w:rsidR="00E24210" w:rsidRDefault="00E24210" w:rsidP="00FE2522">
      <w:pPr>
        <w:jc w:val="left"/>
        <w:rPr>
          <w:noProof/>
          <w:lang w:val="en-IN" w:eastAsia="en-IN"/>
        </w:rPr>
      </w:pPr>
    </w:p>
    <w:p w14:paraId="63A07AB5" w14:textId="77777777" w:rsidR="00E24210" w:rsidRDefault="00E24210" w:rsidP="00FE2522">
      <w:pPr>
        <w:jc w:val="left"/>
        <w:rPr>
          <w:noProof/>
          <w:lang w:val="en-IN" w:eastAsia="en-IN"/>
        </w:rPr>
      </w:pPr>
    </w:p>
    <w:p w14:paraId="1E905795" w14:textId="77777777" w:rsidR="00E24210" w:rsidRDefault="00E24210" w:rsidP="00FE2522">
      <w:pPr>
        <w:jc w:val="left"/>
        <w:rPr>
          <w:noProof/>
          <w:lang w:val="en-IN" w:eastAsia="en-IN"/>
        </w:rPr>
      </w:pPr>
    </w:p>
    <w:p w14:paraId="227CC333" w14:textId="77777777" w:rsidR="00E24210" w:rsidRDefault="00E24210" w:rsidP="00FE2522">
      <w:pPr>
        <w:jc w:val="left"/>
        <w:rPr>
          <w:noProof/>
          <w:lang w:val="en-IN" w:eastAsia="en-IN"/>
        </w:rPr>
      </w:pPr>
    </w:p>
    <w:p w14:paraId="27594DBA" w14:textId="77777777" w:rsidR="00E24210" w:rsidRDefault="00E24210" w:rsidP="00FE2522">
      <w:pPr>
        <w:jc w:val="left"/>
        <w:rPr>
          <w:noProof/>
          <w:lang w:val="en-IN" w:eastAsia="en-IN"/>
        </w:rPr>
      </w:pPr>
    </w:p>
    <w:p w14:paraId="28079603" w14:textId="77777777" w:rsidR="00E24210" w:rsidRDefault="00E24210" w:rsidP="00FE2522">
      <w:pPr>
        <w:jc w:val="left"/>
        <w:rPr>
          <w:noProof/>
          <w:lang w:val="en-IN" w:eastAsia="en-IN"/>
        </w:rPr>
      </w:pPr>
    </w:p>
    <w:p w14:paraId="4612C8D5" w14:textId="77777777" w:rsidR="00E24210" w:rsidRDefault="00E24210" w:rsidP="00E24210">
      <w:pPr>
        <w:ind w:firstLine="0"/>
        <w:jc w:val="left"/>
      </w:pPr>
    </w:p>
    <w:p w14:paraId="59AF61C1" w14:textId="77777777" w:rsidR="00FE2522" w:rsidRDefault="00FE2522" w:rsidP="00FE2522">
      <w:pPr>
        <w:pStyle w:val="Figurecaption"/>
        <w:jc w:val="left"/>
      </w:pPr>
      <w:r>
        <w:t xml:space="preserve">    Figure 1.2 Model’s Flow</w:t>
      </w:r>
    </w:p>
    <w:p w14:paraId="384602CE" w14:textId="77777777" w:rsidR="00FE2522" w:rsidRDefault="00FE2522" w:rsidP="00FE2522">
      <w:pPr>
        <w:ind w:firstLine="0"/>
        <w:jc w:val="left"/>
      </w:pPr>
    </w:p>
    <w:p w14:paraId="70E65C92" w14:textId="77777777" w:rsidR="00FE2522" w:rsidRDefault="00FE2522" w:rsidP="00FE2522">
      <w:pPr>
        <w:jc w:val="left"/>
      </w:pPr>
    </w:p>
    <w:p w14:paraId="507A2EAC" w14:textId="77777777" w:rsidR="00FE2522" w:rsidRDefault="00FE2522" w:rsidP="00FE2522">
      <w:pPr>
        <w:ind w:firstLine="0"/>
        <w:jc w:val="left"/>
      </w:pPr>
      <w:r>
        <w:t xml:space="preserve"> flow:</w:t>
      </w:r>
    </w:p>
    <w:p w14:paraId="7A5D4A08" w14:textId="77777777" w:rsidR="00FE2522" w:rsidRDefault="00FE2522" w:rsidP="00FE2522">
      <w:pPr>
        <w:ind w:firstLine="0"/>
        <w:jc w:val="left"/>
      </w:pPr>
      <w:r>
        <w:t xml:space="preserve"> 1. Device 1/Device 2 Send Request:</w:t>
      </w:r>
    </w:p>
    <w:p w14:paraId="67EE1508" w14:textId="77777777" w:rsidR="00FE2522" w:rsidRDefault="00FE2522" w:rsidP="00FE2522">
      <w:pPr>
        <w:ind w:firstLine="0"/>
        <w:jc w:val="left"/>
      </w:pPr>
      <w:r>
        <w:t xml:space="preserve"> The data flow begins with either Device 1 or Device 2 sending a request to the model.</w:t>
      </w:r>
    </w:p>
    <w:p w14:paraId="33A9C520" w14:textId="77777777" w:rsidR="00FE2522" w:rsidRDefault="00FE2522" w:rsidP="00FE2522">
      <w:pPr>
        <w:jc w:val="left"/>
      </w:pPr>
      <w:r>
        <w:t xml:space="preserve"> </w:t>
      </w:r>
    </w:p>
    <w:p w14:paraId="12FC21B6" w14:textId="77777777" w:rsidR="00FE2522" w:rsidRDefault="00FE2522" w:rsidP="00FE2522">
      <w:pPr>
        <w:ind w:firstLine="0"/>
        <w:jc w:val="left"/>
      </w:pPr>
      <w:r>
        <w:t xml:space="preserve"> 2. Prevention Against DDoS:</w:t>
      </w:r>
    </w:p>
    <w:p w14:paraId="6DA608B9" w14:textId="77777777" w:rsidR="00FE2522" w:rsidRDefault="00FE2522" w:rsidP="00FE2522">
      <w:pPr>
        <w:ind w:firstLine="0"/>
        <w:jc w:val="left"/>
      </w:pPr>
      <w:r>
        <w:t xml:space="preserve"> The system initiates prevention measures against Distributed Denial of Service (DDoS) attacks by performing two checks:</w:t>
      </w:r>
    </w:p>
    <w:p w14:paraId="15A99799" w14:textId="77777777" w:rsidR="00FE2522" w:rsidRDefault="00FE2522" w:rsidP="00FE2522">
      <w:pPr>
        <w:ind w:firstLine="0"/>
        <w:jc w:val="left"/>
      </w:pPr>
      <w:r>
        <w:t>Check Flood: The system examines if there's an abnormally high number of requests, indicating a potential flood attempt.</w:t>
      </w:r>
    </w:p>
    <w:p w14:paraId="26297BC3" w14:textId="77777777" w:rsidR="00FE2522" w:rsidRDefault="00FE2522" w:rsidP="00FE2522">
      <w:pPr>
        <w:ind w:firstLine="0"/>
        <w:jc w:val="left"/>
      </w:pPr>
      <w:r>
        <w:t>Check Blacklist: It verifies if the source IP address of the request is in a blacklist containing known malicious IP addresses.</w:t>
      </w:r>
    </w:p>
    <w:p w14:paraId="207D9DA4" w14:textId="77777777" w:rsidR="00FE2522" w:rsidRDefault="00FE2522" w:rsidP="00FE2522">
      <w:pPr>
        <w:jc w:val="left"/>
      </w:pPr>
      <w:r>
        <w:t xml:space="preserve"> </w:t>
      </w:r>
    </w:p>
    <w:p w14:paraId="0E156018" w14:textId="77777777" w:rsidR="00FE2522" w:rsidRDefault="00FE2522" w:rsidP="00FE2522">
      <w:pPr>
        <w:ind w:firstLine="0"/>
        <w:jc w:val="left"/>
      </w:pPr>
      <w:r>
        <w:t>3. Add to Prevention List if Not Normal:</w:t>
      </w:r>
    </w:p>
    <w:p w14:paraId="65141F15" w14:textId="77777777" w:rsidR="00FE2522" w:rsidRDefault="00FE2522" w:rsidP="00FE2522">
      <w:pPr>
        <w:ind w:firstLine="0"/>
        <w:jc w:val="left"/>
      </w:pPr>
      <w:r>
        <w:t>If the request is abnormal (e.g., part of a potential flood or the source IP is in the blacklist), the system adds the source IP to a prevention list to block further requests from that IP.</w:t>
      </w:r>
    </w:p>
    <w:p w14:paraId="4FF94278" w14:textId="77777777" w:rsidR="00FE2522" w:rsidRDefault="00FE2522" w:rsidP="00FE2522">
      <w:pPr>
        <w:jc w:val="left"/>
      </w:pPr>
      <w:r>
        <w:t xml:space="preserve"> </w:t>
      </w:r>
    </w:p>
    <w:p w14:paraId="2877C744" w14:textId="77777777" w:rsidR="00FE2522" w:rsidRDefault="00FE2522" w:rsidP="00FE2522">
      <w:pPr>
        <w:ind w:firstLine="0"/>
        <w:jc w:val="left"/>
      </w:pPr>
      <w:r>
        <w:t>4. Add to Blacklist if Abnormal:</w:t>
      </w:r>
    </w:p>
    <w:p w14:paraId="16245518" w14:textId="77777777" w:rsidR="00FE2522" w:rsidRDefault="00FE2522" w:rsidP="00FE2522">
      <w:pPr>
        <w:ind w:firstLine="0"/>
        <w:jc w:val="left"/>
      </w:pPr>
      <w:r>
        <w:t>If the source IP is not already in the blacklist and the request is abnormal, the system adds the source IP to the blacklist.</w:t>
      </w:r>
    </w:p>
    <w:p w14:paraId="0AE147F3" w14:textId="77777777" w:rsidR="00FE2522" w:rsidRDefault="00FE2522" w:rsidP="00FE2522">
      <w:pPr>
        <w:jc w:val="left"/>
      </w:pPr>
      <w:r>
        <w:t xml:space="preserve"> </w:t>
      </w:r>
    </w:p>
    <w:p w14:paraId="7F91DAAA" w14:textId="77777777" w:rsidR="00FE2522" w:rsidRDefault="00FE2522" w:rsidP="00FE2522">
      <w:pPr>
        <w:ind w:firstLine="0"/>
        <w:jc w:val="left"/>
      </w:pPr>
      <w:r>
        <w:t>5. Model (Random Forest):</w:t>
      </w:r>
    </w:p>
    <w:p w14:paraId="197E9E1A" w14:textId="77777777" w:rsidR="00FE2522" w:rsidRDefault="00FE2522" w:rsidP="00FE2522">
      <w:pPr>
        <w:ind w:firstLine="0"/>
        <w:jc w:val="left"/>
      </w:pPr>
      <w:r>
        <w:t>The system utilizes a Random Forest model to classify the request as either 'Normal' or 'Abnormal'. This model is trained on various features of past requests to discern the difference between normal and abnormal behavior.</w:t>
      </w:r>
    </w:p>
    <w:p w14:paraId="2984061E" w14:textId="77777777" w:rsidR="00FE2522" w:rsidRDefault="00FE2522" w:rsidP="00FE2522">
      <w:pPr>
        <w:jc w:val="left"/>
      </w:pPr>
      <w:r>
        <w:t xml:space="preserve"> </w:t>
      </w:r>
    </w:p>
    <w:p w14:paraId="48EB68FE" w14:textId="77777777" w:rsidR="00FE2522" w:rsidRDefault="00FE2522" w:rsidP="00FE2522">
      <w:pPr>
        <w:ind w:firstLine="0"/>
        <w:jc w:val="left"/>
      </w:pPr>
      <w:r>
        <w:t>6. Server Web Application Access Application:</w:t>
      </w:r>
    </w:p>
    <w:p w14:paraId="0A27A5AE" w14:textId="77777777" w:rsidR="00FE2522" w:rsidRDefault="00FE2522" w:rsidP="00FE2522">
      <w:pPr>
        <w:ind w:firstLine="0"/>
        <w:jc w:val="left"/>
      </w:pPr>
      <w:r>
        <w:t>Based on the model's classification, the system determines access to the server web application:</w:t>
      </w:r>
    </w:p>
    <w:p w14:paraId="2E0BA9AD" w14:textId="77777777" w:rsidR="00FE2522" w:rsidRDefault="00FE2522" w:rsidP="00FE2522">
      <w:pPr>
        <w:ind w:firstLine="0"/>
        <w:jc w:val="left"/>
      </w:pPr>
      <w:r>
        <w:t xml:space="preserve">     If the request is classified as 'Normal', access to the application is granted.</w:t>
      </w:r>
    </w:p>
    <w:p w14:paraId="107924CC" w14:textId="77777777" w:rsidR="00FE2522" w:rsidRDefault="00FE2522" w:rsidP="00FE2522">
      <w:pPr>
        <w:ind w:firstLine="0"/>
        <w:jc w:val="left"/>
      </w:pPr>
      <w:r>
        <w:t xml:space="preserve"> If the request is classified as 'Abnormal', access to the application is denied.</w:t>
      </w:r>
    </w:p>
    <w:p w14:paraId="12855C83" w14:textId="77777777" w:rsidR="00FE2522" w:rsidRDefault="00FE2522" w:rsidP="00FE2522">
      <w:pPr>
        <w:jc w:val="left"/>
      </w:pPr>
      <w:r>
        <w:t xml:space="preserve"> </w:t>
      </w:r>
    </w:p>
    <w:p w14:paraId="213ABC1F" w14:textId="77777777" w:rsidR="00FE2522" w:rsidRDefault="00FE2522" w:rsidP="00FE2522">
      <w:pPr>
        <w:pStyle w:val="Heading2"/>
        <w:numPr>
          <w:ilvl w:val="1"/>
          <w:numId w:val="0"/>
        </w:numPr>
        <w:rPr>
          <w:i w:val="0"/>
        </w:rPr>
      </w:pPr>
      <w:proofErr w:type="gramStart"/>
      <w:r>
        <w:lastRenderedPageBreak/>
        <w:t>4  CONCLUSION</w:t>
      </w:r>
      <w:proofErr w:type="gramEnd"/>
    </w:p>
    <w:p w14:paraId="654FC362" w14:textId="77777777" w:rsidR="00FE2522" w:rsidRDefault="00FE2522" w:rsidP="00FE2522">
      <w:pPr>
        <w:pStyle w:val="Heading2"/>
        <w:numPr>
          <w:ilvl w:val="1"/>
          <w:numId w:val="0"/>
        </w:numPr>
        <w:rPr>
          <w:i w:val="0"/>
        </w:rPr>
      </w:pPr>
      <w:r>
        <w:t xml:space="preserve">    </w:t>
      </w:r>
      <w:r w:rsidRPr="14A6A267">
        <w:rPr>
          <w:i w:val="0"/>
        </w:rPr>
        <w:t>In conclusion, this paper presents a comprehensive framework for detecting and mitigating Distributed Denial of Service (DDoS) attacks, incorporating innovative techniques and robust security measures. By leveraging a combination of IoT devices, machine learning algorithms such as Random Forest, and secure server networks, the proposed model aims to enhance the resilience and reliability of network infrastructures against potential compromises. Through proactive measures such as blacklisting, rigorous data filtering, and advanced detection methods, the model endeavors to safeguard network integrity and ensure uninterrupted operation, even in the face of sophisticated cyber threats. The proposed model's effectiveness is demonstrated through comparative analysis, showcasing high accuracy and precision in detecting abnormal traffic patterns indicative of DDoS attacks. With its structured defense strategy and seamless integration of components, the proposed model offers organizations a heightened level of vigilance against DDoS attacks, contributing to a more secure cyber landscape.</w:t>
      </w:r>
    </w:p>
    <w:p w14:paraId="40076370" w14:textId="77777777" w:rsidR="00FE2522" w:rsidRPr="00333DE1" w:rsidRDefault="00FE2522" w:rsidP="00FE2522">
      <w:pPr>
        <w:pStyle w:val="Firstparagraph"/>
        <w:jc w:val="left"/>
      </w:pPr>
    </w:p>
    <w:p w14:paraId="767E9B8C" w14:textId="77777777" w:rsidR="00FE2522" w:rsidRPr="00D40BC0" w:rsidRDefault="00FE2522" w:rsidP="00FE2522">
      <w:pPr>
        <w:pStyle w:val="Heading2"/>
        <w:widowControl w:val="0"/>
        <w:numPr>
          <w:ilvl w:val="1"/>
          <w:numId w:val="0"/>
        </w:numPr>
        <w:spacing w:line="-240" w:lineRule="auto"/>
      </w:pPr>
      <w:proofErr w:type="gramStart"/>
      <w:r>
        <w:t>5  REFRENCES</w:t>
      </w:r>
      <w:proofErr w:type="gramEnd"/>
    </w:p>
    <w:p w14:paraId="72223E38" w14:textId="77777777" w:rsidR="00FE2522" w:rsidRPr="00D40BC0" w:rsidRDefault="00FE2522" w:rsidP="00FE2522">
      <w:pPr>
        <w:pStyle w:val="Firstparagraph"/>
        <w:widowControl w:val="0"/>
        <w:spacing w:line="-240" w:lineRule="auto"/>
        <w:jc w:val="left"/>
      </w:pPr>
      <w:r>
        <w:t xml:space="preserve">    </w:t>
      </w:r>
      <w:proofErr w:type="spellStart"/>
      <w:r>
        <w:t>Breiman</w:t>
      </w:r>
      <w:proofErr w:type="spellEnd"/>
      <w:r>
        <w:t xml:space="preserve">, Leo. "Random forests." Machine learning 45, no. 1 (2001): 5-32. </w:t>
      </w:r>
    </w:p>
    <w:p w14:paraId="26B9EDFF" w14:textId="77777777" w:rsidR="00FE2522" w:rsidRPr="00D40BC0" w:rsidRDefault="00FE2522" w:rsidP="00FE2522">
      <w:pPr>
        <w:widowControl w:val="0"/>
        <w:spacing w:line="-240" w:lineRule="auto"/>
        <w:ind w:firstLine="0"/>
        <w:jc w:val="left"/>
      </w:pPr>
      <w:r>
        <w:t>Kumar, S., &amp; Panigrahi, S. (2016). "Machine learning based detection and mitigation techniques for DDoS attacks: A survey." Journal of Network and Computer Applications, 66, 214-237.</w:t>
      </w:r>
    </w:p>
    <w:p w14:paraId="45EC08A8" w14:textId="77777777" w:rsidR="00FE2522" w:rsidRPr="00D40BC0" w:rsidRDefault="00FE2522" w:rsidP="00FE2522">
      <w:pPr>
        <w:widowControl w:val="0"/>
        <w:spacing w:line="-240" w:lineRule="auto"/>
        <w:ind w:firstLine="0"/>
        <w:jc w:val="left"/>
      </w:pPr>
      <w:r>
        <w:t xml:space="preserve"> https://research.unsw.edu.au/projects/toniot-datasets</w:t>
      </w:r>
    </w:p>
    <w:p w14:paraId="0B14F7A4" w14:textId="77777777" w:rsidR="00FE2522" w:rsidRPr="00D40BC0" w:rsidRDefault="00FE2522" w:rsidP="00FE2522">
      <w:pPr>
        <w:widowControl w:val="0"/>
        <w:jc w:val="left"/>
      </w:pPr>
    </w:p>
    <w:p w14:paraId="3E6D038E" w14:textId="77777777" w:rsidR="00F8427C" w:rsidRDefault="00F8427C"/>
    <w:sectPr w:rsidR="00F8427C">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ADC89" w14:textId="77777777" w:rsidR="004454B3" w:rsidRDefault="004454B3">
      <w:pPr>
        <w:spacing w:line="240" w:lineRule="auto"/>
      </w:pPr>
      <w:r>
        <w:separator/>
      </w:r>
    </w:p>
  </w:endnote>
  <w:endnote w:type="continuationSeparator" w:id="0">
    <w:p w14:paraId="2A8A9818" w14:textId="77777777" w:rsidR="004454B3" w:rsidRDefault="00445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CE43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6136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07C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250EF" w14:textId="77777777" w:rsidR="004454B3" w:rsidRDefault="004454B3">
      <w:pPr>
        <w:spacing w:line="240" w:lineRule="auto"/>
      </w:pPr>
      <w:r>
        <w:separator/>
      </w:r>
    </w:p>
  </w:footnote>
  <w:footnote w:type="continuationSeparator" w:id="0">
    <w:p w14:paraId="32CEE7AA" w14:textId="77777777" w:rsidR="004454B3" w:rsidRDefault="004454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18B1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7D3FA"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5FB7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093B3F0A"/>
    <w:multiLevelType w:val="hybridMultilevel"/>
    <w:tmpl w:val="025A8D98"/>
    <w:lvl w:ilvl="0" w:tplc="4B22AEE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2286226">
    <w:abstractNumId w:val="0"/>
  </w:num>
  <w:num w:numId="2" w16cid:durableId="235749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22"/>
    <w:rsid w:val="00374473"/>
    <w:rsid w:val="004454B3"/>
    <w:rsid w:val="00E24210"/>
    <w:rsid w:val="00F8427C"/>
    <w:rsid w:val="00FE2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9732"/>
  <w15:chartTrackingRefBased/>
  <w15:docId w15:val="{30D501F0-964B-4CE5-88F5-FE399B97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E2522"/>
    <w:pPr>
      <w:overflowPunct w:val="0"/>
      <w:autoSpaceDE w:val="0"/>
      <w:autoSpaceDN w:val="0"/>
      <w:adjustRightInd w:val="0"/>
      <w:spacing w:after="0" w:line="240" w:lineRule="exact"/>
      <w:ind w:firstLine="227"/>
      <w:jc w:val="both"/>
      <w:textAlignment w:val="baseline"/>
    </w:pPr>
    <w:rPr>
      <w:rFonts w:ascii="Times New Roman" w:eastAsia="Times New Roman" w:hAnsi="Times New Roman" w:cs="Times New Roman"/>
      <w:szCs w:val="20"/>
      <w:lang w:val="en-US"/>
    </w:rPr>
  </w:style>
  <w:style w:type="paragraph" w:styleId="Heading1">
    <w:name w:val="heading 1"/>
    <w:aliases w:val="heading 1"/>
    <w:basedOn w:val="Normal"/>
    <w:next w:val="Firstparagraph"/>
    <w:link w:val="Heading1Char"/>
    <w:qFormat/>
    <w:rsid w:val="00FE2522"/>
    <w:pPr>
      <w:keepNext/>
      <w:keepLines/>
      <w:numPr>
        <w:numId w:val="1"/>
      </w:numPr>
      <w:suppressAutoHyphens/>
      <w:spacing w:before="480" w:after="240"/>
      <w:ind w:firstLine="0"/>
      <w:jc w:val="left"/>
      <w:outlineLvl w:val="0"/>
    </w:pPr>
    <w:rPr>
      <w:caps/>
    </w:rPr>
  </w:style>
  <w:style w:type="paragraph" w:styleId="Heading2">
    <w:name w:val="heading 2"/>
    <w:aliases w:val="heading 2"/>
    <w:basedOn w:val="Normal"/>
    <w:next w:val="Firstparagraph"/>
    <w:link w:val="Heading2Char"/>
    <w:qFormat/>
    <w:rsid w:val="00FE2522"/>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link w:val="Heading3Char"/>
    <w:qFormat/>
    <w:rsid w:val="00FE2522"/>
    <w:pPr>
      <w:keepNext/>
      <w:keepLines/>
      <w:numPr>
        <w:ilvl w:val="2"/>
        <w:numId w:val="1"/>
      </w:numPr>
      <w:spacing w:before="240"/>
      <w:jc w:val="left"/>
      <w:outlineLvl w:val="2"/>
    </w:pPr>
    <w:rPr>
      <w:i/>
    </w:rPr>
  </w:style>
  <w:style w:type="paragraph" w:styleId="Heading4">
    <w:name w:val="heading 4"/>
    <w:aliases w:val="heading 4"/>
    <w:basedOn w:val="Normal"/>
    <w:next w:val="Firstparagraph"/>
    <w:link w:val="Heading4Char"/>
    <w:qFormat/>
    <w:rsid w:val="00FE2522"/>
    <w:pPr>
      <w:keepNext/>
      <w:numPr>
        <w:ilvl w:val="3"/>
        <w:numId w:val="1"/>
      </w:numPr>
      <w:spacing w:before="240"/>
      <w:outlineLvl w:val="3"/>
    </w:pPr>
  </w:style>
  <w:style w:type="paragraph" w:styleId="Heading5">
    <w:name w:val="heading 5"/>
    <w:basedOn w:val="Normal"/>
    <w:next w:val="Normal"/>
    <w:link w:val="Heading5Char"/>
    <w:qFormat/>
    <w:rsid w:val="00FE2522"/>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FE2522"/>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FE252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E252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E2522"/>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rsid w:val="00FE2522"/>
    <w:rPr>
      <w:rFonts w:ascii="Times New Roman" w:eastAsia="Times New Roman" w:hAnsi="Times New Roman" w:cs="Times New Roman"/>
      <w:caps/>
      <w:szCs w:val="20"/>
      <w:lang w:val="en-US"/>
    </w:rPr>
  </w:style>
  <w:style w:type="character" w:customStyle="1" w:styleId="Heading2Char">
    <w:name w:val="Heading 2 Char"/>
    <w:aliases w:val="heading 2 Char"/>
    <w:basedOn w:val="DefaultParagraphFont"/>
    <w:link w:val="Heading2"/>
    <w:rsid w:val="00FE2522"/>
    <w:rPr>
      <w:rFonts w:ascii="Times New Roman" w:eastAsia="Times New Roman" w:hAnsi="Times New Roman" w:cs="Times New Roman"/>
      <w:i/>
      <w:szCs w:val="20"/>
      <w:lang w:val="en-US"/>
    </w:rPr>
  </w:style>
  <w:style w:type="character" w:customStyle="1" w:styleId="Heading3Char">
    <w:name w:val="Heading 3 Char"/>
    <w:aliases w:val="heading 3 Char"/>
    <w:basedOn w:val="DefaultParagraphFont"/>
    <w:link w:val="Heading3"/>
    <w:rsid w:val="00FE2522"/>
    <w:rPr>
      <w:rFonts w:ascii="Times New Roman" w:eastAsia="Times New Roman" w:hAnsi="Times New Roman" w:cs="Times New Roman"/>
      <w:i/>
      <w:szCs w:val="20"/>
      <w:lang w:val="en-US"/>
    </w:rPr>
  </w:style>
  <w:style w:type="character" w:customStyle="1" w:styleId="Heading4Char">
    <w:name w:val="Heading 4 Char"/>
    <w:aliases w:val="heading 4 Char"/>
    <w:basedOn w:val="DefaultParagraphFont"/>
    <w:link w:val="Heading4"/>
    <w:rsid w:val="00FE2522"/>
    <w:rPr>
      <w:rFonts w:ascii="Times New Roman" w:eastAsia="Times New Roman" w:hAnsi="Times New Roman" w:cs="Times New Roman"/>
      <w:szCs w:val="20"/>
      <w:lang w:val="en-US"/>
    </w:rPr>
  </w:style>
  <w:style w:type="character" w:customStyle="1" w:styleId="Heading5Char">
    <w:name w:val="Heading 5 Char"/>
    <w:basedOn w:val="DefaultParagraphFont"/>
    <w:link w:val="Heading5"/>
    <w:rsid w:val="00FE2522"/>
    <w:rPr>
      <w:rFonts w:ascii="Arial" w:eastAsia="Times New Roman" w:hAnsi="Arial" w:cs="Times New Roman"/>
      <w:szCs w:val="20"/>
      <w:lang w:val="en-US"/>
    </w:rPr>
  </w:style>
  <w:style w:type="character" w:customStyle="1" w:styleId="Heading6Char">
    <w:name w:val="Heading 6 Char"/>
    <w:basedOn w:val="DefaultParagraphFont"/>
    <w:link w:val="Heading6"/>
    <w:rsid w:val="00FE2522"/>
    <w:rPr>
      <w:rFonts w:ascii="Arial" w:eastAsia="Times New Roman" w:hAnsi="Arial" w:cs="Times New Roman"/>
      <w:i/>
      <w:szCs w:val="20"/>
      <w:lang w:val="en-US"/>
    </w:rPr>
  </w:style>
  <w:style w:type="character" w:customStyle="1" w:styleId="Heading7Char">
    <w:name w:val="Heading 7 Char"/>
    <w:basedOn w:val="DefaultParagraphFont"/>
    <w:link w:val="Heading7"/>
    <w:rsid w:val="00FE2522"/>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E2522"/>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E2522"/>
    <w:rPr>
      <w:rFonts w:ascii="Arial" w:eastAsia="Times New Roman" w:hAnsi="Arial" w:cs="Times New Roman"/>
      <w:i/>
      <w:szCs w:val="20"/>
      <w:lang w:val="en-US"/>
    </w:rPr>
  </w:style>
  <w:style w:type="paragraph" w:customStyle="1" w:styleId="Firstparagraph">
    <w:name w:val="First paragraph"/>
    <w:basedOn w:val="Normal"/>
    <w:next w:val="Normal"/>
    <w:link w:val="FirstparagraphChar"/>
    <w:rsid w:val="00FE2522"/>
    <w:pPr>
      <w:tabs>
        <w:tab w:val="left" w:pos="4706"/>
      </w:tabs>
      <w:ind w:firstLine="0"/>
    </w:pPr>
  </w:style>
  <w:style w:type="paragraph" w:customStyle="1" w:styleId="Author">
    <w:name w:val="Author"/>
    <w:basedOn w:val="Firstparagraph"/>
    <w:next w:val="Affiliation"/>
    <w:rsid w:val="00FE2522"/>
    <w:pPr>
      <w:suppressAutoHyphens/>
      <w:spacing w:line="280" w:lineRule="exact"/>
    </w:pPr>
    <w:rPr>
      <w:sz w:val="24"/>
    </w:rPr>
  </w:style>
  <w:style w:type="paragraph" w:customStyle="1" w:styleId="Affiliation">
    <w:name w:val="Affiliation"/>
    <w:basedOn w:val="Author"/>
    <w:next w:val="Author"/>
    <w:rsid w:val="00FE2522"/>
    <w:pPr>
      <w:spacing w:after="120" w:line="220" w:lineRule="exact"/>
    </w:pPr>
    <w:rPr>
      <w:i/>
      <w:sz w:val="20"/>
    </w:rPr>
  </w:style>
  <w:style w:type="paragraph" w:customStyle="1" w:styleId="Abstract">
    <w:name w:val="Abstract"/>
    <w:basedOn w:val="Normal"/>
    <w:next w:val="Firstparagraph"/>
    <w:rsid w:val="00FE2522"/>
    <w:pPr>
      <w:framePr w:w="9696" w:hSpace="142" w:wrap="notBeside" w:vAnchor="page" w:hAnchor="margin" w:y="4083" w:anchorLock="1"/>
      <w:spacing w:after="480"/>
      <w:ind w:firstLine="0"/>
    </w:pPr>
  </w:style>
  <w:style w:type="paragraph" w:styleId="Header">
    <w:name w:val="header"/>
    <w:basedOn w:val="Normal"/>
    <w:link w:val="HeaderChar"/>
    <w:rsid w:val="00FE2522"/>
    <w:pPr>
      <w:tabs>
        <w:tab w:val="center" w:pos="4536"/>
        <w:tab w:val="right" w:pos="9072"/>
      </w:tabs>
    </w:pPr>
  </w:style>
  <w:style w:type="character" w:customStyle="1" w:styleId="HeaderChar">
    <w:name w:val="Header Char"/>
    <w:basedOn w:val="DefaultParagraphFont"/>
    <w:link w:val="Header"/>
    <w:rsid w:val="00FE2522"/>
    <w:rPr>
      <w:rFonts w:ascii="Times New Roman" w:eastAsia="Times New Roman" w:hAnsi="Times New Roman" w:cs="Times New Roman"/>
      <w:szCs w:val="20"/>
      <w:lang w:val="en-US"/>
    </w:rPr>
  </w:style>
  <w:style w:type="paragraph" w:customStyle="1" w:styleId="Figurecaption">
    <w:name w:val="Figure caption"/>
    <w:basedOn w:val="Normal"/>
    <w:next w:val="Normal"/>
    <w:rsid w:val="00FE2522"/>
    <w:pPr>
      <w:spacing w:line="220" w:lineRule="exact"/>
      <w:ind w:firstLine="0"/>
    </w:pPr>
    <w:rPr>
      <w:sz w:val="20"/>
    </w:rPr>
  </w:style>
  <w:style w:type="paragraph" w:customStyle="1" w:styleId="Tablecaption">
    <w:name w:val="Table caption"/>
    <w:basedOn w:val="Normal"/>
    <w:next w:val="Tablerule"/>
    <w:rsid w:val="00FE2522"/>
    <w:pPr>
      <w:spacing w:line="220" w:lineRule="exact"/>
      <w:ind w:firstLine="0"/>
    </w:pPr>
    <w:rPr>
      <w:sz w:val="20"/>
    </w:rPr>
  </w:style>
  <w:style w:type="paragraph" w:customStyle="1" w:styleId="Tablerule">
    <w:name w:val="Table rule"/>
    <w:basedOn w:val="Normal"/>
    <w:next w:val="Tabletext"/>
    <w:rsid w:val="00FE2522"/>
    <w:pPr>
      <w:spacing w:after="60" w:line="40" w:lineRule="exact"/>
      <w:ind w:firstLine="0"/>
      <w:jc w:val="left"/>
    </w:pPr>
    <w:rPr>
      <w:sz w:val="16"/>
    </w:rPr>
  </w:style>
  <w:style w:type="paragraph" w:customStyle="1" w:styleId="Tabletext">
    <w:name w:val="Table text"/>
    <w:basedOn w:val="Normal"/>
    <w:rsid w:val="00FE2522"/>
    <w:pPr>
      <w:spacing w:line="220" w:lineRule="exact"/>
      <w:ind w:firstLine="0"/>
      <w:jc w:val="left"/>
    </w:pPr>
    <w:rPr>
      <w:sz w:val="20"/>
    </w:rPr>
  </w:style>
  <w:style w:type="character" w:customStyle="1" w:styleId="FirstparagraphChar">
    <w:name w:val="First paragraph Char"/>
    <w:link w:val="Firstparagraph"/>
    <w:rsid w:val="00FE2522"/>
    <w:rPr>
      <w:rFonts w:ascii="Times New Roman" w:eastAsia="Times New Roman" w:hAnsi="Times New Roman" w:cs="Times New Roman"/>
      <w:szCs w:val="20"/>
      <w:lang w:val="en-US"/>
    </w:rPr>
  </w:style>
  <w:style w:type="paragraph" w:styleId="Footer">
    <w:name w:val="footer"/>
    <w:basedOn w:val="Normal"/>
    <w:link w:val="FooterChar"/>
    <w:unhideWhenUsed/>
    <w:rsid w:val="00FE2522"/>
    <w:pPr>
      <w:tabs>
        <w:tab w:val="center" w:pos="4513"/>
        <w:tab w:val="right" w:pos="9026"/>
      </w:tabs>
      <w:spacing w:line="240" w:lineRule="auto"/>
    </w:pPr>
  </w:style>
  <w:style w:type="character" w:customStyle="1" w:styleId="FooterChar">
    <w:name w:val="Footer Char"/>
    <w:basedOn w:val="DefaultParagraphFont"/>
    <w:link w:val="Footer"/>
    <w:rsid w:val="00FE2522"/>
    <w:rPr>
      <w:rFonts w:ascii="Times New Roman" w:eastAsia="Times New Roman" w:hAnsi="Times New Roman" w:cs="Times New Roman"/>
      <w:szCs w:val="20"/>
      <w:lang w:val="en-US"/>
    </w:rPr>
  </w:style>
  <w:style w:type="table" w:styleId="TableGrid">
    <w:name w:val="Table Grid"/>
    <w:basedOn w:val="TableNormal"/>
    <w:rsid w:val="00FE252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FE2522"/>
  </w:style>
  <w:style w:type="table" w:styleId="PlainTable2">
    <w:name w:val="Plain Table 2"/>
    <w:basedOn w:val="TableNormal"/>
    <w:uiPriority w:val="42"/>
    <w:rsid w:val="00FE25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FE2522"/>
    <w:pPr>
      <w:overflowPunct/>
      <w:autoSpaceDE/>
      <w:autoSpaceDN/>
      <w:adjustRightInd/>
      <w:spacing w:before="100" w:beforeAutospacing="1" w:after="100" w:afterAutospacing="1" w:line="240" w:lineRule="auto"/>
      <w:ind w:firstLine="0"/>
      <w:jc w:val="left"/>
      <w:textAlignment w:val="auto"/>
    </w:pPr>
    <w:rPr>
      <w:sz w:val="24"/>
      <w:szCs w:val="24"/>
      <w:lang w:val="en-IN" w:eastAsia="en-IN"/>
    </w:rPr>
  </w:style>
  <w:style w:type="character" w:customStyle="1" w:styleId="normaltextrun">
    <w:name w:val="normaltextrun"/>
    <w:basedOn w:val="DefaultParagraphFont"/>
    <w:rsid w:val="00FE2522"/>
  </w:style>
  <w:style w:type="character" w:customStyle="1" w:styleId="eop">
    <w:name w:val="eop"/>
    <w:basedOn w:val="DefaultParagraphFont"/>
    <w:rsid w:val="00FE2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2301</Words>
  <Characters>13117</Characters>
  <Application>Microsoft Office Word</Application>
  <DocSecurity>0</DocSecurity>
  <Lines>109</Lines>
  <Paragraphs>30</Paragraphs>
  <ScaleCrop>false</ScaleCrop>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Priya Ingle</cp:lastModifiedBy>
  <cp:revision>4</cp:revision>
  <dcterms:created xsi:type="dcterms:W3CDTF">2024-04-30T05:53:00Z</dcterms:created>
  <dcterms:modified xsi:type="dcterms:W3CDTF">2024-04-30T06:12:00Z</dcterms:modified>
</cp:coreProperties>
</file>