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D8546" w14:textId="77777777" w:rsidR="005D0E74" w:rsidRDefault="00000000">
      <w:pPr>
        <w:jc w:val="center"/>
      </w:pPr>
      <w:r>
        <w:rPr>
          <w:b/>
          <w:sz w:val="40"/>
        </w:rPr>
        <w:t>BUSINESS LAYER GAP ANALYSIS</w:t>
      </w:r>
    </w:p>
    <w:p w14:paraId="013EBEFA" w14:textId="77777777" w:rsidR="005D0E74" w:rsidRDefault="00000000">
      <w:pPr>
        <w:jc w:val="center"/>
      </w:pPr>
      <w:r>
        <w:rPr>
          <w:b/>
          <w:sz w:val="32"/>
        </w:rPr>
        <w:t>Zomato — Restaurant Market Expansion Intelligence</w:t>
      </w:r>
    </w:p>
    <w:p w14:paraId="7C13F0EB" w14:textId="77777777" w:rsidR="005D0E74" w:rsidRDefault="00000000">
      <w:pPr>
        <w:pStyle w:val="Heading1"/>
      </w:pPr>
      <w:r>
        <w:t>1. Gap Analysis Objective</w:t>
      </w:r>
    </w:p>
    <w:p w14:paraId="240E65DA" w14:textId="77777777" w:rsidR="005D0E74" w:rsidRDefault="00000000">
      <w:r>
        <w:t>This gap analysis compares the current analytical state available from the finalized Zomato dataset with the desired business state required to support structured restaurant market expansion decisions. The project moves from manual, fragmented, intuition-led market selection toward structured, score-based, evidence-led expansion prioritization.</w:t>
      </w:r>
    </w:p>
    <w:p w14:paraId="5766270C" w14:textId="77777777" w:rsidR="005D0E74" w:rsidRDefault="00000000">
      <w:pPr>
        <w:pStyle w:val="Heading1"/>
      </w:pPr>
      <w:r>
        <w:t>2. Current State vs Desired State</w:t>
      </w:r>
    </w:p>
    <w:tbl>
      <w:tblPr>
        <w:tblW w:w="0" w:type="auto"/>
        <w:jc w:val="center"/>
        <w:tblLook w:val="04A0" w:firstRow="1" w:lastRow="0" w:firstColumn="1" w:lastColumn="0" w:noHBand="0" w:noVBand="1"/>
      </w:tblPr>
      <w:tblGrid>
        <w:gridCol w:w="2484"/>
        <w:gridCol w:w="2484"/>
        <w:gridCol w:w="2484"/>
        <w:gridCol w:w="2484"/>
      </w:tblGrid>
      <w:tr w:rsidR="005D0E74" w14:paraId="49E4520C" w14:textId="77777777">
        <w:trPr>
          <w:jc w:val="center"/>
        </w:trPr>
        <w:tc>
          <w:tcPr>
            <w:tcW w:w="2484" w:type="dxa"/>
          </w:tcPr>
          <w:p w14:paraId="04F4E2CF" w14:textId="77777777" w:rsidR="005D0E74" w:rsidRDefault="00000000">
            <w:r>
              <w:t>Area</w:t>
            </w:r>
          </w:p>
        </w:tc>
        <w:tc>
          <w:tcPr>
            <w:tcW w:w="2484" w:type="dxa"/>
          </w:tcPr>
          <w:p w14:paraId="41ADE4CF" w14:textId="77777777" w:rsidR="005D0E74" w:rsidRDefault="00000000">
            <w:r>
              <w:t>Current State</w:t>
            </w:r>
          </w:p>
        </w:tc>
        <w:tc>
          <w:tcPr>
            <w:tcW w:w="2484" w:type="dxa"/>
          </w:tcPr>
          <w:p w14:paraId="472FA939" w14:textId="77777777" w:rsidR="005D0E74" w:rsidRDefault="00000000">
            <w:r>
              <w:t>Desired State</w:t>
            </w:r>
          </w:p>
        </w:tc>
        <w:tc>
          <w:tcPr>
            <w:tcW w:w="2484" w:type="dxa"/>
          </w:tcPr>
          <w:p w14:paraId="0A7BC940" w14:textId="77777777" w:rsidR="005D0E74" w:rsidRDefault="00000000">
            <w:r>
              <w:t>Gap</w:t>
            </w:r>
          </w:p>
        </w:tc>
      </w:tr>
      <w:tr w:rsidR="005D0E74" w14:paraId="1F147674" w14:textId="77777777">
        <w:trPr>
          <w:jc w:val="center"/>
        </w:trPr>
        <w:tc>
          <w:tcPr>
            <w:tcW w:w="2484" w:type="dxa"/>
          </w:tcPr>
          <w:p w14:paraId="572C803B" w14:textId="77777777" w:rsidR="005D0E74" w:rsidRDefault="00000000">
            <w:r>
              <w:t>Market Expansion Decisioning</w:t>
            </w:r>
          </w:p>
        </w:tc>
        <w:tc>
          <w:tcPr>
            <w:tcW w:w="2484" w:type="dxa"/>
          </w:tcPr>
          <w:p w14:paraId="61404A86" w14:textId="77777777" w:rsidR="005D0E74" w:rsidRDefault="00000000">
            <w:r>
              <w:t>Partial visibility and manual judgment.</w:t>
            </w:r>
          </w:p>
        </w:tc>
        <w:tc>
          <w:tcPr>
            <w:tcW w:w="2484" w:type="dxa"/>
          </w:tcPr>
          <w:p w14:paraId="7A77D084" w14:textId="77777777" w:rsidR="005D0E74" w:rsidRDefault="00000000">
            <w:r>
              <w:t>Cities/localities ranked with a transparent opportunity score.</w:t>
            </w:r>
          </w:p>
        </w:tc>
        <w:tc>
          <w:tcPr>
            <w:tcW w:w="2484" w:type="dxa"/>
          </w:tcPr>
          <w:p w14:paraId="61874FFD" w14:textId="77777777" w:rsidR="005D0E74" w:rsidRDefault="00000000">
            <w:r>
              <w:t>No structured ranking engine.</w:t>
            </w:r>
          </w:p>
        </w:tc>
      </w:tr>
      <w:tr w:rsidR="005D0E74" w14:paraId="6DB322E3" w14:textId="77777777">
        <w:trPr>
          <w:jc w:val="center"/>
        </w:trPr>
        <w:tc>
          <w:tcPr>
            <w:tcW w:w="2484" w:type="dxa"/>
          </w:tcPr>
          <w:p w14:paraId="6F10F5F0" w14:textId="77777777" w:rsidR="005D0E74" w:rsidRDefault="00000000">
            <w:r>
              <w:t>Restaurant Coverage View</w:t>
            </w:r>
          </w:p>
        </w:tc>
        <w:tc>
          <w:tcPr>
            <w:tcW w:w="2484" w:type="dxa"/>
          </w:tcPr>
          <w:p w14:paraId="78B7E20F" w14:textId="77777777" w:rsidR="005D0E74" w:rsidRDefault="00000000">
            <w:r>
              <w:t>Restaurant presence can be observed but not strategically interpreted.</w:t>
            </w:r>
          </w:p>
        </w:tc>
        <w:tc>
          <w:tcPr>
            <w:tcW w:w="2484" w:type="dxa"/>
          </w:tcPr>
          <w:p w14:paraId="41684C9D" w14:textId="77777777" w:rsidR="005D0E74" w:rsidRDefault="00000000">
            <w:r>
              <w:t>Coverage assessed by saturation, spread, and opportunity.</w:t>
            </w:r>
          </w:p>
        </w:tc>
        <w:tc>
          <w:tcPr>
            <w:tcW w:w="2484" w:type="dxa"/>
          </w:tcPr>
          <w:p w14:paraId="595003EB" w14:textId="77777777" w:rsidR="005D0E74" w:rsidRDefault="00000000">
            <w:r>
              <w:t>No formal saturation framework.</w:t>
            </w:r>
          </w:p>
        </w:tc>
      </w:tr>
      <w:tr w:rsidR="005D0E74" w14:paraId="776398D7" w14:textId="77777777">
        <w:trPr>
          <w:jc w:val="center"/>
        </w:trPr>
        <w:tc>
          <w:tcPr>
            <w:tcW w:w="2484" w:type="dxa"/>
          </w:tcPr>
          <w:p w14:paraId="0C4E5A7A" w14:textId="77777777" w:rsidR="005D0E74" w:rsidRDefault="00000000">
            <w:r>
              <w:t>Cuisine Strategy</w:t>
            </w:r>
          </w:p>
        </w:tc>
        <w:tc>
          <w:tcPr>
            <w:tcW w:w="2484" w:type="dxa"/>
          </w:tcPr>
          <w:p w14:paraId="34F19F1C" w14:textId="77777777" w:rsidR="005D0E74" w:rsidRDefault="00000000">
            <w:r>
              <w:t>Cuisine data exists but is not translated into strategic gaps.</w:t>
            </w:r>
          </w:p>
        </w:tc>
        <w:tc>
          <w:tcPr>
            <w:tcW w:w="2484" w:type="dxa"/>
          </w:tcPr>
          <w:p w14:paraId="3471D621" w14:textId="77777777" w:rsidR="005D0E74" w:rsidRDefault="00000000">
            <w:r>
              <w:t>Underserved and overrepresented cuisines identified.</w:t>
            </w:r>
          </w:p>
        </w:tc>
        <w:tc>
          <w:tcPr>
            <w:tcW w:w="2484" w:type="dxa"/>
          </w:tcPr>
          <w:p w14:paraId="0E308B7B" w14:textId="77777777" w:rsidR="005D0E74" w:rsidRDefault="00000000">
            <w:r>
              <w:t>No cuisine-gap prioritization.</w:t>
            </w:r>
          </w:p>
        </w:tc>
      </w:tr>
      <w:tr w:rsidR="005D0E74" w14:paraId="20C5918D" w14:textId="77777777">
        <w:trPr>
          <w:jc w:val="center"/>
        </w:trPr>
        <w:tc>
          <w:tcPr>
            <w:tcW w:w="2484" w:type="dxa"/>
          </w:tcPr>
          <w:p w14:paraId="42EB61EC" w14:textId="77777777" w:rsidR="005D0E74" w:rsidRDefault="00000000">
            <w:r>
              <w:t>Pricing Strategy</w:t>
            </w:r>
          </w:p>
        </w:tc>
        <w:tc>
          <w:tcPr>
            <w:tcW w:w="2484" w:type="dxa"/>
          </w:tcPr>
          <w:p w14:paraId="5B187146" w14:textId="77777777" w:rsidR="005D0E74" w:rsidRDefault="00000000">
            <w:r>
              <w:t>Cost data exists but is not structured into business bands.</w:t>
            </w:r>
          </w:p>
        </w:tc>
        <w:tc>
          <w:tcPr>
            <w:tcW w:w="2484" w:type="dxa"/>
          </w:tcPr>
          <w:p w14:paraId="53BE82C3" w14:textId="77777777" w:rsidR="005D0E74" w:rsidRDefault="00000000">
            <w:r>
              <w:t>Price bands analyzed by market and gap level.</w:t>
            </w:r>
          </w:p>
        </w:tc>
        <w:tc>
          <w:tcPr>
            <w:tcW w:w="2484" w:type="dxa"/>
          </w:tcPr>
          <w:p w14:paraId="4EAB681A" w14:textId="77777777" w:rsidR="005D0E74" w:rsidRDefault="00000000">
            <w:r>
              <w:t>No pricing-opportunity model.</w:t>
            </w:r>
          </w:p>
        </w:tc>
      </w:tr>
      <w:tr w:rsidR="005D0E74" w14:paraId="7EEB9DC4" w14:textId="77777777">
        <w:trPr>
          <w:jc w:val="center"/>
        </w:trPr>
        <w:tc>
          <w:tcPr>
            <w:tcW w:w="2484" w:type="dxa"/>
          </w:tcPr>
          <w:p w14:paraId="566D9B79" w14:textId="77777777" w:rsidR="005D0E74" w:rsidRDefault="00000000">
            <w:r>
              <w:t>Quality Assessment</w:t>
            </w:r>
          </w:p>
        </w:tc>
        <w:tc>
          <w:tcPr>
            <w:tcW w:w="2484" w:type="dxa"/>
          </w:tcPr>
          <w:p w14:paraId="45F25536" w14:textId="77777777" w:rsidR="005D0E74" w:rsidRDefault="00000000">
            <w:r>
              <w:t>Ratings and votes may be viewed in isolation.</w:t>
            </w:r>
          </w:p>
        </w:tc>
        <w:tc>
          <w:tcPr>
            <w:tcW w:w="2484" w:type="dxa"/>
          </w:tcPr>
          <w:p w14:paraId="7CBBD3CD" w14:textId="77777777" w:rsidR="005D0E74" w:rsidRDefault="00000000">
            <w:r>
              <w:t>Ratings, votes, and engagement combined into quality signals.</w:t>
            </w:r>
          </w:p>
        </w:tc>
        <w:tc>
          <w:tcPr>
            <w:tcW w:w="2484" w:type="dxa"/>
          </w:tcPr>
          <w:p w14:paraId="4CB961D9" w14:textId="77777777" w:rsidR="005D0E74" w:rsidRDefault="00000000">
            <w:r>
              <w:t>No composite quality metric.</w:t>
            </w:r>
          </w:p>
        </w:tc>
      </w:tr>
      <w:tr w:rsidR="005D0E74" w14:paraId="508314C4" w14:textId="77777777">
        <w:trPr>
          <w:jc w:val="center"/>
        </w:trPr>
        <w:tc>
          <w:tcPr>
            <w:tcW w:w="2484" w:type="dxa"/>
          </w:tcPr>
          <w:p w14:paraId="30106389" w14:textId="77777777" w:rsidR="005D0E74" w:rsidRDefault="00000000">
            <w:r>
              <w:t>Platform Readiness</w:t>
            </w:r>
          </w:p>
        </w:tc>
        <w:tc>
          <w:tcPr>
            <w:tcW w:w="2484" w:type="dxa"/>
          </w:tcPr>
          <w:p w14:paraId="7FC75801" w14:textId="77777777" w:rsidR="005D0E74" w:rsidRDefault="00000000">
            <w:r>
              <w:t>Delivery/table-booking fields are available.</w:t>
            </w:r>
          </w:p>
        </w:tc>
        <w:tc>
          <w:tcPr>
            <w:tcW w:w="2484" w:type="dxa"/>
          </w:tcPr>
          <w:p w14:paraId="1D882B61" w14:textId="77777777" w:rsidR="005D0E74" w:rsidRDefault="00000000">
            <w:r>
              <w:t>Markets assessed for digital readiness.</w:t>
            </w:r>
          </w:p>
        </w:tc>
        <w:tc>
          <w:tcPr>
            <w:tcW w:w="2484" w:type="dxa"/>
          </w:tcPr>
          <w:p w14:paraId="0BF4FC63" w14:textId="77777777" w:rsidR="005D0E74" w:rsidRDefault="00000000">
            <w:r>
              <w:t>No readiness score.</w:t>
            </w:r>
          </w:p>
        </w:tc>
      </w:tr>
      <w:tr w:rsidR="005D0E74" w14:paraId="62AB7075" w14:textId="77777777">
        <w:trPr>
          <w:jc w:val="center"/>
        </w:trPr>
        <w:tc>
          <w:tcPr>
            <w:tcW w:w="2484" w:type="dxa"/>
          </w:tcPr>
          <w:p w14:paraId="4FC082E3" w14:textId="77777777" w:rsidR="005D0E74" w:rsidRDefault="00000000">
            <w:r>
              <w:t>BI Reporting</w:t>
            </w:r>
          </w:p>
        </w:tc>
        <w:tc>
          <w:tcPr>
            <w:tcW w:w="2484" w:type="dxa"/>
          </w:tcPr>
          <w:p w14:paraId="276A1695" w14:textId="77777777" w:rsidR="005D0E74" w:rsidRDefault="00000000">
            <w:r>
              <w:t>Analysis not yet consolidated into decision-ready outputs.</w:t>
            </w:r>
          </w:p>
        </w:tc>
        <w:tc>
          <w:tcPr>
            <w:tcW w:w="2484" w:type="dxa"/>
          </w:tcPr>
          <w:p w14:paraId="2BF11CFC" w14:textId="77777777" w:rsidR="005D0E74" w:rsidRDefault="00000000">
            <w:r>
              <w:t>Dashboards and executive summaries support action.</w:t>
            </w:r>
          </w:p>
        </w:tc>
        <w:tc>
          <w:tcPr>
            <w:tcW w:w="2484" w:type="dxa"/>
          </w:tcPr>
          <w:p w14:paraId="5BF1B4A1" w14:textId="77777777" w:rsidR="005D0E74" w:rsidRDefault="00000000">
            <w:r>
              <w:t>No executive decision layer.</w:t>
            </w:r>
          </w:p>
        </w:tc>
      </w:tr>
      <w:tr w:rsidR="005D0E74" w14:paraId="710B3834" w14:textId="77777777">
        <w:trPr>
          <w:jc w:val="center"/>
        </w:trPr>
        <w:tc>
          <w:tcPr>
            <w:tcW w:w="2484" w:type="dxa"/>
          </w:tcPr>
          <w:p w14:paraId="66062EE3" w14:textId="77777777" w:rsidR="005D0E74" w:rsidRDefault="00000000">
            <w:r>
              <w:t>Market Governance</w:t>
            </w:r>
          </w:p>
        </w:tc>
        <w:tc>
          <w:tcPr>
            <w:tcW w:w="2484" w:type="dxa"/>
          </w:tcPr>
          <w:p w14:paraId="1641BA5F" w14:textId="77777777" w:rsidR="005D0E74" w:rsidRDefault="00000000">
            <w:r>
              <w:t>Teams may interpret opportunity differently.</w:t>
            </w:r>
          </w:p>
        </w:tc>
        <w:tc>
          <w:tcPr>
            <w:tcW w:w="2484" w:type="dxa"/>
          </w:tcPr>
          <w:p w14:paraId="7297844F" w14:textId="77777777" w:rsidR="005D0E74" w:rsidRDefault="00000000">
            <w:r>
              <w:t>Shared KPI tree and common definitions.</w:t>
            </w:r>
          </w:p>
        </w:tc>
        <w:tc>
          <w:tcPr>
            <w:tcW w:w="2484" w:type="dxa"/>
          </w:tcPr>
          <w:p w14:paraId="39BBB493" w14:textId="77777777" w:rsidR="005D0E74" w:rsidRDefault="00000000">
            <w:r>
              <w:t>No common governance model.</w:t>
            </w:r>
          </w:p>
        </w:tc>
      </w:tr>
    </w:tbl>
    <w:p w14:paraId="567803B2" w14:textId="77777777" w:rsidR="005D0E74" w:rsidRDefault="00000000">
      <w:pPr>
        <w:pStyle w:val="Heading1"/>
      </w:pPr>
      <w:r>
        <w:lastRenderedPageBreak/>
        <w:t>3. Detailed Business Layer Gap Matrix</w:t>
      </w:r>
    </w:p>
    <w:tbl>
      <w:tblPr>
        <w:tblW w:w="0" w:type="auto"/>
        <w:jc w:val="center"/>
        <w:tblLook w:val="04A0" w:firstRow="1" w:lastRow="0" w:firstColumn="1" w:lastColumn="0" w:noHBand="0" w:noVBand="1"/>
      </w:tblPr>
      <w:tblGrid>
        <w:gridCol w:w="1585"/>
        <w:gridCol w:w="1775"/>
        <w:gridCol w:w="1949"/>
        <w:gridCol w:w="1807"/>
        <w:gridCol w:w="1661"/>
        <w:gridCol w:w="1375"/>
      </w:tblGrid>
      <w:tr w:rsidR="005D0E74" w14:paraId="0DF76F99" w14:textId="77777777">
        <w:trPr>
          <w:jc w:val="center"/>
        </w:trPr>
        <w:tc>
          <w:tcPr>
            <w:tcW w:w="1656" w:type="dxa"/>
          </w:tcPr>
          <w:p w14:paraId="5532B794" w14:textId="77777777" w:rsidR="005D0E74" w:rsidRDefault="00000000">
            <w:r>
              <w:t>Gap Area</w:t>
            </w:r>
          </w:p>
        </w:tc>
        <w:tc>
          <w:tcPr>
            <w:tcW w:w="1656" w:type="dxa"/>
          </w:tcPr>
          <w:p w14:paraId="15B98288" w14:textId="77777777" w:rsidR="005D0E74" w:rsidRDefault="00000000">
            <w:r>
              <w:t>Current State</w:t>
            </w:r>
          </w:p>
        </w:tc>
        <w:tc>
          <w:tcPr>
            <w:tcW w:w="1656" w:type="dxa"/>
          </w:tcPr>
          <w:p w14:paraId="08D1661D" w14:textId="77777777" w:rsidR="005D0E74" w:rsidRDefault="00000000">
            <w:r>
              <w:t>Desired State</w:t>
            </w:r>
          </w:p>
        </w:tc>
        <w:tc>
          <w:tcPr>
            <w:tcW w:w="1656" w:type="dxa"/>
          </w:tcPr>
          <w:p w14:paraId="64471DAE" w14:textId="77777777" w:rsidR="005D0E74" w:rsidRDefault="00000000">
            <w:r>
              <w:t>Business Gap</w:t>
            </w:r>
          </w:p>
        </w:tc>
        <w:tc>
          <w:tcPr>
            <w:tcW w:w="1656" w:type="dxa"/>
          </w:tcPr>
          <w:p w14:paraId="174A906D" w14:textId="77777777" w:rsidR="005D0E74" w:rsidRDefault="00000000">
            <w:r>
              <w:t>Impact</w:t>
            </w:r>
          </w:p>
        </w:tc>
        <w:tc>
          <w:tcPr>
            <w:tcW w:w="1656" w:type="dxa"/>
          </w:tcPr>
          <w:p w14:paraId="229374E0" w14:textId="77777777" w:rsidR="005D0E74" w:rsidRDefault="00000000">
            <w:r>
              <w:t>Priority</w:t>
            </w:r>
          </w:p>
        </w:tc>
      </w:tr>
      <w:tr w:rsidR="005D0E74" w14:paraId="1319D85F" w14:textId="77777777">
        <w:trPr>
          <w:jc w:val="center"/>
        </w:trPr>
        <w:tc>
          <w:tcPr>
            <w:tcW w:w="1656" w:type="dxa"/>
          </w:tcPr>
          <w:p w14:paraId="6880F93A" w14:textId="77777777" w:rsidR="005D0E74" w:rsidRDefault="00000000">
            <w:r>
              <w:t>Expansion Prioritization</w:t>
            </w:r>
          </w:p>
        </w:tc>
        <w:tc>
          <w:tcPr>
            <w:tcW w:w="1656" w:type="dxa"/>
          </w:tcPr>
          <w:p w14:paraId="36E60C33" w14:textId="77777777" w:rsidR="005D0E74" w:rsidRDefault="00000000">
            <w:r>
              <w:t>No structured market scoring.</w:t>
            </w:r>
          </w:p>
        </w:tc>
        <w:tc>
          <w:tcPr>
            <w:tcW w:w="1656" w:type="dxa"/>
          </w:tcPr>
          <w:p w14:paraId="326ECA1C" w14:textId="77777777" w:rsidR="005D0E74" w:rsidRDefault="00000000">
            <w:r>
              <w:t>Cities/localities ranked by opportunity.</w:t>
            </w:r>
          </w:p>
        </w:tc>
        <w:tc>
          <w:tcPr>
            <w:tcW w:w="1656" w:type="dxa"/>
          </w:tcPr>
          <w:p w14:paraId="5F4C55E2" w14:textId="77777777" w:rsidR="005D0E74" w:rsidRDefault="00000000">
            <w:r>
              <w:t>No objective comparison.</w:t>
            </w:r>
          </w:p>
        </w:tc>
        <w:tc>
          <w:tcPr>
            <w:tcW w:w="1656" w:type="dxa"/>
          </w:tcPr>
          <w:p w14:paraId="0E87A468" w14:textId="77777777" w:rsidR="005D0E74" w:rsidRDefault="00000000">
            <w:r>
              <w:t>Weak strategic decisions.</w:t>
            </w:r>
          </w:p>
        </w:tc>
        <w:tc>
          <w:tcPr>
            <w:tcW w:w="1656" w:type="dxa"/>
          </w:tcPr>
          <w:p w14:paraId="04BAF371" w14:textId="77777777" w:rsidR="005D0E74" w:rsidRDefault="00000000">
            <w:r>
              <w:t>Critical</w:t>
            </w:r>
          </w:p>
        </w:tc>
      </w:tr>
      <w:tr w:rsidR="005D0E74" w14:paraId="279B4F17" w14:textId="77777777">
        <w:trPr>
          <w:jc w:val="center"/>
        </w:trPr>
        <w:tc>
          <w:tcPr>
            <w:tcW w:w="1656" w:type="dxa"/>
          </w:tcPr>
          <w:p w14:paraId="618E6F54" w14:textId="77777777" w:rsidR="005D0E74" w:rsidRDefault="00000000">
            <w:r>
              <w:t>Locality-Level Intelligence</w:t>
            </w:r>
          </w:p>
        </w:tc>
        <w:tc>
          <w:tcPr>
            <w:tcW w:w="1656" w:type="dxa"/>
          </w:tcPr>
          <w:p w14:paraId="3051D9E9" w14:textId="77777777" w:rsidR="005D0E74" w:rsidRDefault="00000000">
            <w:r>
              <w:t>City/locality data exists but is not translated into expansion logic.</w:t>
            </w:r>
          </w:p>
        </w:tc>
        <w:tc>
          <w:tcPr>
            <w:tcW w:w="1656" w:type="dxa"/>
          </w:tcPr>
          <w:p w14:paraId="4F2184CE" w14:textId="77777777" w:rsidR="005D0E74" w:rsidRDefault="00000000">
            <w:r>
              <w:t>Localities assessed for coverage, crowding, and potential.</w:t>
            </w:r>
          </w:p>
        </w:tc>
        <w:tc>
          <w:tcPr>
            <w:tcW w:w="1656" w:type="dxa"/>
          </w:tcPr>
          <w:p w14:paraId="53F09F69" w14:textId="77777777" w:rsidR="005D0E74" w:rsidRDefault="00000000">
            <w:r>
              <w:t>No locality prioritization.</w:t>
            </w:r>
          </w:p>
        </w:tc>
        <w:tc>
          <w:tcPr>
            <w:tcW w:w="1656" w:type="dxa"/>
          </w:tcPr>
          <w:p w14:paraId="51207169" w14:textId="77777777" w:rsidR="005D0E74" w:rsidRDefault="00000000">
            <w:r>
              <w:t>Missed hyperlocal opportunities.</w:t>
            </w:r>
          </w:p>
        </w:tc>
        <w:tc>
          <w:tcPr>
            <w:tcW w:w="1656" w:type="dxa"/>
          </w:tcPr>
          <w:p w14:paraId="64ABA30E" w14:textId="77777777" w:rsidR="005D0E74" w:rsidRDefault="00000000">
            <w:r>
              <w:t>Critical</w:t>
            </w:r>
          </w:p>
        </w:tc>
      </w:tr>
      <w:tr w:rsidR="005D0E74" w14:paraId="5579CAC8" w14:textId="77777777">
        <w:trPr>
          <w:jc w:val="center"/>
        </w:trPr>
        <w:tc>
          <w:tcPr>
            <w:tcW w:w="1656" w:type="dxa"/>
          </w:tcPr>
          <w:p w14:paraId="0C35FAA1" w14:textId="77777777" w:rsidR="005D0E74" w:rsidRDefault="00000000">
            <w:r>
              <w:t>Cuisine Gap Analysis</w:t>
            </w:r>
          </w:p>
        </w:tc>
        <w:tc>
          <w:tcPr>
            <w:tcW w:w="1656" w:type="dxa"/>
          </w:tcPr>
          <w:p w14:paraId="0DDC9ABA" w14:textId="77777777" w:rsidR="005D0E74" w:rsidRDefault="00000000">
            <w:r>
              <w:t>Cuisine data available but not strategically used.</w:t>
            </w:r>
          </w:p>
        </w:tc>
        <w:tc>
          <w:tcPr>
            <w:tcW w:w="1656" w:type="dxa"/>
          </w:tcPr>
          <w:p w14:paraId="632899CD" w14:textId="77777777" w:rsidR="005D0E74" w:rsidRDefault="00000000">
            <w:r>
              <w:t>Underrepresented cuisines identified per market.</w:t>
            </w:r>
          </w:p>
        </w:tc>
        <w:tc>
          <w:tcPr>
            <w:tcW w:w="1656" w:type="dxa"/>
          </w:tcPr>
          <w:p w14:paraId="27A12B36" w14:textId="77777777" w:rsidR="005D0E74" w:rsidRDefault="00000000">
            <w:r>
              <w:t>No cuisine-gap prioritization.</w:t>
            </w:r>
          </w:p>
        </w:tc>
        <w:tc>
          <w:tcPr>
            <w:tcW w:w="1656" w:type="dxa"/>
          </w:tcPr>
          <w:p w14:paraId="6D037302" w14:textId="77777777" w:rsidR="005D0E74" w:rsidRDefault="00000000">
            <w:r>
              <w:t>Poor category targeting.</w:t>
            </w:r>
          </w:p>
        </w:tc>
        <w:tc>
          <w:tcPr>
            <w:tcW w:w="1656" w:type="dxa"/>
          </w:tcPr>
          <w:p w14:paraId="385FFD00" w14:textId="77777777" w:rsidR="005D0E74" w:rsidRDefault="00000000">
            <w:r>
              <w:t>High</w:t>
            </w:r>
          </w:p>
        </w:tc>
      </w:tr>
      <w:tr w:rsidR="005D0E74" w14:paraId="5F0B1BE4" w14:textId="77777777">
        <w:trPr>
          <w:jc w:val="center"/>
        </w:trPr>
        <w:tc>
          <w:tcPr>
            <w:tcW w:w="1656" w:type="dxa"/>
          </w:tcPr>
          <w:p w14:paraId="3C653612" w14:textId="77777777" w:rsidR="005D0E74" w:rsidRDefault="00000000">
            <w:r>
              <w:t>Pricing Strategy</w:t>
            </w:r>
          </w:p>
        </w:tc>
        <w:tc>
          <w:tcPr>
            <w:tcW w:w="1656" w:type="dxa"/>
          </w:tcPr>
          <w:p w14:paraId="11D81B19" w14:textId="77777777" w:rsidR="005D0E74" w:rsidRDefault="00000000">
            <w:r>
              <w:t>Average cost available but not segmented.</w:t>
            </w:r>
          </w:p>
        </w:tc>
        <w:tc>
          <w:tcPr>
            <w:tcW w:w="1656" w:type="dxa"/>
          </w:tcPr>
          <w:p w14:paraId="2A94374B" w14:textId="77777777" w:rsidR="005D0E74" w:rsidRDefault="00000000">
            <w:r>
              <w:t>Budget/mid-range/premium gaps identified.</w:t>
            </w:r>
          </w:p>
        </w:tc>
        <w:tc>
          <w:tcPr>
            <w:tcW w:w="1656" w:type="dxa"/>
          </w:tcPr>
          <w:p w14:paraId="131A0E57" w14:textId="77777777" w:rsidR="005D0E74" w:rsidRDefault="00000000">
            <w:r>
              <w:t>No pricing segmentation.</w:t>
            </w:r>
          </w:p>
        </w:tc>
        <w:tc>
          <w:tcPr>
            <w:tcW w:w="1656" w:type="dxa"/>
          </w:tcPr>
          <w:p w14:paraId="69A4EE21" w14:textId="77777777" w:rsidR="005D0E74" w:rsidRDefault="00000000">
            <w:r>
              <w:t>Weak partner targeting.</w:t>
            </w:r>
          </w:p>
        </w:tc>
        <w:tc>
          <w:tcPr>
            <w:tcW w:w="1656" w:type="dxa"/>
          </w:tcPr>
          <w:p w14:paraId="77504F9C" w14:textId="77777777" w:rsidR="005D0E74" w:rsidRDefault="00000000">
            <w:r>
              <w:t>High</w:t>
            </w:r>
          </w:p>
        </w:tc>
      </w:tr>
      <w:tr w:rsidR="005D0E74" w14:paraId="28446FF5" w14:textId="77777777">
        <w:trPr>
          <w:jc w:val="center"/>
        </w:trPr>
        <w:tc>
          <w:tcPr>
            <w:tcW w:w="1656" w:type="dxa"/>
          </w:tcPr>
          <w:p w14:paraId="4839DC5C" w14:textId="77777777" w:rsidR="005D0E74" w:rsidRDefault="00000000">
            <w:r>
              <w:t>Quality Signal Definition</w:t>
            </w:r>
          </w:p>
        </w:tc>
        <w:tc>
          <w:tcPr>
            <w:tcW w:w="1656" w:type="dxa"/>
          </w:tcPr>
          <w:p w14:paraId="6EC789CA" w14:textId="77777777" w:rsidR="005D0E74" w:rsidRDefault="00000000">
            <w:r>
              <w:t>Ratings and votes may be interpreted separately.</w:t>
            </w:r>
          </w:p>
        </w:tc>
        <w:tc>
          <w:tcPr>
            <w:tcW w:w="1656" w:type="dxa"/>
          </w:tcPr>
          <w:p w14:paraId="77FDF873" w14:textId="77777777" w:rsidR="005D0E74" w:rsidRDefault="00000000">
            <w:r>
              <w:t>Quality assessed using rating and engagement signals.</w:t>
            </w:r>
          </w:p>
        </w:tc>
        <w:tc>
          <w:tcPr>
            <w:tcW w:w="1656" w:type="dxa"/>
          </w:tcPr>
          <w:p w14:paraId="65314D89" w14:textId="77777777" w:rsidR="005D0E74" w:rsidRDefault="00000000">
            <w:r>
              <w:t>No quality-weighted view.</w:t>
            </w:r>
          </w:p>
        </w:tc>
        <w:tc>
          <w:tcPr>
            <w:tcW w:w="1656" w:type="dxa"/>
          </w:tcPr>
          <w:p w14:paraId="2F78610E" w14:textId="77777777" w:rsidR="005D0E74" w:rsidRDefault="00000000">
            <w:r>
              <w:t>Risk of misleading interpretation.</w:t>
            </w:r>
          </w:p>
        </w:tc>
        <w:tc>
          <w:tcPr>
            <w:tcW w:w="1656" w:type="dxa"/>
          </w:tcPr>
          <w:p w14:paraId="38301939" w14:textId="77777777" w:rsidR="005D0E74" w:rsidRDefault="00000000">
            <w:r>
              <w:t>High</w:t>
            </w:r>
          </w:p>
        </w:tc>
      </w:tr>
      <w:tr w:rsidR="005D0E74" w14:paraId="7339E3BB" w14:textId="77777777">
        <w:trPr>
          <w:jc w:val="center"/>
        </w:trPr>
        <w:tc>
          <w:tcPr>
            <w:tcW w:w="1656" w:type="dxa"/>
          </w:tcPr>
          <w:p w14:paraId="6487D215" w14:textId="77777777" w:rsidR="005D0E74" w:rsidRDefault="00000000">
            <w:r>
              <w:t>Digital Readiness</w:t>
            </w:r>
          </w:p>
        </w:tc>
        <w:tc>
          <w:tcPr>
            <w:tcW w:w="1656" w:type="dxa"/>
          </w:tcPr>
          <w:p w14:paraId="499365CA" w14:textId="77777777" w:rsidR="005D0E74" w:rsidRDefault="00000000">
            <w:r>
              <w:t>Delivery and booking fields exist but are not scored.</w:t>
            </w:r>
          </w:p>
        </w:tc>
        <w:tc>
          <w:tcPr>
            <w:tcW w:w="1656" w:type="dxa"/>
          </w:tcPr>
          <w:p w14:paraId="36B4E162" w14:textId="77777777" w:rsidR="005D0E74" w:rsidRDefault="00000000">
            <w:r>
              <w:t>Markets rated by platform readiness.</w:t>
            </w:r>
          </w:p>
        </w:tc>
        <w:tc>
          <w:tcPr>
            <w:tcW w:w="1656" w:type="dxa"/>
          </w:tcPr>
          <w:p w14:paraId="54372EC3" w14:textId="77777777" w:rsidR="005D0E74" w:rsidRDefault="00000000">
            <w:r>
              <w:t>No readiness index.</w:t>
            </w:r>
          </w:p>
        </w:tc>
        <w:tc>
          <w:tcPr>
            <w:tcW w:w="1656" w:type="dxa"/>
          </w:tcPr>
          <w:p w14:paraId="6409D796" w14:textId="77777777" w:rsidR="005D0E74" w:rsidRDefault="00000000">
            <w:r>
              <w:t>Expansion may ignore maturity.</w:t>
            </w:r>
          </w:p>
        </w:tc>
        <w:tc>
          <w:tcPr>
            <w:tcW w:w="1656" w:type="dxa"/>
          </w:tcPr>
          <w:p w14:paraId="68A09325" w14:textId="77777777" w:rsidR="005D0E74" w:rsidRDefault="00000000">
            <w:r>
              <w:t>Medium</w:t>
            </w:r>
          </w:p>
        </w:tc>
      </w:tr>
      <w:tr w:rsidR="005D0E74" w14:paraId="5E48D726" w14:textId="77777777">
        <w:trPr>
          <w:jc w:val="center"/>
        </w:trPr>
        <w:tc>
          <w:tcPr>
            <w:tcW w:w="1656" w:type="dxa"/>
          </w:tcPr>
          <w:p w14:paraId="0EE26F5A" w14:textId="77777777" w:rsidR="005D0E74" w:rsidRDefault="00000000">
            <w:r>
              <w:t>Saturation Measurement</w:t>
            </w:r>
          </w:p>
        </w:tc>
        <w:tc>
          <w:tcPr>
            <w:tcW w:w="1656" w:type="dxa"/>
          </w:tcPr>
          <w:p w14:paraId="1FD69143" w14:textId="77777777" w:rsidR="005D0E74" w:rsidRDefault="00000000">
            <w:r>
              <w:t>Restaurant counts observable but crowding not formally measured.</w:t>
            </w:r>
          </w:p>
        </w:tc>
        <w:tc>
          <w:tcPr>
            <w:tcW w:w="1656" w:type="dxa"/>
          </w:tcPr>
          <w:p w14:paraId="058F6859" w14:textId="77777777" w:rsidR="005D0E74" w:rsidRDefault="00000000">
            <w:r>
              <w:t>Saturation penalty by city/locality.</w:t>
            </w:r>
          </w:p>
        </w:tc>
        <w:tc>
          <w:tcPr>
            <w:tcW w:w="1656" w:type="dxa"/>
          </w:tcPr>
          <w:p w14:paraId="69A2C9DD" w14:textId="77777777" w:rsidR="005D0E74" w:rsidRDefault="00000000">
            <w:r>
              <w:t>No saturation-risk framework.</w:t>
            </w:r>
          </w:p>
        </w:tc>
        <w:tc>
          <w:tcPr>
            <w:tcW w:w="1656" w:type="dxa"/>
          </w:tcPr>
          <w:p w14:paraId="25271195" w14:textId="77777777" w:rsidR="005D0E74" w:rsidRDefault="00000000">
            <w:r>
              <w:t>Overinvestment risk.</w:t>
            </w:r>
          </w:p>
        </w:tc>
        <w:tc>
          <w:tcPr>
            <w:tcW w:w="1656" w:type="dxa"/>
          </w:tcPr>
          <w:p w14:paraId="66DA42FD" w14:textId="77777777" w:rsidR="005D0E74" w:rsidRDefault="00000000">
            <w:r>
              <w:t>Critical</w:t>
            </w:r>
          </w:p>
        </w:tc>
      </w:tr>
      <w:tr w:rsidR="005D0E74" w14:paraId="0E37FB17" w14:textId="77777777">
        <w:trPr>
          <w:jc w:val="center"/>
        </w:trPr>
        <w:tc>
          <w:tcPr>
            <w:tcW w:w="1656" w:type="dxa"/>
          </w:tcPr>
          <w:p w14:paraId="2B72B495" w14:textId="77777777" w:rsidR="005D0E74" w:rsidRDefault="00000000">
            <w:r>
              <w:t>Executive Reporting</w:t>
            </w:r>
          </w:p>
        </w:tc>
        <w:tc>
          <w:tcPr>
            <w:tcW w:w="1656" w:type="dxa"/>
          </w:tcPr>
          <w:p w14:paraId="6A86818E" w14:textId="77777777" w:rsidR="005D0E74" w:rsidRDefault="00000000">
            <w:r>
              <w:t>Findings not consolidated for leadership.</w:t>
            </w:r>
          </w:p>
        </w:tc>
        <w:tc>
          <w:tcPr>
            <w:tcW w:w="1656" w:type="dxa"/>
          </w:tcPr>
          <w:p w14:paraId="45252517" w14:textId="77777777" w:rsidR="005D0E74" w:rsidRDefault="00000000">
            <w:r>
              <w:t>Clear dashboards and recommendations.</w:t>
            </w:r>
          </w:p>
        </w:tc>
        <w:tc>
          <w:tcPr>
            <w:tcW w:w="1656" w:type="dxa"/>
          </w:tcPr>
          <w:p w14:paraId="3D0CAA8A" w14:textId="77777777" w:rsidR="005D0E74" w:rsidRDefault="00000000">
            <w:r>
              <w:t>No decision-ready BI layer.</w:t>
            </w:r>
          </w:p>
        </w:tc>
        <w:tc>
          <w:tcPr>
            <w:tcW w:w="1656" w:type="dxa"/>
          </w:tcPr>
          <w:p w14:paraId="29F7390A" w14:textId="77777777" w:rsidR="005D0E74" w:rsidRDefault="00000000">
            <w:r>
              <w:t>Hard to communicate value.</w:t>
            </w:r>
          </w:p>
        </w:tc>
        <w:tc>
          <w:tcPr>
            <w:tcW w:w="1656" w:type="dxa"/>
          </w:tcPr>
          <w:p w14:paraId="0C54045C" w14:textId="77777777" w:rsidR="005D0E74" w:rsidRDefault="00000000">
            <w:r>
              <w:t>High</w:t>
            </w:r>
          </w:p>
        </w:tc>
      </w:tr>
      <w:tr w:rsidR="005D0E74" w14:paraId="7131C7D0" w14:textId="77777777">
        <w:trPr>
          <w:jc w:val="center"/>
        </w:trPr>
        <w:tc>
          <w:tcPr>
            <w:tcW w:w="1656" w:type="dxa"/>
          </w:tcPr>
          <w:p w14:paraId="14A867A4" w14:textId="77777777" w:rsidR="005D0E74" w:rsidRDefault="00000000">
            <w:r>
              <w:t>Cross-Functional Alignment</w:t>
            </w:r>
          </w:p>
        </w:tc>
        <w:tc>
          <w:tcPr>
            <w:tcW w:w="1656" w:type="dxa"/>
          </w:tcPr>
          <w:p w14:paraId="1B9CC098" w14:textId="77777777" w:rsidR="005D0E74" w:rsidRDefault="00000000">
            <w:r>
              <w:t>Different interpretations may exist.</w:t>
            </w:r>
          </w:p>
        </w:tc>
        <w:tc>
          <w:tcPr>
            <w:tcW w:w="1656" w:type="dxa"/>
          </w:tcPr>
          <w:p w14:paraId="67953BAB" w14:textId="77777777" w:rsidR="005D0E74" w:rsidRDefault="00000000">
            <w:r>
              <w:t>Shared KPI tree and definitions.</w:t>
            </w:r>
          </w:p>
        </w:tc>
        <w:tc>
          <w:tcPr>
            <w:tcW w:w="1656" w:type="dxa"/>
          </w:tcPr>
          <w:p w14:paraId="631EEEA7" w14:textId="77777777" w:rsidR="005D0E74" w:rsidRDefault="00000000">
            <w:r>
              <w:t>No common business language.</w:t>
            </w:r>
          </w:p>
        </w:tc>
        <w:tc>
          <w:tcPr>
            <w:tcW w:w="1656" w:type="dxa"/>
          </w:tcPr>
          <w:p w14:paraId="34B66D36" w14:textId="77777777" w:rsidR="005D0E74" w:rsidRDefault="00000000">
            <w:r>
              <w:t>Stakeholder misalignment.</w:t>
            </w:r>
          </w:p>
        </w:tc>
        <w:tc>
          <w:tcPr>
            <w:tcW w:w="1656" w:type="dxa"/>
          </w:tcPr>
          <w:p w14:paraId="558883B6" w14:textId="77777777" w:rsidR="005D0E74" w:rsidRDefault="00000000">
            <w:r>
              <w:t>High</w:t>
            </w:r>
          </w:p>
        </w:tc>
      </w:tr>
      <w:tr w:rsidR="005D0E74" w14:paraId="7327091B" w14:textId="77777777">
        <w:trPr>
          <w:jc w:val="center"/>
        </w:trPr>
        <w:tc>
          <w:tcPr>
            <w:tcW w:w="1656" w:type="dxa"/>
          </w:tcPr>
          <w:p w14:paraId="1DCB6994" w14:textId="77777777" w:rsidR="005D0E74" w:rsidRDefault="00000000">
            <w:r>
              <w:t>Data Granularity</w:t>
            </w:r>
          </w:p>
        </w:tc>
        <w:tc>
          <w:tcPr>
            <w:tcW w:w="1656" w:type="dxa"/>
          </w:tcPr>
          <w:p w14:paraId="1F9E25B7" w14:textId="77777777" w:rsidR="005D0E74" w:rsidRDefault="00000000">
            <w:r>
              <w:t xml:space="preserve">Useful but limited static </w:t>
            </w:r>
            <w:r>
              <w:lastRenderedPageBreak/>
              <w:t>sample.</w:t>
            </w:r>
          </w:p>
        </w:tc>
        <w:tc>
          <w:tcPr>
            <w:tcW w:w="1656" w:type="dxa"/>
          </w:tcPr>
          <w:p w14:paraId="111993E2" w14:textId="77777777" w:rsidR="005D0E74" w:rsidRDefault="00000000">
            <w:r>
              <w:lastRenderedPageBreak/>
              <w:t xml:space="preserve">Broader/live market picture </w:t>
            </w:r>
            <w:r>
              <w:lastRenderedPageBreak/>
              <w:t>desired.</w:t>
            </w:r>
          </w:p>
        </w:tc>
        <w:tc>
          <w:tcPr>
            <w:tcW w:w="1656" w:type="dxa"/>
          </w:tcPr>
          <w:p w14:paraId="1D4AF3A2" w14:textId="77777777" w:rsidR="005D0E74" w:rsidRDefault="00000000">
            <w:r>
              <w:lastRenderedPageBreak/>
              <w:t>Limited coverage.</w:t>
            </w:r>
          </w:p>
        </w:tc>
        <w:tc>
          <w:tcPr>
            <w:tcW w:w="1656" w:type="dxa"/>
          </w:tcPr>
          <w:p w14:paraId="5F715FF9" w14:textId="77777777" w:rsidR="005D0E74" w:rsidRDefault="00000000">
            <w:r>
              <w:t xml:space="preserve">Conclusions need careful </w:t>
            </w:r>
            <w:r>
              <w:lastRenderedPageBreak/>
              <w:t>positioning.</w:t>
            </w:r>
          </w:p>
        </w:tc>
        <w:tc>
          <w:tcPr>
            <w:tcW w:w="1656" w:type="dxa"/>
          </w:tcPr>
          <w:p w14:paraId="1B7BB04C" w14:textId="77777777" w:rsidR="005D0E74" w:rsidRDefault="00000000">
            <w:r>
              <w:lastRenderedPageBreak/>
              <w:t>Medium</w:t>
            </w:r>
          </w:p>
        </w:tc>
      </w:tr>
      <w:tr w:rsidR="005D0E74" w14:paraId="1B66CBC9" w14:textId="77777777">
        <w:trPr>
          <w:jc w:val="center"/>
        </w:trPr>
        <w:tc>
          <w:tcPr>
            <w:tcW w:w="1656" w:type="dxa"/>
          </w:tcPr>
          <w:p w14:paraId="3B95452C" w14:textId="77777777" w:rsidR="005D0E74" w:rsidRDefault="00000000">
            <w:r>
              <w:t>Demand Visibility</w:t>
            </w:r>
          </w:p>
        </w:tc>
        <w:tc>
          <w:tcPr>
            <w:tcW w:w="1656" w:type="dxa"/>
          </w:tcPr>
          <w:p w14:paraId="688B8645" w14:textId="77777777" w:rsidR="005D0E74" w:rsidRDefault="00000000">
            <w:r>
              <w:t>Primarily restaurant/listing signals.</w:t>
            </w:r>
          </w:p>
        </w:tc>
        <w:tc>
          <w:tcPr>
            <w:tcW w:w="1656" w:type="dxa"/>
          </w:tcPr>
          <w:p w14:paraId="4BAAE460" w14:textId="77777777" w:rsidR="005D0E74" w:rsidRDefault="00000000">
            <w:r>
              <w:t>Demand-side signals would strengthen measurement.</w:t>
            </w:r>
          </w:p>
        </w:tc>
        <w:tc>
          <w:tcPr>
            <w:tcW w:w="1656" w:type="dxa"/>
          </w:tcPr>
          <w:p w14:paraId="76081282" w14:textId="77777777" w:rsidR="005D0E74" w:rsidRDefault="00000000">
            <w:r>
              <w:t>No direct demand measure.</w:t>
            </w:r>
          </w:p>
        </w:tc>
        <w:tc>
          <w:tcPr>
            <w:tcW w:w="1656" w:type="dxa"/>
          </w:tcPr>
          <w:p w14:paraId="2EBB0B0D" w14:textId="77777777" w:rsidR="005D0E74" w:rsidRDefault="00000000">
            <w:r>
              <w:t>Opportunity is inferred.</w:t>
            </w:r>
          </w:p>
        </w:tc>
        <w:tc>
          <w:tcPr>
            <w:tcW w:w="1656" w:type="dxa"/>
          </w:tcPr>
          <w:p w14:paraId="58A3B515" w14:textId="77777777" w:rsidR="005D0E74" w:rsidRDefault="00000000">
            <w:r>
              <w:t>High</w:t>
            </w:r>
          </w:p>
        </w:tc>
      </w:tr>
      <w:tr w:rsidR="005D0E74" w14:paraId="0901FEA4" w14:textId="77777777">
        <w:trPr>
          <w:jc w:val="center"/>
        </w:trPr>
        <w:tc>
          <w:tcPr>
            <w:tcW w:w="1656" w:type="dxa"/>
          </w:tcPr>
          <w:p w14:paraId="51A499BD" w14:textId="77777777" w:rsidR="005D0E74" w:rsidRDefault="00000000">
            <w:r>
              <w:t>Temporal Insight</w:t>
            </w:r>
          </w:p>
        </w:tc>
        <w:tc>
          <w:tcPr>
            <w:tcW w:w="1656" w:type="dxa"/>
          </w:tcPr>
          <w:p w14:paraId="32AAB895" w14:textId="77777777" w:rsidR="005D0E74" w:rsidRDefault="00000000">
            <w:r>
              <w:t>Point-in-time snapshot.</w:t>
            </w:r>
          </w:p>
        </w:tc>
        <w:tc>
          <w:tcPr>
            <w:tcW w:w="1656" w:type="dxa"/>
          </w:tcPr>
          <w:p w14:paraId="5A780C8F" w14:textId="77777777" w:rsidR="005D0E74" w:rsidRDefault="00000000">
            <w:r>
              <w:t>Historical trends would strengthen logic.</w:t>
            </w:r>
          </w:p>
        </w:tc>
        <w:tc>
          <w:tcPr>
            <w:tcW w:w="1656" w:type="dxa"/>
          </w:tcPr>
          <w:p w14:paraId="4A86C162" w14:textId="77777777" w:rsidR="005D0E74" w:rsidRDefault="00000000">
            <w:r>
              <w:t>No trend/seasonality layer.</w:t>
            </w:r>
          </w:p>
        </w:tc>
        <w:tc>
          <w:tcPr>
            <w:tcW w:w="1656" w:type="dxa"/>
          </w:tcPr>
          <w:p w14:paraId="2EB5BAF9" w14:textId="77777777" w:rsidR="005D0E74" w:rsidRDefault="00000000">
            <w:r>
              <w:t>Momentum cannot be measured.</w:t>
            </w:r>
          </w:p>
        </w:tc>
        <w:tc>
          <w:tcPr>
            <w:tcW w:w="1656" w:type="dxa"/>
          </w:tcPr>
          <w:p w14:paraId="0CD2AB4A" w14:textId="77777777" w:rsidR="005D0E74" w:rsidRDefault="00000000">
            <w:r>
              <w:t>Medium</w:t>
            </w:r>
          </w:p>
        </w:tc>
      </w:tr>
    </w:tbl>
    <w:p w14:paraId="2C929B5E" w14:textId="77777777" w:rsidR="005D0E74" w:rsidRDefault="00000000">
      <w:pPr>
        <w:pStyle w:val="Heading1"/>
      </w:pPr>
      <w:r>
        <w:t>4. Critical Business Gaps</w:t>
      </w:r>
    </w:p>
    <w:p w14:paraId="0F5F2B0F" w14:textId="77777777" w:rsidR="005D0E74" w:rsidRDefault="00000000">
      <w:pPr>
        <w:pStyle w:val="Heading2"/>
      </w:pPr>
      <w:r>
        <w:t>4.1 No Formal Market Expansion Score</w:t>
      </w:r>
    </w:p>
    <w:p w14:paraId="5103A3FB" w14:textId="77777777" w:rsidR="005D0E74" w:rsidRDefault="00000000">
      <w:r>
        <w:t>The largest gap is the absence of a structured method for ranking cities and localities. The project closes this through the Expansion Opportunity Score, combining market, cuisine, pricing, quality, readiness, and saturation signals.</w:t>
      </w:r>
    </w:p>
    <w:p w14:paraId="13B6C39B" w14:textId="77777777" w:rsidR="005D0E74" w:rsidRDefault="00000000">
      <w:pPr>
        <w:pStyle w:val="Heading2"/>
      </w:pPr>
      <w:r>
        <w:t>4.2 No Saturation Penalty</w:t>
      </w:r>
    </w:p>
    <w:p w14:paraId="657AC89B" w14:textId="77777777" w:rsidR="005D0E74" w:rsidRDefault="00000000">
      <w:r>
        <w:t>High restaurant density does not automatically indicate an attractive expansion market. A saturation-risk component is required to avoid treating crowded markets as automatically attractive.</w:t>
      </w:r>
    </w:p>
    <w:p w14:paraId="326EBE19" w14:textId="77777777" w:rsidR="005D0E74" w:rsidRDefault="00000000">
      <w:pPr>
        <w:pStyle w:val="Heading2"/>
      </w:pPr>
      <w:r>
        <w:t>4.3 No Cuisine and Pricing Gap Framework</w:t>
      </w:r>
    </w:p>
    <w:p w14:paraId="5D7F8C1D" w14:textId="77777777" w:rsidR="005D0E74" w:rsidRDefault="00000000">
      <w:r>
        <w:t>Cuisine and pricing information must be converted from descriptive attributes into measurable opportunity and prioritization signals.</w:t>
      </w:r>
    </w:p>
    <w:p w14:paraId="012F15DF" w14:textId="77777777" w:rsidR="005D0E74" w:rsidRDefault="00000000">
      <w:pPr>
        <w:pStyle w:val="Heading2"/>
      </w:pPr>
      <w:r>
        <w:t>4.4 No Direct Demand-Side Signal</w:t>
      </w:r>
    </w:p>
    <w:p w14:paraId="0666BD9E" w14:textId="77777777" w:rsidR="005D0E74" w:rsidRDefault="00000000">
      <w:r>
        <w:t>The finalized dataset does not directly provide customer order volume, revenue, or customer-level demand. Opportunity must therefore be inferred from available restaurant, rating, vote, pricing, and feature signals.</w:t>
      </w:r>
    </w:p>
    <w:p w14:paraId="2E851351" w14:textId="77777777" w:rsidR="005D0E74" w:rsidRDefault="00000000">
      <w:pPr>
        <w:pStyle w:val="Heading2"/>
      </w:pPr>
      <w:r>
        <w:t>4.5 No Executive Decision Layer</w:t>
      </w:r>
    </w:p>
    <w:p w14:paraId="4242E340" w14:textId="77777777" w:rsidR="005D0E74" w:rsidRDefault="00000000">
      <w:r>
        <w:t>Raw findings are insufficient for leadership decisions. The project must produce ranked markets, explainable drivers, dashboards, and recommendation summaries.</w:t>
      </w:r>
    </w:p>
    <w:p w14:paraId="1B14DA1E" w14:textId="77777777" w:rsidR="005D0E74" w:rsidRDefault="00000000">
      <w:pPr>
        <w:pStyle w:val="Heading1"/>
      </w:pPr>
      <w:r>
        <w:t>5. Gap Analysis by Business Layer</w:t>
      </w:r>
    </w:p>
    <w:p w14:paraId="0A007430" w14:textId="77777777" w:rsidR="005D0E74" w:rsidRDefault="00000000">
      <w:pPr>
        <w:pStyle w:val="Heading2"/>
      </w:pPr>
      <w:r>
        <w:t>Strategic Gap</w:t>
      </w:r>
    </w:p>
    <w:p w14:paraId="4E760D42" w14:textId="77777777" w:rsidR="005D0E74" w:rsidRDefault="00000000">
      <w:r>
        <w:t>Expansion is not yet linked to a formal business intelligence framework. Desired state: expansion driven by an opportunity score and market segmentation.</w:t>
      </w:r>
    </w:p>
    <w:p w14:paraId="21E7832E" w14:textId="77777777" w:rsidR="005D0E74" w:rsidRDefault="00000000">
      <w:pPr>
        <w:pStyle w:val="Heading2"/>
      </w:pPr>
      <w:r>
        <w:t>Operational Gap</w:t>
      </w:r>
    </w:p>
    <w:p w14:paraId="49A04C42" w14:textId="77777777" w:rsidR="005D0E74" w:rsidRDefault="00000000">
      <w:r>
        <w:t>Restaurant onboarding and market review require a repeatable workflow guided by locality-level insights.</w:t>
      </w:r>
    </w:p>
    <w:p w14:paraId="259A63EF" w14:textId="77777777" w:rsidR="005D0E74" w:rsidRDefault="00000000">
      <w:pPr>
        <w:pStyle w:val="Heading2"/>
      </w:pPr>
      <w:r>
        <w:t>Analytical Gap</w:t>
      </w:r>
    </w:p>
    <w:p w14:paraId="2EF88724" w14:textId="77777777" w:rsidR="005D0E74" w:rsidRDefault="00000000">
      <w:r>
        <w:t>Raw metrics must be transformed into KPIs, scores, rankings, and business explanations.</w:t>
      </w:r>
    </w:p>
    <w:p w14:paraId="0F653637" w14:textId="77777777" w:rsidR="005D0E74" w:rsidRDefault="00000000">
      <w:pPr>
        <w:pStyle w:val="Heading2"/>
      </w:pPr>
      <w:r>
        <w:lastRenderedPageBreak/>
        <w:t>Reporting Gap</w:t>
      </w:r>
    </w:p>
    <w:p w14:paraId="38DD900E" w14:textId="77777777" w:rsidR="005D0E74" w:rsidRDefault="00000000">
      <w:r>
        <w:t>The project requires decision-oriented dashboards rather than disconnected charts and tables.</w:t>
      </w:r>
    </w:p>
    <w:p w14:paraId="26EC4C25" w14:textId="77777777" w:rsidR="005D0E74" w:rsidRDefault="00000000">
      <w:pPr>
        <w:pStyle w:val="Heading2"/>
      </w:pPr>
      <w:r>
        <w:t>Governance Gap</w:t>
      </w:r>
    </w:p>
    <w:p w14:paraId="5231DFDD" w14:textId="77777777" w:rsidR="005D0E74" w:rsidRDefault="00000000">
      <w:r>
        <w:t>A shared KPI tree, business rules, and definitions are required so stakeholders use a common language.</w:t>
      </w:r>
    </w:p>
    <w:p w14:paraId="5E65F282" w14:textId="77777777" w:rsidR="005D0E74" w:rsidRDefault="00000000">
      <w:pPr>
        <w:pStyle w:val="Heading1"/>
      </w:pPr>
      <w:r>
        <w:t>6. Root Cause Summary</w:t>
      </w:r>
    </w:p>
    <w:p w14:paraId="08153B2C" w14:textId="77777777" w:rsidR="005D0E74" w:rsidRDefault="00000000">
      <w:pPr>
        <w:pStyle w:val="ListBullet"/>
      </w:pPr>
      <w:r>
        <w:t>The dataset is a static point-in-time snapshot rather than a live operational feed.</w:t>
      </w:r>
    </w:p>
    <w:p w14:paraId="318BC793" w14:textId="77777777" w:rsidR="005D0E74" w:rsidRDefault="00000000">
      <w:pPr>
        <w:pStyle w:val="ListBullet"/>
      </w:pPr>
      <w:r>
        <w:t>The dataset provides restaurant and menu signals but does not directly measure customer demand.</w:t>
      </w:r>
    </w:p>
    <w:p w14:paraId="5A741BE8" w14:textId="77777777" w:rsidR="005D0E74" w:rsidRDefault="00000000">
      <w:pPr>
        <w:pStyle w:val="ListBullet"/>
      </w:pPr>
      <w:r>
        <w:t>Available fields are descriptive and require transformation into a formal business decision framework.</w:t>
      </w:r>
    </w:p>
    <w:p w14:paraId="335F7464" w14:textId="77777777" w:rsidR="005D0E74" w:rsidRDefault="00000000">
      <w:pPr>
        <w:pStyle w:val="ListBullet"/>
      </w:pPr>
      <w:r>
        <w:t>No predefined expansion methodology exists within the source data itself.</w:t>
      </w:r>
    </w:p>
    <w:p w14:paraId="7000E363" w14:textId="77777777" w:rsidR="005D0E74" w:rsidRDefault="00000000">
      <w:pPr>
        <w:pStyle w:val="Heading1"/>
      </w:pPr>
      <w:r>
        <w:t>7. Business Impact of Identified Gaps</w:t>
      </w:r>
    </w:p>
    <w:tbl>
      <w:tblPr>
        <w:tblW w:w="0" w:type="auto"/>
        <w:jc w:val="center"/>
        <w:tblLook w:val="04A0" w:firstRow="1" w:lastRow="0" w:firstColumn="1" w:lastColumn="0" w:noHBand="0" w:noVBand="1"/>
      </w:tblPr>
      <w:tblGrid>
        <w:gridCol w:w="4968"/>
        <w:gridCol w:w="4968"/>
      </w:tblGrid>
      <w:tr w:rsidR="005D0E74" w14:paraId="147B389E" w14:textId="77777777">
        <w:trPr>
          <w:jc w:val="center"/>
        </w:trPr>
        <w:tc>
          <w:tcPr>
            <w:tcW w:w="4968" w:type="dxa"/>
          </w:tcPr>
          <w:p w14:paraId="6D203C9B" w14:textId="77777777" w:rsidR="005D0E74" w:rsidRDefault="00000000">
            <w:r>
              <w:t>Gap</w:t>
            </w:r>
          </w:p>
        </w:tc>
        <w:tc>
          <w:tcPr>
            <w:tcW w:w="4968" w:type="dxa"/>
          </w:tcPr>
          <w:p w14:paraId="08C1F907" w14:textId="77777777" w:rsidR="005D0E74" w:rsidRDefault="00000000">
            <w:r>
              <w:t>Business Risk</w:t>
            </w:r>
          </w:p>
        </w:tc>
      </w:tr>
      <w:tr w:rsidR="005D0E74" w14:paraId="0B6F366F" w14:textId="77777777">
        <w:trPr>
          <w:jc w:val="center"/>
        </w:trPr>
        <w:tc>
          <w:tcPr>
            <w:tcW w:w="4968" w:type="dxa"/>
          </w:tcPr>
          <w:p w14:paraId="5637CC48" w14:textId="77777777" w:rsidR="005D0E74" w:rsidRDefault="00000000">
            <w:r>
              <w:t>No market ranking</w:t>
            </w:r>
          </w:p>
        </w:tc>
        <w:tc>
          <w:tcPr>
            <w:tcW w:w="4968" w:type="dxa"/>
          </w:tcPr>
          <w:p w14:paraId="35A4B98D" w14:textId="77777777" w:rsidR="005D0E74" w:rsidRDefault="00000000">
            <w:r>
              <w:t>Expansion decisions may be inconsistent.</w:t>
            </w:r>
          </w:p>
        </w:tc>
      </w:tr>
      <w:tr w:rsidR="005D0E74" w14:paraId="626C4D25" w14:textId="77777777">
        <w:trPr>
          <w:jc w:val="center"/>
        </w:trPr>
        <w:tc>
          <w:tcPr>
            <w:tcW w:w="4968" w:type="dxa"/>
          </w:tcPr>
          <w:p w14:paraId="4487FC7E" w14:textId="77777777" w:rsidR="005D0E74" w:rsidRDefault="00000000">
            <w:r>
              <w:t>No saturation score</w:t>
            </w:r>
          </w:p>
        </w:tc>
        <w:tc>
          <w:tcPr>
            <w:tcW w:w="4968" w:type="dxa"/>
          </w:tcPr>
          <w:p w14:paraId="2FEE4225" w14:textId="77777777" w:rsidR="005D0E74" w:rsidRDefault="00000000">
            <w:r>
              <w:t>Zomato may overinvest in crowded zones.</w:t>
            </w:r>
          </w:p>
        </w:tc>
      </w:tr>
      <w:tr w:rsidR="005D0E74" w14:paraId="36EF8703" w14:textId="77777777">
        <w:trPr>
          <w:jc w:val="center"/>
        </w:trPr>
        <w:tc>
          <w:tcPr>
            <w:tcW w:w="4968" w:type="dxa"/>
          </w:tcPr>
          <w:p w14:paraId="6FD87E1F" w14:textId="77777777" w:rsidR="005D0E74" w:rsidRDefault="00000000">
            <w:r>
              <w:t>No cuisine gap view</w:t>
            </w:r>
          </w:p>
        </w:tc>
        <w:tc>
          <w:tcPr>
            <w:tcW w:w="4968" w:type="dxa"/>
          </w:tcPr>
          <w:p w14:paraId="5F6B6ADD" w14:textId="77777777" w:rsidR="005D0E74" w:rsidRDefault="00000000">
            <w:r>
              <w:t>Category opportunities may be missed.</w:t>
            </w:r>
          </w:p>
        </w:tc>
      </w:tr>
      <w:tr w:rsidR="005D0E74" w14:paraId="5FE98119" w14:textId="77777777">
        <w:trPr>
          <w:jc w:val="center"/>
        </w:trPr>
        <w:tc>
          <w:tcPr>
            <w:tcW w:w="4968" w:type="dxa"/>
          </w:tcPr>
          <w:p w14:paraId="1E1B590E" w14:textId="77777777" w:rsidR="005D0E74" w:rsidRDefault="00000000">
            <w:r>
              <w:t>No pricing segmentation</w:t>
            </w:r>
          </w:p>
        </w:tc>
        <w:tc>
          <w:tcPr>
            <w:tcW w:w="4968" w:type="dxa"/>
          </w:tcPr>
          <w:p w14:paraId="1A343532" w14:textId="77777777" w:rsidR="005D0E74" w:rsidRDefault="00000000">
            <w:r>
              <w:t>Partner targeting may be inefficient.</w:t>
            </w:r>
          </w:p>
        </w:tc>
      </w:tr>
      <w:tr w:rsidR="005D0E74" w14:paraId="41010FF0" w14:textId="77777777">
        <w:trPr>
          <w:jc w:val="center"/>
        </w:trPr>
        <w:tc>
          <w:tcPr>
            <w:tcW w:w="4968" w:type="dxa"/>
          </w:tcPr>
          <w:p w14:paraId="1C0A964B" w14:textId="77777777" w:rsidR="005D0E74" w:rsidRDefault="00000000">
            <w:r>
              <w:t>No quality weighting</w:t>
            </w:r>
          </w:p>
        </w:tc>
        <w:tc>
          <w:tcPr>
            <w:tcW w:w="4968" w:type="dxa"/>
          </w:tcPr>
          <w:p w14:paraId="5D347889" w14:textId="77777777" w:rsidR="005D0E74" w:rsidRDefault="00000000">
            <w:r>
              <w:t>Raw ratings may be misinterpreted.</w:t>
            </w:r>
          </w:p>
        </w:tc>
      </w:tr>
      <w:tr w:rsidR="005D0E74" w14:paraId="409D5812" w14:textId="77777777">
        <w:trPr>
          <w:jc w:val="center"/>
        </w:trPr>
        <w:tc>
          <w:tcPr>
            <w:tcW w:w="4968" w:type="dxa"/>
          </w:tcPr>
          <w:p w14:paraId="60CD40CE" w14:textId="77777777" w:rsidR="005D0E74" w:rsidRDefault="00000000">
            <w:r>
              <w:t>No readiness score</w:t>
            </w:r>
          </w:p>
        </w:tc>
        <w:tc>
          <w:tcPr>
            <w:tcW w:w="4968" w:type="dxa"/>
          </w:tcPr>
          <w:p w14:paraId="3D3BF7C7" w14:textId="77777777" w:rsidR="005D0E74" w:rsidRDefault="00000000">
            <w:r>
              <w:t>Expansion may target immature markets.</w:t>
            </w:r>
          </w:p>
        </w:tc>
      </w:tr>
      <w:tr w:rsidR="005D0E74" w14:paraId="13EDD683" w14:textId="77777777">
        <w:trPr>
          <w:jc w:val="center"/>
        </w:trPr>
        <w:tc>
          <w:tcPr>
            <w:tcW w:w="4968" w:type="dxa"/>
          </w:tcPr>
          <w:p w14:paraId="6F488F04" w14:textId="77777777" w:rsidR="005D0E74" w:rsidRDefault="00000000">
            <w:r>
              <w:t>No executive layer</w:t>
            </w:r>
          </w:p>
        </w:tc>
        <w:tc>
          <w:tcPr>
            <w:tcW w:w="4968" w:type="dxa"/>
          </w:tcPr>
          <w:p w14:paraId="4DA37C8C" w14:textId="77777777" w:rsidR="005D0E74" w:rsidRDefault="00000000">
            <w:r>
              <w:t>Leadership may struggle to act on findings.</w:t>
            </w:r>
          </w:p>
        </w:tc>
      </w:tr>
    </w:tbl>
    <w:p w14:paraId="264B164A" w14:textId="77777777" w:rsidR="005D0E74" w:rsidRDefault="00000000">
      <w:pPr>
        <w:pStyle w:val="Heading1"/>
      </w:pPr>
      <w:r>
        <w:t>8. Recommended Gap Closure Strategy</w:t>
      </w:r>
    </w:p>
    <w:p w14:paraId="29A2DF4A" w14:textId="77777777" w:rsidR="005D0E74" w:rsidRDefault="00000000">
      <w:pPr>
        <w:pStyle w:val="Heading2"/>
      </w:pPr>
      <w:r>
        <w:t>Phase 1 — Define Decision Framework</w:t>
      </w:r>
    </w:p>
    <w:p w14:paraId="685CDB85" w14:textId="77777777" w:rsidR="005D0E74" w:rsidRDefault="00000000">
      <w:pPr>
        <w:pStyle w:val="ListBullet"/>
      </w:pPr>
      <w:r>
        <w:t>Finalize KPI tree.</w:t>
      </w:r>
    </w:p>
    <w:p w14:paraId="4D5E5BA7" w14:textId="77777777" w:rsidR="005D0E74" w:rsidRDefault="00000000">
      <w:pPr>
        <w:pStyle w:val="ListBullet"/>
      </w:pPr>
      <w:r>
        <w:t>Define Expansion Opportunity Score.</w:t>
      </w:r>
    </w:p>
    <w:p w14:paraId="37EEE372" w14:textId="77777777" w:rsidR="005D0E74" w:rsidRDefault="00000000">
      <w:pPr>
        <w:pStyle w:val="ListBullet"/>
      </w:pPr>
      <w:r>
        <w:t>Define pricing bands.</w:t>
      </w:r>
    </w:p>
    <w:p w14:paraId="629854B8" w14:textId="77777777" w:rsidR="005D0E74" w:rsidRDefault="00000000">
      <w:pPr>
        <w:pStyle w:val="ListBullet"/>
      </w:pPr>
      <w:r>
        <w:t>Define saturation logic.</w:t>
      </w:r>
    </w:p>
    <w:p w14:paraId="08F6FB8D" w14:textId="77777777" w:rsidR="005D0E74" w:rsidRDefault="00000000">
      <w:pPr>
        <w:pStyle w:val="ListBullet"/>
      </w:pPr>
      <w:r>
        <w:t>Document business rules.</w:t>
      </w:r>
    </w:p>
    <w:p w14:paraId="061D087F" w14:textId="77777777" w:rsidR="005D0E74" w:rsidRDefault="00000000">
      <w:pPr>
        <w:pStyle w:val="Heading2"/>
      </w:pPr>
      <w:r>
        <w:t>Phase 2 — Convert Raw Data into Business Views</w:t>
      </w:r>
    </w:p>
    <w:p w14:paraId="22DBB36D" w14:textId="77777777" w:rsidR="005D0E74" w:rsidRDefault="00000000">
      <w:pPr>
        <w:pStyle w:val="ListBullet"/>
      </w:pPr>
      <w:r>
        <w:t>City summary</w:t>
      </w:r>
    </w:p>
    <w:p w14:paraId="617F146B" w14:textId="77777777" w:rsidR="005D0E74" w:rsidRDefault="00000000">
      <w:pPr>
        <w:pStyle w:val="ListBullet"/>
      </w:pPr>
      <w:r>
        <w:t>Locality summary</w:t>
      </w:r>
    </w:p>
    <w:p w14:paraId="633F3312" w14:textId="77777777" w:rsidR="005D0E74" w:rsidRDefault="00000000">
      <w:pPr>
        <w:pStyle w:val="ListBullet"/>
      </w:pPr>
      <w:r>
        <w:t>Cuisine summary</w:t>
      </w:r>
    </w:p>
    <w:p w14:paraId="0A973074" w14:textId="77777777" w:rsidR="005D0E74" w:rsidRDefault="00000000">
      <w:pPr>
        <w:pStyle w:val="ListBullet"/>
      </w:pPr>
      <w:r>
        <w:t>Pricing summary</w:t>
      </w:r>
    </w:p>
    <w:p w14:paraId="652A8FBB" w14:textId="77777777" w:rsidR="005D0E74" w:rsidRDefault="00000000">
      <w:pPr>
        <w:pStyle w:val="ListBullet"/>
      </w:pPr>
      <w:r>
        <w:t>Quality summary</w:t>
      </w:r>
    </w:p>
    <w:p w14:paraId="2CD8DE9D" w14:textId="77777777" w:rsidR="005D0E74" w:rsidRDefault="00000000">
      <w:pPr>
        <w:pStyle w:val="ListBullet"/>
      </w:pPr>
      <w:r>
        <w:t>Platform-readiness summary</w:t>
      </w:r>
    </w:p>
    <w:p w14:paraId="16E0F32C" w14:textId="77777777" w:rsidR="005D0E74" w:rsidRDefault="00000000">
      <w:pPr>
        <w:pStyle w:val="Heading2"/>
      </w:pPr>
      <w:r>
        <w:lastRenderedPageBreak/>
        <w:t>Phase 3 — Build Decision Outputs</w:t>
      </w:r>
    </w:p>
    <w:p w14:paraId="4EDD930F" w14:textId="77777777" w:rsidR="005D0E74" w:rsidRDefault="00000000">
      <w:pPr>
        <w:pStyle w:val="ListBullet"/>
      </w:pPr>
      <w:r>
        <w:t>Ranked expansion list</w:t>
      </w:r>
    </w:p>
    <w:p w14:paraId="255F8982" w14:textId="77777777" w:rsidR="005D0E74" w:rsidRDefault="00000000">
      <w:pPr>
        <w:pStyle w:val="ListBullet"/>
      </w:pPr>
      <w:r>
        <w:t>Opportunity heatmap</w:t>
      </w:r>
    </w:p>
    <w:p w14:paraId="5D2AF8A5" w14:textId="77777777" w:rsidR="005D0E74" w:rsidRDefault="00000000">
      <w:pPr>
        <w:pStyle w:val="ListBullet"/>
      </w:pPr>
      <w:r>
        <w:t>Saturation-risk list</w:t>
      </w:r>
    </w:p>
    <w:p w14:paraId="5491C987" w14:textId="77777777" w:rsidR="005D0E74" w:rsidRDefault="00000000">
      <w:pPr>
        <w:pStyle w:val="ListBullet"/>
      </w:pPr>
      <w:r>
        <w:t>Executive dashboard</w:t>
      </w:r>
    </w:p>
    <w:p w14:paraId="77ED15FC" w14:textId="77777777" w:rsidR="005D0E74" w:rsidRDefault="00000000">
      <w:pPr>
        <w:pStyle w:val="ListBullet"/>
      </w:pPr>
      <w:r>
        <w:t>Recommendation memo</w:t>
      </w:r>
    </w:p>
    <w:p w14:paraId="5D714B7F" w14:textId="77777777" w:rsidR="005D0E74" w:rsidRDefault="00000000">
      <w:pPr>
        <w:pStyle w:val="Heading2"/>
      </w:pPr>
      <w:r>
        <w:t>Phase 4 — Position Data Constraints Honestly</w:t>
      </w:r>
    </w:p>
    <w:p w14:paraId="5E6A3727" w14:textId="77777777" w:rsidR="005D0E74" w:rsidRDefault="00000000">
      <w:r>
        <w:t>Because the dataset is a point-in-time sample, the final project should state that the model identifies strategic expansion opportunities using available restaurant and menu signals, rather than claiming to measure live customer demand or transactional performance.</w:t>
      </w:r>
    </w:p>
    <w:p w14:paraId="2BD2C237" w14:textId="77777777" w:rsidR="005D0E74" w:rsidRDefault="00000000">
      <w:pPr>
        <w:pStyle w:val="Heading1"/>
      </w:pPr>
      <w:r>
        <w:t>9. Final Gap Closure Outcome</w:t>
      </w:r>
    </w:p>
    <w:p w14:paraId="4E4DEC80" w14:textId="1763C90C" w:rsidR="005D0E74" w:rsidRDefault="00000000" w:rsidP="00485811">
      <w:r>
        <w:t>After the identified gaps are addressed, Zomato stakeholders will have a repeatable decision framework connecting restaurant-level data to city/locality expansion priorities. The framework will explain where opportunity exists, why it exists, what saturation risks are present, and which markets should receive priority.</w:t>
      </w:r>
    </w:p>
    <w:sectPr w:rsidR="005D0E74"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0532509">
    <w:abstractNumId w:val="8"/>
  </w:num>
  <w:num w:numId="2" w16cid:durableId="714160354">
    <w:abstractNumId w:val="6"/>
  </w:num>
  <w:num w:numId="3" w16cid:durableId="159808316">
    <w:abstractNumId w:val="5"/>
  </w:num>
  <w:num w:numId="4" w16cid:durableId="1728603230">
    <w:abstractNumId w:val="4"/>
  </w:num>
  <w:num w:numId="5" w16cid:durableId="1848515810">
    <w:abstractNumId w:val="7"/>
  </w:num>
  <w:num w:numId="6" w16cid:durableId="596911645">
    <w:abstractNumId w:val="3"/>
  </w:num>
  <w:num w:numId="7" w16cid:durableId="519322918">
    <w:abstractNumId w:val="2"/>
  </w:num>
  <w:num w:numId="8" w16cid:durableId="1703435241">
    <w:abstractNumId w:val="1"/>
  </w:num>
  <w:num w:numId="9" w16cid:durableId="781730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7A4D"/>
    <w:rsid w:val="00485811"/>
    <w:rsid w:val="005D0E7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F1F927"/>
  <w14:defaultImageDpi w14:val="300"/>
  <w15:docId w15:val="{C29A8664-ED49-4AA0-B08C-8810FF04D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1150</Words>
  <Characters>6559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patel</cp:lastModifiedBy>
  <cp:revision>3</cp:revision>
  <dcterms:created xsi:type="dcterms:W3CDTF">2013-12-23T23:15:00Z</dcterms:created>
  <dcterms:modified xsi:type="dcterms:W3CDTF">2026-08-08T07:07:00Z</dcterms:modified>
  <cp:category/>
</cp:coreProperties>
</file>