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CBF314" w14:textId="4959980E" w:rsidR="00E0223A" w:rsidRDefault="004D07FC" w:rsidP="004D07FC">
      <w:pPr>
        <w:tabs>
          <w:tab w:val="left" w:pos="2173"/>
          <w:tab w:val="center" w:pos="4770"/>
        </w:tabs>
        <w:spacing w:after="60"/>
      </w:pPr>
      <w:r>
        <w:rPr>
          <w:b/>
          <w:bCs/>
          <w:color w:val="B8860B"/>
          <w:spacing w:val="20"/>
          <w:sz w:val="18"/>
          <w:szCs w:val="18"/>
        </w:rPr>
        <w:tab/>
      </w:r>
      <w:r>
        <w:rPr>
          <w:b/>
          <w:bCs/>
          <w:color w:val="B8860B"/>
          <w:spacing w:val="20"/>
          <w:sz w:val="18"/>
          <w:szCs w:val="18"/>
        </w:rPr>
        <w:tab/>
      </w:r>
      <w:r w:rsidR="00000000">
        <w:rPr>
          <w:b/>
          <w:bCs/>
          <w:color w:val="B8860B"/>
          <w:spacing w:val="20"/>
          <w:sz w:val="18"/>
          <w:szCs w:val="18"/>
        </w:rPr>
        <w:t xml:space="preserve">B U S I N E S </w:t>
      </w:r>
      <w:proofErr w:type="spellStart"/>
      <w:r w:rsidR="00000000">
        <w:rPr>
          <w:b/>
          <w:bCs/>
          <w:color w:val="B8860B"/>
          <w:spacing w:val="20"/>
          <w:sz w:val="18"/>
          <w:szCs w:val="18"/>
        </w:rPr>
        <w:t>S</w:t>
      </w:r>
      <w:proofErr w:type="spellEnd"/>
      <w:r w:rsidR="00000000">
        <w:rPr>
          <w:b/>
          <w:bCs/>
          <w:color w:val="B8860B"/>
          <w:spacing w:val="20"/>
          <w:sz w:val="18"/>
          <w:szCs w:val="18"/>
        </w:rPr>
        <w:t xml:space="preserve">   I N T E L </w:t>
      </w:r>
      <w:proofErr w:type="spellStart"/>
      <w:r w:rsidR="00000000">
        <w:rPr>
          <w:b/>
          <w:bCs/>
          <w:color w:val="B8860B"/>
          <w:spacing w:val="20"/>
          <w:sz w:val="18"/>
          <w:szCs w:val="18"/>
        </w:rPr>
        <w:t>L</w:t>
      </w:r>
      <w:proofErr w:type="spellEnd"/>
      <w:r w:rsidR="00000000">
        <w:rPr>
          <w:b/>
          <w:bCs/>
          <w:color w:val="B8860B"/>
          <w:spacing w:val="20"/>
          <w:sz w:val="18"/>
          <w:szCs w:val="18"/>
        </w:rPr>
        <w:t xml:space="preserve"> I G E N C E   R E P O R T</w:t>
      </w:r>
    </w:p>
    <w:p w14:paraId="78390CB2" w14:textId="77777777" w:rsidR="00E0223A" w:rsidRDefault="00E0223A">
      <w:pPr>
        <w:pBdr>
          <w:bottom w:val="single" w:sz="6" w:space="10" w:color="B8860B"/>
        </w:pBdr>
        <w:spacing w:after="320"/>
      </w:pPr>
    </w:p>
    <w:p w14:paraId="3FA8FEFA" w14:textId="77777777" w:rsidR="00E0223A" w:rsidRDefault="00000000">
      <w:pPr>
        <w:spacing w:after="120"/>
        <w:jc w:val="center"/>
      </w:pPr>
      <w:r>
        <w:rPr>
          <w:rFonts w:ascii="Georgia" w:eastAsia="Georgia" w:hAnsi="Georgia" w:cs="Georgia"/>
          <w:b/>
          <w:bCs/>
          <w:color w:val="1F3864"/>
          <w:sz w:val="60"/>
          <w:szCs w:val="60"/>
        </w:rPr>
        <w:t>Vendor Performance Analysis</w:t>
      </w:r>
    </w:p>
    <w:p w14:paraId="514A8F77" w14:textId="77777777" w:rsidR="00E0223A" w:rsidRDefault="00000000">
      <w:pPr>
        <w:spacing w:after="700"/>
        <w:jc w:val="center"/>
      </w:pPr>
      <w:r>
        <w:rPr>
          <w:i/>
          <w:iCs/>
          <w:color w:val="44546A"/>
          <w:sz w:val="24"/>
          <w:szCs w:val="24"/>
        </w:rPr>
        <w:t>Identifying Pricing, Inventory &amp; Vendor-Risk Opportunities from Purchase &amp; Sales Data</w:t>
      </w:r>
    </w:p>
    <w:p w14:paraId="346EAF7C" w14:textId="77777777" w:rsidR="00E0223A" w:rsidRDefault="00000000">
      <w:pPr>
        <w:spacing w:after="900"/>
        <w:jc w:val="center"/>
      </w:pPr>
      <w:r>
        <w:rPr>
          <w:noProof/>
        </w:rPr>
        <w:drawing>
          <wp:inline distT="0" distB="0" distL="0" distR="0" wp14:anchorId="79000904" wp14:editId="1166C81B">
            <wp:extent cx="4095750" cy="2505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505075"/>
                    </a:xfrm>
                    <a:prstGeom prst="rect">
                      <a:avLst/>
                    </a:prstGeom>
                  </pic:spPr>
                </pic:pic>
              </a:graphicData>
            </a:graphic>
          </wp:inline>
        </w:drawing>
      </w:r>
    </w:p>
    <w:tbl>
      <w:tblPr>
        <w:tblW w:w="9350" w:type="dxa"/>
        <w:jc w:val="center"/>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E0223A" w14:paraId="06268A40"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154EE711" w14:textId="77777777" w:rsidR="00E0223A" w:rsidRDefault="00000000">
            <w:r>
              <w:rPr>
                <w:b/>
                <w:bCs/>
                <w:color w:val="B8860B"/>
                <w:sz w:val="17"/>
                <w:szCs w:val="17"/>
              </w:rPr>
              <w:t>DATASET</w:t>
            </w:r>
          </w:p>
        </w:tc>
        <w:tc>
          <w:tcPr>
            <w:tcW w:w="67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F032170" w14:textId="77777777" w:rsidR="00E0223A" w:rsidRDefault="00000000">
            <w:r>
              <w:rPr>
                <w:sz w:val="19"/>
                <w:szCs w:val="19"/>
              </w:rPr>
              <w:t>10,692 vendor–brand records</w:t>
            </w:r>
          </w:p>
        </w:tc>
      </w:tr>
      <w:tr w:rsidR="00E0223A" w14:paraId="492BD7A7"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0F927472" w14:textId="77777777" w:rsidR="00E0223A" w:rsidRDefault="00000000">
            <w:r>
              <w:rPr>
                <w:b/>
                <w:bCs/>
                <w:color w:val="B8860B"/>
                <w:sz w:val="17"/>
                <w:szCs w:val="17"/>
              </w:rPr>
              <w:t>METHOD</w:t>
            </w:r>
          </w:p>
        </w:tc>
        <w:tc>
          <w:tcPr>
            <w:tcW w:w="67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089FFED" w14:textId="77777777" w:rsidR="00E0223A" w:rsidRDefault="00000000">
            <w:r>
              <w:rPr>
                <w:sz w:val="19"/>
                <w:szCs w:val="19"/>
              </w:rPr>
              <w:t>SQL aggregation · Python (pandas / seaborn) · hypothesis testing</w:t>
            </w:r>
          </w:p>
        </w:tc>
      </w:tr>
      <w:tr w:rsidR="00E0223A" w14:paraId="130BECC8"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31FCF01F" w14:textId="77777777" w:rsidR="00E0223A" w:rsidRDefault="00000000">
            <w:r>
              <w:rPr>
                <w:b/>
                <w:bCs/>
                <w:color w:val="B8860B"/>
                <w:sz w:val="17"/>
                <w:szCs w:val="17"/>
              </w:rPr>
              <w:t>TOOLS</w:t>
            </w:r>
          </w:p>
        </w:tc>
        <w:tc>
          <w:tcPr>
            <w:tcW w:w="67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F949B05" w14:textId="77777777" w:rsidR="00E0223A" w:rsidRDefault="00000000">
            <w:r>
              <w:rPr>
                <w:sz w:val="19"/>
                <w:szCs w:val="19"/>
              </w:rPr>
              <w:t>SQLite · Python · Power BI</w:t>
            </w:r>
          </w:p>
        </w:tc>
      </w:tr>
      <w:tr w:rsidR="00E0223A" w14:paraId="5B094208"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4B875F97" w14:textId="77777777" w:rsidR="00E0223A" w:rsidRDefault="00000000">
            <w:r>
              <w:rPr>
                <w:b/>
                <w:bCs/>
                <w:color w:val="B8860B"/>
                <w:sz w:val="17"/>
                <w:szCs w:val="17"/>
              </w:rPr>
              <w:t>PREPARED BY</w:t>
            </w:r>
          </w:p>
        </w:tc>
        <w:tc>
          <w:tcPr>
            <w:tcW w:w="67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36B00C5" w14:textId="296D13A0" w:rsidR="00E0223A" w:rsidRDefault="004D07FC">
            <w:proofErr w:type="spellStart"/>
            <w:r>
              <w:rPr>
                <w:sz w:val="19"/>
                <w:szCs w:val="19"/>
              </w:rPr>
              <w:t>Harshkumar</w:t>
            </w:r>
            <w:proofErr w:type="spellEnd"/>
            <w:r>
              <w:rPr>
                <w:sz w:val="19"/>
                <w:szCs w:val="19"/>
              </w:rPr>
              <w:t xml:space="preserve"> Patel</w:t>
            </w:r>
            <w:r w:rsidR="00000000">
              <w:rPr>
                <w:sz w:val="19"/>
                <w:szCs w:val="19"/>
              </w:rPr>
              <w:t xml:space="preserve">  ·  Data &amp; Analytics</w:t>
            </w:r>
          </w:p>
        </w:tc>
      </w:tr>
      <w:tr w:rsidR="00E0223A" w14:paraId="65C28925"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0D371D27" w14:textId="77777777" w:rsidR="00E0223A" w:rsidRDefault="00000000">
            <w:r>
              <w:rPr>
                <w:b/>
                <w:bCs/>
                <w:color w:val="B8860B"/>
                <w:sz w:val="17"/>
                <w:szCs w:val="17"/>
              </w:rPr>
              <w:t>DATE</w:t>
            </w:r>
          </w:p>
        </w:tc>
        <w:tc>
          <w:tcPr>
            <w:tcW w:w="67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6661865" w14:textId="77777777" w:rsidR="00E0223A" w:rsidRDefault="00000000">
            <w:r>
              <w:rPr>
                <w:sz w:val="19"/>
                <w:szCs w:val="19"/>
              </w:rPr>
              <w:t>July 2026</w:t>
            </w:r>
          </w:p>
        </w:tc>
      </w:tr>
    </w:tbl>
    <w:p w14:paraId="731441F4" w14:textId="77777777" w:rsidR="00E0223A" w:rsidRDefault="00E0223A">
      <w:pPr>
        <w:sectPr w:rsidR="00E0223A">
          <w:pgSz w:w="12240" w:h="15840"/>
          <w:pgMar w:top="1200" w:right="1350" w:bottom="1200" w:left="1350" w:header="708" w:footer="708" w:gutter="0"/>
          <w:cols w:space="720"/>
          <w:docGrid w:linePitch="360"/>
        </w:sectPr>
      </w:pPr>
    </w:p>
    <w:p w14:paraId="6B3334F5" w14:textId="77777777" w:rsidR="00E0223A" w:rsidRDefault="00000000">
      <w:pPr>
        <w:pStyle w:val="Heading1"/>
        <w:spacing w:after="220"/>
      </w:pPr>
      <w:r>
        <w:rPr>
          <w:rFonts w:ascii="Georgia" w:eastAsia="Georgia" w:hAnsi="Georgia" w:cs="Georgia"/>
          <w:b/>
          <w:bCs/>
          <w:color w:val="1F3864"/>
          <w:sz w:val="30"/>
          <w:szCs w:val="30"/>
        </w:rPr>
        <w:lastRenderedPageBreak/>
        <w:t>Contents</w:t>
      </w:r>
    </w:p>
    <w:p w14:paraId="26839CDB" w14:textId="77777777" w:rsidR="00E0223A" w:rsidRDefault="00000000">
      <w:pPr>
        <w:tabs>
          <w:tab w:val="right" w:pos="9026"/>
        </w:tabs>
        <w:spacing w:after="110"/>
      </w:pPr>
      <w:r>
        <w:t>Business Problem</w:t>
      </w:r>
      <w:r>
        <w:rPr>
          <w:color w:val="44546A"/>
        </w:rPr>
        <w:tab/>
        <w:t>3</w:t>
      </w:r>
    </w:p>
    <w:p w14:paraId="22254F28" w14:textId="77777777" w:rsidR="00E0223A" w:rsidRDefault="00000000">
      <w:pPr>
        <w:tabs>
          <w:tab w:val="right" w:pos="9026"/>
        </w:tabs>
        <w:spacing w:after="110"/>
      </w:pPr>
      <w:r>
        <w:t>Approach</w:t>
      </w:r>
      <w:r>
        <w:rPr>
          <w:color w:val="44546A"/>
        </w:rPr>
        <w:tab/>
        <w:t>3</w:t>
      </w:r>
    </w:p>
    <w:p w14:paraId="0C5A83F5" w14:textId="77777777" w:rsidR="00E0223A" w:rsidRDefault="00000000">
      <w:pPr>
        <w:tabs>
          <w:tab w:val="right" w:pos="9026"/>
        </w:tabs>
        <w:spacing w:after="110"/>
      </w:pPr>
      <w:r>
        <w:t>Data Overview</w:t>
      </w:r>
      <w:r>
        <w:rPr>
          <w:color w:val="44546A"/>
        </w:rPr>
        <w:tab/>
        <w:t>3</w:t>
      </w:r>
    </w:p>
    <w:p w14:paraId="0784F9FE" w14:textId="1C6A258A" w:rsidR="00E0223A" w:rsidRDefault="00000000">
      <w:pPr>
        <w:tabs>
          <w:tab w:val="right" w:pos="9026"/>
        </w:tabs>
        <w:spacing w:after="110"/>
      </w:pPr>
      <w:r>
        <w:t>1.  Brands for Promotional or Pricing Adjustments</w:t>
      </w:r>
      <w:r>
        <w:rPr>
          <w:color w:val="44546A"/>
        </w:rPr>
        <w:tab/>
      </w:r>
      <w:r w:rsidR="004D07FC">
        <w:rPr>
          <w:color w:val="44546A"/>
        </w:rPr>
        <w:t>5</w:t>
      </w:r>
    </w:p>
    <w:p w14:paraId="13772A4B" w14:textId="35325B3D" w:rsidR="00E0223A" w:rsidRDefault="00000000">
      <w:pPr>
        <w:tabs>
          <w:tab w:val="right" w:pos="9026"/>
        </w:tabs>
        <w:spacing w:after="110"/>
      </w:pPr>
      <w:r>
        <w:t>2.  Top Vendors by Sales &amp; Purchase Contribution</w:t>
      </w:r>
      <w:r>
        <w:rPr>
          <w:color w:val="44546A"/>
        </w:rPr>
        <w:tab/>
      </w:r>
      <w:r w:rsidR="004D07FC">
        <w:rPr>
          <w:color w:val="44546A"/>
        </w:rPr>
        <w:t>6</w:t>
      </w:r>
    </w:p>
    <w:p w14:paraId="5D9E2861" w14:textId="09856C8F" w:rsidR="00E0223A" w:rsidRDefault="00000000">
      <w:pPr>
        <w:tabs>
          <w:tab w:val="right" w:pos="9026"/>
        </w:tabs>
        <w:spacing w:after="110"/>
      </w:pPr>
      <w:r>
        <w:t>3.  Impact of Bulk Purchasing on Unit Cost</w:t>
      </w:r>
      <w:r>
        <w:rPr>
          <w:color w:val="44546A"/>
        </w:rPr>
        <w:tab/>
      </w:r>
      <w:r w:rsidR="004D07FC">
        <w:rPr>
          <w:color w:val="44546A"/>
        </w:rPr>
        <w:t>7</w:t>
      </w:r>
    </w:p>
    <w:p w14:paraId="178006BB" w14:textId="16AA677A" w:rsidR="00E0223A" w:rsidRDefault="00000000">
      <w:pPr>
        <w:tabs>
          <w:tab w:val="right" w:pos="9026"/>
        </w:tabs>
        <w:spacing w:after="110"/>
      </w:pPr>
      <w:r>
        <w:t>4.  Vendors with Low Inventory Turnover</w:t>
      </w:r>
      <w:r>
        <w:rPr>
          <w:color w:val="44546A"/>
        </w:rPr>
        <w:tab/>
      </w:r>
      <w:r w:rsidR="004D07FC">
        <w:rPr>
          <w:color w:val="44546A"/>
        </w:rPr>
        <w:t>8</w:t>
      </w:r>
    </w:p>
    <w:p w14:paraId="258EE038" w14:textId="05728485" w:rsidR="00E0223A" w:rsidRDefault="00000000">
      <w:pPr>
        <w:tabs>
          <w:tab w:val="right" w:pos="9026"/>
        </w:tabs>
        <w:spacing w:after="110"/>
      </w:pPr>
      <w:r>
        <w:t>5.  Profit Margin: High vs. Low-Performing Vendors</w:t>
      </w:r>
      <w:r>
        <w:rPr>
          <w:color w:val="44546A"/>
        </w:rPr>
        <w:tab/>
      </w:r>
      <w:r w:rsidR="004D07FC">
        <w:rPr>
          <w:color w:val="44546A"/>
        </w:rPr>
        <w:t>9</w:t>
      </w:r>
    </w:p>
    <w:p w14:paraId="753C853B" w14:textId="6CBAC264" w:rsidR="00E0223A" w:rsidRDefault="00000000">
      <w:pPr>
        <w:tabs>
          <w:tab w:val="right" w:pos="9026"/>
        </w:tabs>
        <w:spacing w:after="110"/>
      </w:pPr>
      <w:r>
        <w:t>Final Recommendations</w:t>
      </w:r>
      <w:r>
        <w:rPr>
          <w:color w:val="44546A"/>
        </w:rPr>
        <w:tab/>
      </w:r>
      <w:r w:rsidR="004D07FC">
        <w:rPr>
          <w:color w:val="44546A"/>
        </w:rPr>
        <w:t>10</w:t>
      </w:r>
    </w:p>
    <w:p w14:paraId="2DD00DD0" w14:textId="2BAFFB3A" w:rsidR="00E0223A" w:rsidRDefault="00000000">
      <w:pPr>
        <w:tabs>
          <w:tab w:val="right" w:pos="9026"/>
        </w:tabs>
        <w:spacing w:after="110"/>
      </w:pPr>
      <w:r>
        <w:t>Limitations &amp; Next Steps</w:t>
      </w:r>
      <w:r>
        <w:rPr>
          <w:color w:val="44546A"/>
        </w:rPr>
        <w:tab/>
      </w:r>
      <w:r w:rsidR="004D07FC">
        <w:rPr>
          <w:color w:val="44546A"/>
        </w:rPr>
        <w:t>10</w:t>
      </w:r>
    </w:p>
    <w:p w14:paraId="21AEB543" w14:textId="77777777" w:rsidR="00E0223A" w:rsidRDefault="00000000">
      <w:r>
        <w:br w:type="page"/>
      </w:r>
    </w:p>
    <w:p w14:paraId="466C96DE" w14:textId="77777777" w:rsidR="00E0223A" w:rsidRDefault="00000000">
      <w:pPr>
        <w:pStyle w:val="Heading1"/>
        <w:pBdr>
          <w:bottom w:val="single" w:sz="8" w:space="6" w:color="B8860B"/>
        </w:pBdr>
        <w:spacing w:before="420" w:after="200"/>
      </w:pPr>
      <w:r>
        <w:rPr>
          <w:rFonts w:ascii="Georgia" w:eastAsia="Georgia" w:hAnsi="Georgia" w:cs="Georgia"/>
          <w:b/>
          <w:bCs/>
          <w:color w:val="1F3864"/>
          <w:sz w:val="30"/>
          <w:szCs w:val="30"/>
        </w:rPr>
        <w:lastRenderedPageBreak/>
        <w:t>Business Problem</w:t>
      </w:r>
    </w:p>
    <w:p w14:paraId="4EE4A015" w14:textId="77777777" w:rsidR="00E0223A" w:rsidRDefault="00000000">
      <w:pPr>
        <w:spacing w:after="160" w:line="276" w:lineRule="auto"/>
        <w:jc w:val="both"/>
      </w:pPr>
      <w:r>
        <w:t>Effective inventory and vendor management directly affects profitability in retail and wholesale distribution. This analysis works through purchase, sales, and freight data for one distributor to answer five practical questions that inform pricing, purchasing, and vendor-relationship decisions.</w:t>
      </w:r>
    </w:p>
    <w:p w14:paraId="33DE32E0" w14:textId="77777777" w:rsidR="00E0223A" w:rsidRDefault="00000000">
      <w:pPr>
        <w:pStyle w:val="ListParagraph"/>
        <w:numPr>
          <w:ilvl w:val="0"/>
          <w:numId w:val="2"/>
        </w:numPr>
        <w:spacing w:after="100" w:line="268" w:lineRule="auto"/>
      </w:pPr>
      <w:r>
        <w:t>Which brands would benefit from a pricing or promotion push?</w:t>
      </w:r>
    </w:p>
    <w:p w14:paraId="6E528EC5" w14:textId="77777777" w:rsidR="00E0223A" w:rsidRDefault="00000000">
      <w:pPr>
        <w:pStyle w:val="ListParagraph"/>
        <w:numPr>
          <w:ilvl w:val="0"/>
          <w:numId w:val="2"/>
        </w:numPr>
        <w:spacing w:after="100" w:line="268" w:lineRule="auto"/>
      </w:pPr>
      <w:r>
        <w:t>Which vendors contribute the most to sales and purchases?</w:t>
      </w:r>
    </w:p>
    <w:p w14:paraId="703BFBC6" w14:textId="77777777" w:rsidR="00E0223A" w:rsidRDefault="00000000">
      <w:pPr>
        <w:pStyle w:val="ListParagraph"/>
        <w:numPr>
          <w:ilvl w:val="0"/>
          <w:numId w:val="2"/>
        </w:numPr>
        <w:spacing w:after="100" w:line="268" w:lineRule="auto"/>
      </w:pPr>
      <w:r>
        <w:t>Does buying in bulk actually lower unit cost?</w:t>
      </w:r>
    </w:p>
    <w:p w14:paraId="4836BD76" w14:textId="77777777" w:rsidR="00E0223A" w:rsidRDefault="00000000">
      <w:pPr>
        <w:pStyle w:val="ListParagraph"/>
        <w:numPr>
          <w:ilvl w:val="0"/>
          <w:numId w:val="2"/>
        </w:numPr>
        <w:spacing w:after="100" w:line="268" w:lineRule="auto"/>
      </w:pPr>
      <w:r>
        <w:t>Which vendors are sitting on slow-moving inventory?</w:t>
      </w:r>
    </w:p>
    <w:p w14:paraId="770F2C4F" w14:textId="77777777" w:rsidR="00E0223A" w:rsidRDefault="00000000">
      <w:pPr>
        <w:pStyle w:val="ListParagraph"/>
        <w:numPr>
          <w:ilvl w:val="0"/>
          <w:numId w:val="2"/>
        </w:numPr>
        <w:spacing w:after="100" w:line="268" w:lineRule="auto"/>
      </w:pPr>
      <w:r>
        <w:t>Is the profitability gap between high- and low-volume vendors real, or just noise?</w:t>
      </w:r>
    </w:p>
    <w:p w14:paraId="1C23C7BD" w14:textId="77777777" w:rsidR="00E0223A" w:rsidRDefault="00E0223A">
      <w:pPr>
        <w:spacing w:after="120"/>
      </w:pPr>
    </w:p>
    <w:p w14:paraId="23B26CDD" w14:textId="77777777" w:rsidR="00E0223A" w:rsidRDefault="00000000">
      <w:pPr>
        <w:pStyle w:val="Heading1"/>
        <w:pBdr>
          <w:bottom w:val="single" w:sz="8" w:space="6" w:color="B8860B"/>
        </w:pBdr>
        <w:spacing w:before="420" w:after="200"/>
      </w:pPr>
      <w:r>
        <w:rPr>
          <w:rFonts w:ascii="Georgia" w:eastAsia="Georgia" w:hAnsi="Georgia" w:cs="Georgia"/>
          <w:b/>
          <w:bCs/>
          <w:color w:val="1F3864"/>
          <w:sz w:val="30"/>
          <w:szCs w:val="30"/>
        </w:rPr>
        <w:t>Approach</w:t>
      </w:r>
    </w:p>
    <w:p w14:paraId="0F070D8A" w14:textId="77777777" w:rsidR="00E0223A" w:rsidRDefault="00000000">
      <w:pPr>
        <w:spacing w:after="160" w:line="276" w:lineRule="auto"/>
        <w:jc w:val="both"/>
      </w:pPr>
      <w:r>
        <w:t xml:space="preserve">Raw purchase, sales, and freight tables were joined and aggregated into a single </w:t>
      </w:r>
      <w:proofErr w:type="spellStart"/>
      <w:r>
        <w:t>vendor_sales_summary</w:t>
      </w:r>
      <w:proofErr w:type="spellEnd"/>
      <w:r>
        <w:t xml:space="preserve"> table using SQL, producing one row per vendor–brand pair. The result was cleaned — data types corrected, gaps filled, loss-making and zero-sale rows removed — and then </w:t>
      </w:r>
      <w:proofErr w:type="spellStart"/>
      <w:r>
        <w:t>analyzed</w:t>
      </w:r>
      <w:proofErr w:type="spellEnd"/>
      <w:r>
        <w:t xml:space="preserve"> in Python. Where a claim needed statistical backing rather than a simple average, a confidence interval and a hypothesis test were used instead of eyeballing the numbers.</w:t>
      </w:r>
    </w:p>
    <w:p w14:paraId="27E8DA6A" w14:textId="77777777" w:rsidR="004D07FC" w:rsidRDefault="004D07FC">
      <w:pPr>
        <w:pStyle w:val="Heading1"/>
        <w:pBdr>
          <w:bottom w:val="single" w:sz="8" w:space="6" w:color="B8860B"/>
        </w:pBdr>
        <w:spacing w:before="420" w:after="200"/>
        <w:rPr>
          <w:rFonts w:ascii="Georgia" w:eastAsia="Georgia" w:hAnsi="Georgia" w:cs="Georgia"/>
          <w:b/>
          <w:bCs/>
          <w:color w:val="1F3864"/>
          <w:sz w:val="30"/>
          <w:szCs w:val="30"/>
        </w:rPr>
      </w:pPr>
    </w:p>
    <w:p w14:paraId="1BF2CC9F" w14:textId="77777777" w:rsidR="004D07FC" w:rsidRDefault="004D07FC">
      <w:pPr>
        <w:pStyle w:val="Heading1"/>
        <w:pBdr>
          <w:bottom w:val="single" w:sz="8" w:space="6" w:color="B8860B"/>
        </w:pBdr>
        <w:spacing w:before="420" w:after="200"/>
        <w:rPr>
          <w:rFonts w:ascii="Georgia" w:eastAsia="Georgia" w:hAnsi="Georgia" w:cs="Georgia"/>
          <w:b/>
          <w:bCs/>
          <w:color w:val="1F3864"/>
          <w:sz w:val="30"/>
          <w:szCs w:val="30"/>
        </w:rPr>
      </w:pPr>
    </w:p>
    <w:p w14:paraId="4A5E046D" w14:textId="77777777" w:rsidR="004D07FC" w:rsidRDefault="004D07FC">
      <w:pPr>
        <w:pStyle w:val="Heading1"/>
        <w:pBdr>
          <w:bottom w:val="single" w:sz="8" w:space="6" w:color="B8860B"/>
        </w:pBdr>
        <w:spacing w:before="420" w:after="200"/>
        <w:rPr>
          <w:rFonts w:ascii="Georgia" w:eastAsia="Georgia" w:hAnsi="Georgia" w:cs="Georgia"/>
          <w:b/>
          <w:bCs/>
          <w:color w:val="1F3864"/>
          <w:sz w:val="30"/>
          <w:szCs w:val="30"/>
        </w:rPr>
      </w:pPr>
    </w:p>
    <w:p w14:paraId="127F70F9" w14:textId="77777777" w:rsidR="004D07FC" w:rsidRDefault="004D07FC">
      <w:pPr>
        <w:pStyle w:val="Heading1"/>
        <w:pBdr>
          <w:bottom w:val="single" w:sz="8" w:space="6" w:color="B8860B"/>
        </w:pBdr>
        <w:spacing w:before="420" w:after="200"/>
        <w:rPr>
          <w:rFonts w:ascii="Georgia" w:eastAsia="Georgia" w:hAnsi="Georgia" w:cs="Georgia"/>
          <w:b/>
          <w:bCs/>
          <w:color w:val="1F3864"/>
          <w:sz w:val="30"/>
          <w:szCs w:val="30"/>
        </w:rPr>
      </w:pPr>
    </w:p>
    <w:p w14:paraId="1860DD66" w14:textId="77777777" w:rsidR="004D07FC" w:rsidRDefault="004D07FC">
      <w:pPr>
        <w:pStyle w:val="Heading1"/>
        <w:pBdr>
          <w:bottom w:val="single" w:sz="8" w:space="6" w:color="B8860B"/>
        </w:pBdr>
        <w:spacing w:before="420" w:after="200"/>
        <w:rPr>
          <w:rFonts w:ascii="Georgia" w:eastAsia="Georgia" w:hAnsi="Georgia" w:cs="Georgia"/>
          <w:b/>
          <w:bCs/>
          <w:color w:val="1F3864"/>
          <w:sz w:val="30"/>
          <w:szCs w:val="30"/>
        </w:rPr>
      </w:pPr>
    </w:p>
    <w:p w14:paraId="27F84C6A" w14:textId="77777777" w:rsidR="004D07FC" w:rsidRDefault="004D07FC">
      <w:pPr>
        <w:pStyle w:val="Heading1"/>
        <w:pBdr>
          <w:bottom w:val="single" w:sz="8" w:space="6" w:color="B8860B"/>
        </w:pBdr>
        <w:spacing w:before="420" w:after="200"/>
        <w:rPr>
          <w:rFonts w:ascii="Georgia" w:eastAsia="Georgia" w:hAnsi="Georgia" w:cs="Georgia"/>
          <w:b/>
          <w:bCs/>
          <w:color w:val="1F3864"/>
          <w:sz w:val="30"/>
          <w:szCs w:val="30"/>
        </w:rPr>
      </w:pPr>
    </w:p>
    <w:p w14:paraId="1AA82C5E" w14:textId="77777777" w:rsidR="004D07FC" w:rsidRDefault="004D07FC">
      <w:pPr>
        <w:pStyle w:val="Heading1"/>
        <w:pBdr>
          <w:bottom w:val="single" w:sz="8" w:space="6" w:color="B8860B"/>
        </w:pBdr>
        <w:spacing w:before="420" w:after="200"/>
        <w:rPr>
          <w:rFonts w:ascii="Georgia" w:eastAsia="Georgia" w:hAnsi="Georgia" w:cs="Georgia"/>
          <w:b/>
          <w:bCs/>
          <w:color w:val="1F3864"/>
          <w:sz w:val="30"/>
          <w:szCs w:val="30"/>
        </w:rPr>
      </w:pPr>
    </w:p>
    <w:p w14:paraId="574AE7A9" w14:textId="77777777" w:rsidR="004D07FC" w:rsidRDefault="004D07FC">
      <w:pPr>
        <w:pStyle w:val="Heading1"/>
        <w:pBdr>
          <w:bottom w:val="single" w:sz="8" w:space="6" w:color="B8860B"/>
        </w:pBdr>
        <w:spacing w:before="420" w:after="200"/>
        <w:rPr>
          <w:rFonts w:ascii="Georgia" w:eastAsia="Georgia" w:hAnsi="Georgia" w:cs="Georgia"/>
          <w:b/>
          <w:bCs/>
          <w:color w:val="1F3864"/>
          <w:sz w:val="30"/>
          <w:szCs w:val="30"/>
        </w:rPr>
      </w:pPr>
    </w:p>
    <w:p w14:paraId="520DC6B1" w14:textId="77777777" w:rsidR="004D07FC" w:rsidRDefault="004D07FC">
      <w:pPr>
        <w:pStyle w:val="Heading1"/>
        <w:pBdr>
          <w:bottom w:val="single" w:sz="8" w:space="6" w:color="B8860B"/>
        </w:pBdr>
        <w:spacing w:before="420" w:after="200"/>
        <w:rPr>
          <w:rFonts w:ascii="Georgia" w:eastAsia="Georgia" w:hAnsi="Georgia" w:cs="Georgia"/>
          <w:b/>
          <w:bCs/>
          <w:color w:val="1F3864"/>
          <w:sz w:val="30"/>
          <w:szCs w:val="30"/>
        </w:rPr>
      </w:pPr>
    </w:p>
    <w:p w14:paraId="1C9F23E7" w14:textId="6FA618AE" w:rsidR="00E0223A" w:rsidRDefault="00000000">
      <w:pPr>
        <w:pStyle w:val="Heading1"/>
        <w:pBdr>
          <w:bottom w:val="single" w:sz="8" w:space="6" w:color="B8860B"/>
        </w:pBdr>
        <w:spacing w:before="420" w:after="200"/>
      </w:pPr>
      <w:r>
        <w:rPr>
          <w:rFonts w:ascii="Georgia" w:eastAsia="Georgia" w:hAnsi="Georgia" w:cs="Georgia"/>
          <w:b/>
          <w:bCs/>
          <w:color w:val="1F3864"/>
          <w:sz w:val="30"/>
          <w:szCs w:val="30"/>
        </w:rPr>
        <w:lastRenderedPageBreak/>
        <w:t>Data Overview</w:t>
      </w:r>
    </w:p>
    <w:p w14:paraId="2031144F" w14:textId="77777777" w:rsidR="00E0223A" w:rsidRDefault="00000000">
      <w:pPr>
        <w:spacing w:after="160" w:line="276" w:lineRule="auto"/>
        <w:jc w:val="both"/>
      </w:pPr>
      <w:r>
        <w:t>10,692 vendor-brand records were reviewed. Before filtering, a few things stood out:</w:t>
      </w:r>
    </w:p>
    <w:p w14:paraId="15E4E7CE" w14:textId="77777777" w:rsidR="00E0223A" w:rsidRDefault="00000000">
      <w:pPr>
        <w:pStyle w:val="ListParagraph"/>
        <w:numPr>
          <w:ilvl w:val="0"/>
          <w:numId w:val="2"/>
        </w:numPr>
        <w:spacing w:after="100" w:line="268" w:lineRule="auto"/>
      </w:pPr>
      <w:r>
        <w:t>Gross profit ranged as low as −$52,000 — some products are sold at a loss.</w:t>
      </w:r>
    </w:p>
    <w:p w14:paraId="099D79CB" w14:textId="77777777" w:rsidR="00E0223A" w:rsidRDefault="00000000">
      <w:pPr>
        <w:pStyle w:val="ListParagraph"/>
        <w:numPr>
          <w:ilvl w:val="0"/>
          <w:numId w:val="2"/>
        </w:numPr>
        <w:spacing w:after="100" w:line="268" w:lineRule="auto"/>
      </w:pPr>
      <w:r>
        <w:t>Profit margin hit −∞ where a product had $0 in sales but a nonzero cost.</w:t>
      </w:r>
    </w:p>
    <w:p w14:paraId="79561DCF" w14:textId="77777777" w:rsidR="00E0223A" w:rsidRDefault="00000000">
      <w:pPr>
        <w:pStyle w:val="ListParagraph"/>
        <w:numPr>
          <w:ilvl w:val="0"/>
          <w:numId w:val="2"/>
        </w:numPr>
        <w:spacing w:after="100" w:line="268" w:lineRule="auto"/>
      </w:pPr>
      <w:r>
        <w:t>Some products had zero sales — purchased but never sold.</w:t>
      </w:r>
    </w:p>
    <w:p w14:paraId="77C28FD2" w14:textId="77777777" w:rsidR="00E0223A" w:rsidRDefault="00000000">
      <w:pPr>
        <w:spacing w:after="160" w:line="276" w:lineRule="auto"/>
        <w:jc w:val="both"/>
      </w:pPr>
      <w:r>
        <w:t>These are not data errors — they reflect real situations such as returns, dead stock, and promotional giveaways — but they would distort averages if left in the profitability analysis. Rows with zero or negative gross profit or margin, and zero sales quantity, were filtered out before answering the questions below, reducing the working set from 10,692 to 8,565 rows.</w:t>
      </w:r>
    </w:p>
    <w:p w14:paraId="7E1474A1" w14:textId="77777777" w:rsidR="00E0223A" w:rsidRDefault="00000000">
      <w:pPr>
        <w:spacing w:before="120" w:after="60"/>
        <w:jc w:val="center"/>
      </w:pPr>
      <w:r>
        <w:rPr>
          <w:noProof/>
        </w:rPr>
        <w:drawing>
          <wp:inline distT="0" distB="0" distL="0" distR="0" wp14:anchorId="2F176BA2" wp14:editId="3088E5B1">
            <wp:extent cx="4000500" cy="2905125"/>
            <wp:effectExtent l="0" t="0" r="0" b="0"/>
            <wp:docPr id="1576338318" name="Picture 1576338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905125"/>
                    </a:xfrm>
                    <a:prstGeom prst="rect">
                      <a:avLst/>
                    </a:prstGeom>
                  </pic:spPr>
                </pic:pic>
              </a:graphicData>
            </a:graphic>
          </wp:inline>
        </w:drawing>
      </w:r>
    </w:p>
    <w:p w14:paraId="71CB42BD" w14:textId="77777777" w:rsidR="00E0223A" w:rsidRDefault="00000000">
      <w:pPr>
        <w:spacing w:before="80" w:after="260"/>
        <w:jc w:val="center"/>
      </w:pPr>
      <w:r>
        <w:rPr>
          <w:i/>
          <w:iCs/>
          <w:color w:val="44546A"/>
          <w:sz w:val="18"/>
          <w:szCs w:val="18"/>
        </w:rPr>
        <w:t>Figure 1 — Correlation heatmap across all numeric fields, post-filtering.</w:t>
      </w:r>
    </w:p>
    <w:tbl>
      <w:tblPr>
        <w:tblW w:w="9350" w:type="dxa"/>
        <w:tblBorders>
          <w:top w:val="single" w:sz="4" w:space="0" w:color="B8860B"/>
          <w:left w:val="single" w:sz="4" w:space="0" w:color="B8860B"/>
          <w:bottom w:val="single" w:sz="4" w:space="0" w:color="B8860B"/>
          <w:right w:val="single" w:sz="4"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E0223A" w14:paraId="420F47A3" w14:textId="77777777">
        <w:tblPrEx>
          <w:tblCellMar>
            <w:top w:w="0" w:type="dxa"/>
            <w:bottom w:w="0" w:type="dxa"/>
          </w:tblCellMar>
        </w:tblPrEx>
        <w:tc>
          <w:tcPr>
            <w:tcW w:w="9350" w:type="dxa"/>
            <w:shd w:val="clear" w:color="auto" w:fill="FBF3E3"/>
            <w:tcMar>
              <w:top w:w="160" w:type="dxa"/>
              <w:left w:w="220" w:type="dxa"/>
              <w:bottom w:w="160" w:type="dxa"/>
              <w:right w:w="220" w:type="dxa"/>
            </w:tcMar>
          </w:tcPr>
          <w:p w14:paraId="1DCC4F6A" w14:textId="77777777" w:rsidR="00E0223A" w:rsidRDefault="00000000">
            <w:pPr>
              <w:spacing w:line="268" w:lineRule="auto"/>
            </w:pPr>
            <w:r>
              <w:rPr>
                <w:b/>
                <w:bCs/>
                <w:color w:val="13233F"/>
                <w:sz w:val="20"/>
                <w:szCs w:val="20"/>
              </w:rPr>
              <w:t xml:space="preserve">Takeaway:  </w:t>
            </w:r>
            <w:r>
              <w:rPr>
                <w:i/>
                <w:iCs/>
                <w:sz w:val="20"/>
                <w:szCs w:val="20"/>
              </w:rPr>
              <w:t>Purchase price barely correlates with sales or profit (≈ −0.01) — higher-priced products aren't inherently more profitable. Purchase and sales quantity move almost perfectly together in aggregate (0.999), even though specific vendors carry excess stock.</w:t>
            </w:r>
          </w:p>
        </w:tc>
      </w:tr>
    </w:tbl>
    <w:p w14:paraId="5F3BFF8C" w14:textId="77777777" w:rsidR="00E0223A" w:rsidRDefault="00000000">
      <w:r>
        <w:br w:type="page"/>
      </w:r>
    </w:p>
    <w:p w14:paraId="1BC774B4" w14:textId="77777777" w:rsidR="00E0223A" w:rsidRDefault="00000000">
      <w:pPr>
        <w:pStyle w:val="Heading1"/>
        <w:pBdr>
          <w:bottom w:val="single" w:sz="8" w:space="6" w:color="B8860B"/>
        </w:pBdr>
        <w:spacing w:before="420" w:after="200"/>
      </w:pPr>
      <w:r>
        <w:rPr>
          <w:rFonts w:ascii="Georgia" w:eastAsia="Georgia" w:hAnsi="Georgia" w:cs="Georgia"/>
          <w:b/>
          <w:bCs/>
          <w:color w:val="1F3864"/>
          <w:sz w:val="30"/>
          <w:szCs w:val="30"/>
        </w:rPr>
        <w:lastRenderedPageBreak/>
        <w:t>1.  Brands for Promotional or Pricing Adjustments</w:t>
      </w:r>
    </w:p>
    <w:p w14:paraId="4DD4E4DF" w14:textId="77777777" w:rsidR="00E0223A" w:rsidRDefault="00000000">
      <w:pPr>
        <w:spacing w:after="160" w:line="276" w:lineRule="auto"/>
        <w:jc w:val="both"/>
      </w:pPr>
      <w:r>
        <w:t>Brands were grouped by total sales and average profit margin. Those in the bottom 15% of sales but the top 15% of margin were flagged as brands that are already profitable but simply aren't moving much volume.</w:t>
      </w:r>
    </w:p>
    <w:p w14:paraId="7B5D23C9" w14:textId="77777777" w:rsidR="00E0223A" w:rsidRDefault="00000000">
      <w:pPr>
        <w:spacing w:before="120" w:after="60"/>
        <w:jc w:val="center"/>
      </w:pPr>
      <w:r>
        <w:rPr>
          <w:noProof/>
        </w:rPr>
        <w:drawing>
          <wp:inline distT="0" distB="0" distL="0" distR="0" wp14:anchorId="0EE087DA" wp14:editId="56C873C9">
            <wp:extent cx="4095750" cy="2505075"/>
            <wp:effectExtent l="0" t="0" r="0" b="0"/>
            <wp:docPr id="1656348044" name="Picture 165634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505075"/>
                    </a:xfrm>
                    <a:prstGeom prst="rect">
                      <a:avLst/>
                    </a:prstGeom>
                  </pic:spPr>
                </pic:pic>
              </a:graphicData>
            </a:graphic>
          </wp:inline>
        </w:drawing>
      </w:r>
    </w:p>
    <w:p w14:paraId="3F32E1FC" w14:textId="77777777" w:rsidR="00E0223A" w:rsidRDefault="00000000">
      <w:pPr>
        <w:spacing w:before="80" w:after="260"/>
        <w:jc w:val="center"/>
      </w:pPr>
      <w:r>
        <w:rPr>
          <w:i/>
          <w:iCs/>
          <w:color w:val="44546A"/>
          <w:sz w:val="18"/>
          <w:szCs w:val="18"/>
        </w:rPr>
        <w:t>Figure 2 — Brands with low sales but high profit margin (red: target list for promotion).</w:t>
      </w:r>
    </w:p>
    <w:tbl>
      <w:tblPr>
        <w:tblW w:w="9350" w:type="dxa"/>
        <w:tblBorders>
          <w:top w:val="single" w:sz="4" w:space="0" w:color="B8860B"/>
          <w:left w:val="single" w:sz="4" w:space="0" w:color="B8860B"/>
          <w:bottom w:val="single" w:sz="4" w:space="0" w:color="B8860B"/>
          <w:right w:val="single" w:sz="4"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E0223A" w14:paraId="0F9CC577" w14:textId="77777777">
        <w:tblPrEx>
          <w:tblCellMar>
            <w:top w:w="0" w:type="dxa"/>
            <w:bottom w:w="0" w:type="dxa"/>
          </w:tblCellMar>
        </w:tblPrEx>
        <w:tc>
          <w:tcPr>
            <w:tcW w:w="9350" w:type="dxa"/>
            <w:shd w:val="clear" w:color="auto" w:fill="FBF3E3"/>
            <w:tcMar>
              <w:top w:w="160" w:type="dxa"/>
              <w:left w:w="220" w:type="dxa"/>
              <w:bottom w:w="160" w:type="dxa"/>
              <w:right w:w="220" w:type="dxa"/>
            </w:tcMar>
          </w:tcPr>
          <w:p w14:paraId="1E146614" w14:textId="77777777" w:rsidR="00E0223A" w:rsidRDefault="00000000">
            <w:pPr>
              <w:spacing w:line="268" w:lineRule="auto"/>
            </w:pPr>
            <w:r>
              <w:rPr>
                <w:b/>
                <w:bCs/>
                <w:color w:val="13233F"/>
                <w:sz w:val="20"/>
                <w:szCs w:val="20"/>
              </w:rPr>
              <w:t xml:space="preserve">Takeaway:  </w:t>
            </w:r>
            <w:r>
              <w:rPr>
                <w:i/>
                <w:iCs/>
                <w:sz w:val="20"/>
                <w:szCs w:val="20"/>
              </w:rPr>
              <w:t>198 brands fit this pattern. Their margin is already proven — a promotional push or better shelf placement is a lower-risk way to grow revenue than launching new products.</w:t>
            </w:r>
          </w:p>
        </w:tc>
      </w:tr>
    </w:tbl>
    <w:p w14:paraId="0C50228D" w14:textId="77777777" w:rsidR="00E0223A" w:rsidRDefault="00E0223A">
      <w:pPr>
        <w:spacing w:after="140"/>
      </w:pPr>
    </w:p>
    <w:p w14:paraId="3B5694D3" w14:textId="77777777" w:rsidR="004D07FC" w:rsidRDefault="004D07FC">
      <w:pPr>
        <w:pStyle w:val="Heading1"/>
        <w:pBdr>
          <w:bottom w:val="single" w:sz="8" w:space="6" w:color="B8860B"/>
        </w:pBdr>
        <w:spacing w:before="420" w:after="200"/>
        <w:rPr>
          <w:rFonts w:ascii="Georgia" w:eastAsia="Georgia" w:hAnsi="Georgia" w:cs="Georgia"/>
          <w:b/>
          <w:bCs/>
          <w:color w:val="1F3864"/>
          <w:sz w:val="30"/>
          <w:szCs w:val="30"/>
        </w:rPr>
      </w:pPr>
    </w:p>
    <w:p w14:paraId="03AE6FEE" w14:textId="77777777" w:rsidR="004D07FC" w:rsidRDefault="004D07FC">
      <w:pPr>
        <w:pStyle w:val="Heading1"/>
        <w:pBdr>
          <w:bottom w:val="single" w:sz="8" w:space="6" w:color="B8860B"/>
        </w:pBdr>
        <w:spacing w:before="420" w:after="200"/>
        <w:rPr>
          <w:rFonts w:ascii="Georgia" w:eastAsia="Georgia" w:hAnsi="Georgia" w:cs="Georgia"/>
          <w:b/>
          <w:bCs/>
          <w:color w:val="1F3864"/>
          <w:sz w:val="30"/>
          <w:szCs w:val="30"/>
        </w:rPr>
      </w:pPr>
    </w:p>
    <w:p w14:paraId="27087265" w14:textId="77777777" w:rsidR="004D07FC" w:rsidRDefault="004D07FC">
      <w:pPr>
        <w:pStyle w:val="Heading1"/>
        <w:pBdr>
          <w:bottom w:val="single" w:sz="8" w:space="6" w:color="B8860B"/>
        </w:pBdr>
        <w:spacing w:before="420" w:after="200"/>
        <w:rPr>
          <w:rFonts w:ascii="Georgia" w:eastAsia="Georgia" w:hAnsi="Georgia" w:cs="Georgia"/>
          <w:b/>
          <w:bCs/>
          <w:color w:val="1F3864"/>
          <w:sz w:val="30"/>
          <w:szCs w:val="30"/>
        </w:rPr>
      </w:pPr>
    </w:p>
    <w:p w14:paraId="094BDA6E" w14:textId="77777777" w:rsidR="004D07FC" w:rsidRDefault="004D07FC">
      <w:pPr>
        <w:pStyle w:val="Heading1"/>
        <w:pBdr>
          <w:bottom w:val="single" w:sz="8" w:space="6" w:color="B8860B"/>
        </w:pBdr>
        <w:spacing w:before="420" w:after="200"/>
        <w:rPr>
          <w:rFonts w:ascii="Georgia" w:eastAsia="Georgia" w:hAnsi="Georgia" w:cs="Georgia"/>
          <w:b/>
          <w:bCs/>
          <w:color w:val="1F3864"/>
          <w:sz w:val="30"/>
          <w:szCs w:val="30"/>
        </w:rPr>
      </w:pPr>
    </w:p>
    <w:p w14:paraId="3C711484" w14:textId="77777777" w:rsidR="004D07FC" w:rsidRDefault="004D07FC">
      <w:pPr>
        <w:pStyle w:val="Heading1"/>
        <w:pBdr>
          <w:bottom w:val="single" w:sz="8" w:space="6" w:color="B8860B"/>
        </w:pBdr>
        <w:spacing w:before="420" w:after="200"/>
        <w:rPr>
          <w:rFonts w:ascii="Georgia" w:eastAsia="Georgia" w:hAnsi="Georgia" w:cs="Georgia"/>
          <w:b/>
          <w:bCs/>
          <w:color w:val="1F3864"/>
          <w:sz w:val="30"/>
          <w:szCs w:val="30"/>
        </w:rPr>
      </w:pPr>
    </w:p>
    <w:p w14:paraId="28508740" w14:textId="77777777" w:rsidR="004D07FC" w:rsidRDefault="004D07FC">
      <w:pPr>
        <w:pStyle w:val="Heading1"/>
        <w:pBdr>
          <w:bottom w:val="single" w:sz="8" w:space="6" w:color="B8860B"/>
        </w:pBdr>
        <w:spacing w:before="420" w:after="200"/>
        <w:rPr>
          <w:rFonts w:ascii="Georgia" w:eastAsia="Georgia" w:hAnsi="Georgia" w:cs="Georgia"/>
          <w:b/>
          <w:bCs/>
          <w:color w:val="1F3864"/>
          <w:sz w:val="30"/>
          <w:szCs w:val="30"/>
        </w:rPr>
      </w:pPr>
    </w:p>
    <w:p w14:paraId="18A929A3" w14:textId="77777777" w:rsidR="004D07FC" w:rsidRDefault="004D07FC">
      <w:pPr>
        <w:pStyle w:val="Heading1"/>
        <w:pBdr>
          <w:bottom w:val="single" w:sz="8" w:space="6" w:color="B8860B"/>
        </w:pBdr>
        <w:spacing w:before="420" w:after="200"/>
        <w:rPr>
          <w:rFonts w:ascii="Georgia" w:eastAsia="Georgia" w:hAnsi="Georgia" w:cs="Georgia"/>
          <w:b/>
          <w:bCs/>
          <w:color w:val="1F3864"/>
          <w:sz w:val="30"/>
          <w:szCs w:val="30"/>
        </w:rPr>
      </w:pPr>
    </w:p>
    <w:p w14:paraId="52F597E7" w14:textId="77777777" w:rsidR="004D07FC" w:rsidRDefault="004D07FC">
      <w:pPr>
        <w:pStyle w:val="Heading1"/>
        <w:pBdr>
          <w:bottom w:val="single" w:sz="8" w:space="6" w:color="B8860B"/>
        </w:pBdr>
        <w:spacing w:before="420" w:after="200"/>
        <w:rPr>
          <w:rFonts w:ascii="Georgia" w:eastAsia="Georgia" w:hAnsi="Georgia" w:cs="Georgia"/>
          <w:b/>
          <w:bCs/>
          <w:color w:val="1F3864"/>
          <w:sz w:val="30"/>
          <w:szCs w:val="30"/>
        </w:rPr>
      </w:pPr>
    </w:p>
    <w:p w14:paraId="794A372A" w14:textId="2CAF0F95" w:rsidR="00E0223A" w:rsidRDefault="00000000">
      <w:pPr>
        <w:pStyle w:val="Heading1"/>
        <w:pBdr>
          <w:bottom w:val="single" w:sz="8" w:space="6" w:color="B8860B"/>
        </w:pBdr>
        <w:spacing w:before="420" w:after="200"/>
      </w:pPr>
      <w:r>
        <w:rPr>
          <w:rFonts w:ascii="Georgia" w:eastAsia="Georgia" w:hAnsi="Georgia" w:cs="Georgia"/>
          <w:b/>
          <w:bCs/>
          <w:color w:val="1F3864"/>
          <w:sz w:val="30"/>
          <w:szCs w:val="30"/>
        </w:rPr>
        <w:lastRenderedPageBreak/>
        <w:t>2.  Top Vendors by Sales &amp; Purchase Contribution</w:t>
      </w:r>
    </w:p>
    <w:p w14:paraId="2F332C16" w14:textId="77777777" w:rsidR="00E0223A" w:rsidRDefault="00000000">
      <w:pPr>
        <w:spacing w:after="160" w:line="276" w:lineRule="auto"/>
        <w:jc w:val="both"/>
      </w:pPr>
      <w:r>
        <w:t>Share of total purchase dollars by vendor:</w:t>
      </w:r>
    </w:p>
    <w:p w14:paraId="592F1C23" w14:textId="77777777" w:rsidR="00E0223A" w:rsidRDefault="00000000">
      <w:pPr>
        <w:spacing w:before="120" w:after="60"/>
        <w:jc w:val="center"/>
      </w:pPr>
      <w:r>
        <w:rPr>
          <w:noProof/>
        </w:rPr>
        <w:drawing>
          <wp:inline distT="0" distB="0" distL="0" distR="0" wp14:anchorId="630ECBB2" wp14:editId="49A95829">
            <wp:extent cx="3143250" cy="3143250"/>
            <wp:effectExtent l="0" t="0" r="0" b="0"/>
            <wp:docPr id="1459648967" name="Picture 1459648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3143250"/>
                    </a:xfrm>
                    <a:prstGeom prst="rect">
                      <a:avLst/>
                    </a:prstGeom>
                  </pic:spPr>
                </pic:pic>
              </a:graphicData>
            </a:graphic>
          </wp:inline>
        </w:drawing>
      </w:r>
    </w:p>
    <w:p w14:paraId="7F5743E0" w14:textId="77777777" w:rsidR="00E0223A" w:rsidRDefault="00000000">
      <w:pPr>
        <w:spacing w:before="80" w:after="260"/>
        <w:jc w:val="center"/>
      </w:pPr>
      <w:r>
        <w:rPr>
          <w:i/>
          <w:iCs/>
          <w:color w:val="44546A"/>
          <w:sz w:val="18"/>
          <w:szCs w:val="18"/>
        </w:rPr>
        <w:t>Figure 3 — Top 10 vendors' purchase contribution (65.7% of total).</w:t>
      </w:r>
    </w:p>
    <w:p w14:paraId="51D3EE6C" w14:textId="77777777" w:rsidR="00E0223A" w:rsidRDefault="00000000">
      <w:pPr>
        <w:spacing w:before="120" w:after="60"/>
        <w:jc w:val="center"/>
      </w:pPr>
      <w:r>
        <w:rPr>
          <w:noProof/>
        </w:rPr>
        <w:drawing>
          <wp:inline distT="0" distB="0" distL="0" distR="0" wp14:anchorId="00A7F756" wp14:editId="46C85AEF">
            <wp:extent cx="4095750" cy="2505075"/>
            <wp:effectExtent l="0" t="0" r="0" b="0"/>
            <wp:docPr id="1866785239" name="Picture 186678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505075"/>
                    </a:xfrm>
                    <a:prstGeom prst="rect">
                      <a:avLst/>
                    </a:prstGeom>
                  </pic:spPr>
                </pic:pic>
              </a:graphicData>
            </a:graphic>
          </wp:inline>
        </w:drawing>
      </w:r>
    </w:p>
    <w:p w14:paraId="4A6E7D6D" w14:textId="77777777" w:rsidR="00E0223A" w:rsidRDefault="00000000">
      <w:pPr>
        <w:spacing w:before="80" w:after="260"/>
        <w:jc w:val="center"/>
      </w:pPr>
      <w:r>
        <w:rPr>
          <w:i/>
          <w:iCs/>
          <w:color w:val="44546A"/>
          <w:sz w:val="18"/>
          <w:szCs w:val="18"/>
        </w:rPr>
        <w:t>Figure 4 — Top 10 vendors ranked by total sales dollars.</w:t>
      </w:r>
    </w:p>
    <w:tbl>
      <w:tblPr>
        <w:tblW w:w="9350" w:type="dxa"/>
        <w:tblBorders>
          <w:top w:val="single" w:sz="4" w:space="0" w:color="B8860B"/>
          <w:left w:val="single" w:sz="4" w:space="0" w:color="B8860B"/>
          <w:bottom w:val="single" w:sz="4" w:space="0" w:color="B8860B"/>
          <w:right w:val="single" w:sz="4"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E0223A" w14:paraId="0E874033" w14:textId="77777777">
        <w:tblPrEx>
          <w:tblCellMar>
            <w:top w:w="0" w:type="dxa"/>
            <w:bottom w:w="0" w:type="dxa"/>
          </w:tblCellMar>
        </w:tblPrEx>
        <w:tc>
          <w:tcPr>
            <w:tcW w:w="9350" w:type="dxa"/>
            <w:shd w:val="clear" w:color="auto" w:fill="FBF3E3"/>
            <w:tcMar>
              <w:top w:w="160" w:type="dxa"/>
              <w:left w:w="220" w:type="dxa"/>
              <w:bottom w:w="160" w:type="dxa"/>
              <w:right w:w="220" w:type="dxa"/>
            </w:tcMar>
          </w:tcPr>
          <w:p w14:paraId="0BCE906C" w14:textId="77777777" w:rsidR="00E0223A" w:rsidRDefault="00000000">
            <w:pPr>
              <w:spacing w:line="268" w:lineRule="auto"/>
            </w:pPr>
            <w:r>
              <w:rPr>
                <w:b/>
                <w:bCs/>
                <w:color w:val="13233F"/>
                <w:sz w:val="20"/>
                <w:szCs w:val="20"/>
              </w:rPr>
              <w:t xml:space="preserve">Takeaway:  </w:t>
            </w:r>
            <w:r>
              <w:rPr>
                <w:i/>
                <w:iCs/>
                <w:sz w:val="20"/>
                <w:szCs w:val="20"/>
              </w:rPr>
              <w:t>The top 10 vendors account for 65.7% of all purchases; the rest is spread thin. That's a real supply-chain concentration risk — losing one top vendor would hurt far more than losing any single smaller one.</w:t>
            </w:r>
          </w:p>
        </w:tc>
      </w:tr>
    </w:tbl>
    <w:p w14:paraId="75B6AA82" w14:textId="77777777" w:rsidR="00E0223A" w:rsidRDefault="00000000">
      <w:r>
        <w:br w:type="page"/>
      </w:r>
    </w:p>
    <w:p w14:paraId="7BB83017" w14:textId="77777777" w:rsidR="00E0223A" w:rsidRDefault="00000000">
      <w:pPr>
        <w:pStyle w:val="Heading1"/>
        <w:pBdr>
          <w:bottom w:val="single" w:sz="8" w:space="6" w:color="B8860B"/>
        </w:pBdr>
        <w:spacing w:before="420" w:after="200"/>
      </w:pPr>
      <w:r>
        <w:rPr>
          <w:rFonts w:ascii="Georgia" w:eastAsia="Georgia" w:hAnsi="Georgia" w:cs="Georgia"/>
          <w:b/>
          <w:bCs/>
          <w:color w:val="1F3864"/>
          <w:sz w:val="30"/>
          <w:szCs w:val="30"/>
        </w:rPr>
        <w:lastRenderedPageBreak/>
        <w:t>3.  Impact of Bulk Purchasing on Unit Cost</w:t>
      </w:r>
    </w:p>
    <w:p w14:paraId="6419CDBA" w14:textId="77777777" w:rsidR="00E0223A" w:rsidRDefault="00000000">
      <w:pPr>
        <w:spacing w:before="120" w:after="60"/>
        <w:jc w:val="center"/>
      </w:pPr>
      <w:r>
        <w:rPr>
          <w:noProof/>
        </w:rPr>
        <w:drawing>
          <wp:inline distT="0" distB="0" distL="0" distR="0" wp14:anchorId="0F55619D" wp14:editId="598E7A5B">
            <wp:extent cx="3810000" cy="2790825"/>
            <wp:effectExtent l="0" t="0" r="0" b="0"/>
            <wp:docPr id="1338825331" name="Picture 133882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790825"/>
                    </a:xfrm>
                    <a:prstGeom prst="rect">
                      <a:avLst/>
                    </a:prstGeom>
                  </pic:spPr>
                </pic:pic>
              </a:graphicData>
            </a:graphic>
          </wp:inline>
        </w:drawing>
      </w:r>
    </w:p>
    <w:p w14:paraId="4CF63DA6" w14:textId="77777777" w:rsidR="00E0223A" w:rsidRDefault="00000000">
      <w:pPr>
        <w:spacing w:before="80" w:after="260"/>
        <w:jc w:val="center"/>
      </w:pPr>
      <w:r>
        <w:rPr>
          <w:i/>
          <w:iCs/>
          <w:color w:val="44546A"/>
          <w:sz w:val="18"/>
          <w:szCs w:val="18"/>
        </w:rPr>
        <w:t>Figure 5 — Unit purchase price by order size (Small / Medium / Large, by purchase quantity tercile).</w:t>
      </w:r>
    </w:p>
    <w:tbl>
      <w:tblPr>
        <w:tblW w:w="9350"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4675"/>
        <w:gridCol w:w="4675"/>
      </w:tblGrid>
      <w:tr w:rsidR="00E0223A" w14:paraId="15A03E12" w14:textId="77777777">
        <w:tblPrEx>
          <w:tblCellMar>
            <w:top w:w="0" w:type="dxa"/>
            <w:bottom w:w="0" w:type="dxa"/>
          </w:tblCellMar>
        </w:tblPrEx>
        <w:trPr>
          <w:tblHeader/>
        </w:trPr>
        <w:tc>
          <w:tcPr>
            <w:tcW w:w="4675" w:type="dxa"/>
            <w:shd w:val="clear" w:color="auto" w:fill="1F3864"/>
            <w:tcMar>
              <w:top w:w="100" w:type="dxa"/>
              <w:left w:w="140" w:type="dxa"/>
              <w:bottom w:w="100" w:type="dxa"/>
              <w:right w:w="140" w:type="dxa"/>
            </w:tcMar>
            <w:vAlign w:val="center"/>
          </w:tcPr>
          <w:p w14:paraId="1DA7E46B" w14:textId="77777777" w:rsidR="00E0223A" w:rsidRDefault="00000000">
            <w:r>
              <w:rPr>
                <w:b/>
                <w:bCs/>
                <w:color w:val="FFFFFF"/>
                <w:sz w:val="19"/>
                <w:szCs w:val="19"/>
              </w:rPr>
              <w:t>Order Size</w:t>
            </w:r>
          </w:p>
        </w:tc>
        <w:tc>
          <w:tcPr>
            <w:tcW w:w="4675" w:type="dxa"/>
            <w:shd w:val="clear" w:color="auto" w:fill="1F3864"/>
            <w:tcMar>
              <w:top w:w="100" w:type="dxa"/>
              <w:left w:w="140" w:type="dxa"/>
              <w:bottom w:w="100" w:type="dxa"/>
              <w:right w:w="140" w:type="dxa"/>
            </w:tcMar>
            <w:vAlign w:val="center"/>
          </w:tcPr>
          <w:p w14:paraId="4CF2B1EA" w14:textId="77777777" w:rsidR="00E0223A" w:rsidRDefault="00000000">
            <w:r>
              <w:rPr>
                <w:b/>
                <w:bCs/>
                <w:color w:val="FFFFFF"/>
                <w:sz w:val="19"/>
                <w:szCs w:val="19"/>
              </w:rPr>
              <w:t>Avg. Unit Purchase Price</w:t>
            </w:r>
          </w:p>
        </w:tc>
      </w:tr>
      <w:tr w:rsidR="00E0223A" w14:paraId="3388DBAB" w14:textId="77777777">
        <w:tblPrEx>
          <w:tblCellMar>
            <w:top w:w="0" w:type="dxa"/>
            <w:bottom w:w="0" w:type="dxa"/>
          </w:tblCellMar>
        </w:tblPrEx>
        <w:tc>
          <w:tcPr>
            <w:tcW w:w="4675" w:type="dxa"/>
            <w:shd w:val="clear" w:color="auto" w:fill="FFFFFF"/>
            <w:tcMar>
              <w:top w:w="90" w:type="dxa"/>
              <w:left w:w="140" w:type="dxa"/>
              <w:bottom w:w="90" w:type="dxa"/>
              <w:right w:w="140" w:type="dxa"/>
            </w:tcMar>
            <w:vAlign w:val="center"/>
          </w:tcPr>
          <w:p w14:paraId="3F79E6C5" w14:textId="77777777" w:rsidR="00E0223A" w:rsidRDefault="00000000">
            <w:r>
              <w:rPr>
                <w:sz w:val="19"/>
                <w:szCs w:val="19"/>
              </w:rPr>
              <w:t>Small</w:t>
            </w:r>
          </w:p>
        </w:tc>
        <w:tc>
          <w:tcPr>
            <w:tcW w:w="4675" w:type="dxa"/>
            <w:shd w:val="clear" w:color="auto" w:fill="FFFFFF"/>
            <w:tcMar>
              <w:top w:w="90" w:type="dxa"/>
              <w:left w:w="140" w:type="dxa"/>
              <w:bottom w:w="90" w:type="dxa"/>
              <w:right w:w="140" w:type="dxa"/>
            </w:tcMar>
            <w:vAlign w:val="center"/>
          </w:tcPr>
          <w:p w14:paraId="4296F02E" w14:textId="77777777" w:rsidR="00E0223A" w:rsidRDefault="00000000">
            <w:r>
              <w:rPr>
                <w:sz w:val="19"/>
                <w:szCs w:val="19"/>
              </w:rPr>
              <w:t>$39.06</w:t>
            </w:r>
          </w:p>
        </w:tc>
      </w:tr>
      <w:tr w:rsidR="00E0223A" w14:paraId="4D501942" w14:textId="77777777">
        <w:tblPrEx>
          <w:tblCellMar>
            <w:top w:w="0" w:type="dxa"/>
            <w:bottom w:w="0" w:type="dxa"/>
          </w:tblCellMar>
        </w:tblPrEx>
        <w:tc>
          <w:tcPr>
            <w:tcW w:w="4675" w:type="dxa"/>
            <w:shd w:val="clear" w:color="auto" w:fill="F2F5FA"/>
            <w:tcMar>
              <w:top w:w="90" w:type="dxa"/>
              <w:left w:w="140" w:type="dxa"/>
              <w:bottom w:w="90" w:type="dxa"/>
              <w:right w:w="140" w:type="dxa"/>
            </w:tcMar>
            <w:vAlign w:val="center"/>
          </w:tcPr>
          <w:p w14:paraId="2460097D" w14:textId="77777777" w:rsidR="00E0223A" w:rsidRDefault="00000000">
            <w:r>
              <w:rPr>
                <w:sz w:val="19"/>
                <w:szCs w:val="19"/>
              </w:rPr>
              <w:t>Medium</w:t>
            </w:r>
          </w:p>
        </w:tc>
        <w:tc>
          <w:tcPr>
            <w:tcW w:w="4675" w:type="dxa"/>
            <w:shd w:val="clear" w:color="auto" w:fill="F2F5FA"/>
            <w:tcMar>
              <w:top w:w="90" w:type="dxa"/>
              <w:left w:w="140" w:type="dxa"/>
              <w:bottom w:w="90" w:type="dxa"/>
              <w:right w:w="140" w:type="dxa"/>
            </w:tcMar>
            <w:vAlign w:val="center"/>
          </w:tcPr>
          <w:p w14:paraId="1358B623" w14:textId="77777777" w:rsidR="00E0223A" w:rsidRDefault="00000000">
            <w:r>
              <w:rPr>
                <w:sz w:val="19"/>
                <w:szCs w:val="19"/>
              </w:rPr>
              <w:t>$15.49</w:t>
            </w:r>
          </w:p>
        </w:tc>
      </w:tr>
      <w:tr w:rsidR="00E0223A" w14:paraId="18D8BD18" w14:textId="77777777">
        <w:tblPrEx>
          <w:tblCellMar>
            <w:top w:w="0" w:type="dxa"/>
            <w:bottom w:w="0" w:type="dxa"/>
          </w:tblCellMar>
        </w:tblPrEx>
        <w:tc>
          <w:tcPr>
            <w:tcW w:w="4675" w:type="dxa"/>
            <w:shd w:val="clear" w:color="auto" w:fill="FFFFFF"/>
            <w:tcMar>
              <w:top w:w="90" w:type="dxa"/>
              <w:left w:w="140" w:type="dxa"/>
              <w:bottom w:w="90" w:type="dxa"/>
              <w:right w:w="140" w:type="dxa"/>
            </w:tcMar>
            <w:vAlign w:val="center"/>
          </w:tcPr>
          <w:p w14:paraId="14E5C9D4" w14:textId="77777777" w:rsidR="00E0223A" w:rsidRDefault="00000000">
            <w:r>
              <w:rPr>
                <w:sz w:val="19"/>
                <w:szCs w:val="19"/>
              </w:rPr>
              <w:t>Large</w:t>
            </w:r>
          </w:p>
        </w:tc>
        <w:tc>
          <w:tcPr>
            <w:tcW w:w="4675" w:type="dxa"/>
            <w:shd w:val="clear" w:color="auto" w:fill="FFFFFF"/>
            <w:tcMar>
              <w:top w:w="90" w:type="dxa"/>
              <w:left w:w="140" w:type="dxa"/>
              <w:bottom w:w="90" w:type="dxa"/>
              <w:right w:w="140" w:type="dxa"/>
            </w:tcMar>
            <w:vAlign w:val="center"/>
          </w:tcPr>
          <w:p w14:paraId="4E7C7D1E" w14:textId="77777777" w:rsidR="00E0223A" w:rsidRDefault="00000000">
            <w:r>
              <w:rPr>
                <w:sz w:val="19"/>
                <w:szCs w:val="19"/>
              </w:rPr>
              <w:t>$10.78</w:t>
            </w:r>
          </w:p>
        </w:tc>
      </w:tr>
    </w:tbl>
    <w:p w14:paraId="4DDB095A" w14:textId="77777777" w:rsidR="00E0223A" w:rsidRDefault="00E0223A">
      <w:pPr>
        <w:spacing w:after="160"/>
      </w:pPr>
    </w:p>
    <w:tbl>
      <w:tblPr>
        <w:tblW w:w="9350" w:type="dxa"/>
        <w:tblBorders>
          <w:top w:val="single" w:sz="4" w:space="0" w:color="B8860B"/>
          <w:left w:val="single" w:sz="4" w:space="0" w:color="B8860B"/>
          <w:bottom w:val="single" w:sz="4" w:space="0" w:color="B8860B"/>
          <w:right w:val="single" w:sz="4"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E0223A" w14:paraId="68103FB8" w14:textId="77777777">
        <w:tblPrEx>
          <w:tblCellMar>
            <w:top w:w="0" w:type="dxa"/>
            <w:bottom w:w="0" w:type="dxa"/>
          </w:tblCellMar>
        </w:tblPrEx>
        <w:tc>
          <w:tcPr>
            <w:tcW w:w="9350" w:type="dxa"/>
            <w:shd w:val="clear" w:color="auto" w:fill="FBF3E3"/>
            <w:tcMar>
              <w:top w:w="160" w:type="dxa"/>
              <w:left w:w="220" w:type="dxa"/>
              <w:bottom w:w="160" w:type="dxa"/>
              <w:right w:w="220" w:type="dxa"/>
            </w:tcMar>
          </w:tcPr>
          <w:p w14:paraId="67028E0C" w14:textId="77777777" w:rsidR="00E0223A" w:rsidRDefault="00000000">
            <w:pPr>
              <w:spacing w:line="268" w:lineRule="auto"/>
            </w:pPr>
            <w:r>
              <w:rPr>
                <w:b/>
                <w:bCs/>
                <w:color w:val="13233F"/>
                <w:sz w:val="20"/>
                <w:szCs w:val="20"/>
              </w:rPr>
              <w:t xml:space="preserve">Takeaway:  </w:t>
            </w:r>
            <w:r>
              <w:rPr>
                <w:i/>
                <w:iCs/>
                <w:sz w:val="20"/>
                <w:szCs w:val="20"/>
              </w:rPr>
              <w:t>Large orders cost 72% less per unit than small orders ($10.78 vs. $39.06). Bulk buying is clearly worth it — provided the resulting stock actually sells (see next section).</w:t>
            </w:r>
          </w:p>
        </w:tc>
      </w:tr>
    </w:tbl>
    <w:p w14:paraId="52695C1F" w14:textId="77777777" w:rsidR="00E0223A" w:rsidRDefault="00E0223A">
      <w:pPr>
        <w:spacing w:after="160"/>
      </w:pPr>
    </w:p>
    <w:p w14:paraId="2246FAD3" w14:textId="77777777" w:rsidR="004D07FC" w:rsidRDefault="004D07FC">
      <w:pPr>
        <w:pStyle w:val="Heading1"/>
        <w:pBdr>
          <w:bottom w:val="single" w:sz="8" w:space="6" w:color="B8860B"/>
        </w:pBdr>
        <w:spacing w:before="420" w:after="200"/>
        <w:rPr>
          <w:rFonts w:ascii="Georgia" w:eastAsia="Georgia" w:hAnsi="Georgia" w:cs="Georgia"/>
          <w:b/>
          <w:bCs/>
          <w:color w:val="1F3864"/>
          <w:sz w:val="30"/>
          <w:szCs w:val="30"/>
        </w:rPr>
      </w:pPr>
    </w:p>
    <w:p w14:paraId="679AB584" w14:textId="77777777" w:rsidR="004D07FC" w:rsidRDefault="004D07FC">
      <w:pPr>
        <w:pStyle w:val="Heading1"/>
        <w:pBdr>
          <w:bottom w:val="single" w:sz="8" w:space="6" w:color="B8860B"/>
        </w:pBdr>
        <w:spacing w:before="420" w:after="200"/>
        <w:rPr>
          <w:rFonts w:ascii="Georgia" w:eastAsia="Georgia" w:hAnsi="Georgia" w:cs="Georgia"/>
          <w:b/>
          <w:bCs/>
          <w:color w:val="1F3864"/>
          <w:sz w:val="30"/>
          <w:szCs w:val="30"/>
        </w:rPr>
      </w:pPr>
    </w:p>
    <w:p w14:paraId="6CA26DC6" w14:textId="77777777" w:rsidR="004D07FC" w:rsidRDefault="004D07FC">
      <w:pPr>
        <w:pStyle w:val="Heading1"/>
        <w:pBdr>
          <w:bottom w:val="single" w:sz="8" w:space="6" w:color="B8860B"/>
        </w:pBdr>
        <w:spacing w:before="420" w:after="200"/>
        <w:rPr>
          <w:rFonts w:ascii="Georgia" w:eastAsia="Georgia" w:hAnsi="Georgia" w:cs="Georgia"/>
          <w:b/>
          <w:bCs/>
          <w:color w:val="1F3864"/>
          <w:sz w:val="30"/>
          <w:szCs w:val="30"/>
        </w:rPr>
      </w:pPr>
    </w:p>
    <w:p w14:paraId="54A5A2EE" w14:textId="77777777" w:rsidR="004D07FC" w:rsidRDefault="004D07FC">
      <w:pPr>
        <w:pStyle w:val="Heading1"/>
        <w:pBdr>
          <w:bottom w:val="single" w:sz="8" w:space="6" w:color="B8860B"/>
        </w:pBdr>
        <w:spacing w:before="420" w:after="200"/>
        <w:rPr>
          <w:rFonts w:ascii="Georgia" w:eastAsia="Georgia" w:hAnsi="Georgia" w:cs="Georgia"/>
          <w:b/>
          <w:bCs/>
          <w:color w:val="1F3864"/>
          <w:sz w:val="30"/>
          <w:szCs w:val="30"/>
        </w:rPr>
      </w:pPr>
    </w:p>
    <w:p w14:paraId="4D6F10B4" w14:textId="77777777" w:rsidR="004D07FC" w:rsidRDefault="004D07FC">
      <w:pPr>
        <w:pStyle w:val="Heading1"/>
        <w:pBdr>
          <w:bottom w:val="single" w:sz="8" w:space="6" w:color="B8860B"/>
        </w:pBdr>
        <w:spacing w:before="420" w:after="200"/>
        <w:rPr>
          <w:rFonts w:ascii="Georgia" w:eastAsia="Georgia" w:hAnsi="Georgia" w:cs="Georgia"/>
          <w:b/>
          <w:bCs/>
          <w:color w:val="1F3864"/>
          <w:sz w:val="30"/>
          <w:szCs w:val="30"/>
        </w:rPr>
      </w:pPr>
    </w:p>
    <w:p w14:paraId="2EFFE8C8" w14:textId="7168681D" w:rsidR="00E0223A" w:rsidRDefault="00000000">
      <w:pPr>
        <w:pStyle w:val="Heading1"/>
        <w:pBdr>
          <w:bottom w:val="single" w:sz="8" w:space="6" w:color="B8860B"/>
        </w:pBdr>
        <w:spacing w:before="420" w:after="200"/>
      </w:pPr>
      <w:r>
        <w:rPr>
          <w:rFonts w:ascii="Georgia" w:eastAsia="Georgia" w:hAnsi="Georgia" w:cs="Georgia"/>
          <w:b/>
          <w:bCs/>
          <w:color w:val="1F3864"/>
          <w:sz w:val="30"/>
          <w:szCs w:val="30"/>
        </w:rPr>
        <w:lastRenderedPageBreak/>
        <w:t>4.  Vendors with Low Inventory Turnover</w:t>
      </w:r>
    </w:p>
    <w:p w14:paraId="2A91FA21" w14:textId="77777777" w:rsidR="00E0223A" w:rsidRDefault="00000000">
      <w:pPr>
        <w:spacing w:after="160" w:line="276" w:lineRule="auto"/>
        <w:jc w:val="both"/>
      </w:pPr>
      <w:r>
        <w:t xml:space="preserve">Total capital currently tied up in unsold inventory: </w:t>
      </w:r>
      <w:r>
        <w:rPr>
          <w:b/>
          <w:bCs/>
          <w:color w:val="13233F"/>
        </w:rPr>
        <w:t>$2.71M</w:t>
      </w:r>
      <w:r>
        <w:t>.</w:t>
      </w:r>
    </w:p>
    <w:p w14:paraId="3D3583AE" w14:textId="77777777" w:rsidR="00E0223A" w:rsidRDefault="00000000">
      <w:pPr>
        <w:spacing w:after="160" w:line="276" w:lineRule="auto"/>
        <w:jc w:val="both"/>
      </w:pPr>
      <w:r>
        <w:t>Top vendors by unsold inventory value:</w:t>
      </w:r>
    </w:p>
    <w:tbl>
      <w:tblPr>
        <w:tblW w:w="9350"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6350"/>
        <w:gridCol w:w="3000"/>
      </w:tblGrid>
      <w:tr w:rsidR="00E0223A" w14:paraId="723999F9" w14:textId="77777777">
        <w:tblPrEx>
          <w:tblCellMar>
            <w:top w:w="0" w:type="dxa"/>
            <w:bottom w:w="0" w:type="dxa"/>
          </w:tblCellMar>
        </w:tblPrEx>
        <w:trPr>
          <w:tblHeader/>
        </w:trPr>
        <w:tc>
          <w:tcPr>
            <w:tcW w:w="6350" w:type="dxa"/>
            <w:shd w:val="clear" w:color="auto" w:fill="1F3864"/>
            <w:tcMar>
              <w:top w:w="100" w:type="dxa"/>
              <w:left w:w="140" w:type="dxa"/>
              <w:bottom w:w="100" w:type="dxa"/>
              <w:right w:w="140" w:type="dxa"/>
            </w:tcMar>
            <w:vAlign w:val="center"/>
          </w:tcPr>
          <w:p w14:paraId="49096CD2" w14:textId="77777777" w:rsidR="00E0223A" w:rsidRDefault="00000000">
            <w:r>
              <w:rPr>
                <w:b/>
                <w:bCs/>
                <w:color w:val="FFFFFF"/>
                <w:sz w:val="19"/>
                <w:szCs w:val="19"/>
              </w:rPr>
              <w:t>Vendor</w:t>
            </w:r>
          </w:p>
        </w:tc>
        <w:tc>
          <w:tcPr>
            <w:tcW w:w="3000" w:type="dxa"/>
            <w:shd w:val="clear" w:color="auto" w:fill="1F3864"/>
            <w:tcMar>
              <w:top w:w="100" w:type="dxa"/>
              <w:left w:w="140" w:type="dxa"/>
              <w:bottom w:w="100" w:type="dxa"/>
              <w:right w:w="140" w:type="dxa"/>
            </w:tcMar>
            <w:vAlign w:val="center"/>
          </w:tcPr>
          <w:p w14:paraId="09A0A07D" w14:textId="77777777" w:rsidR="00E0223A" w:rsidRDefault="00000000">
            <w:r>
              <w:rPr>
                <w:b/>
                <w:bCs/>
                <w:color w:val="FFFFFF"/>
                <w:sz w:val="19"/>
                <w:szCs w:val="19"/>
              </w:rPr>
              <w:t>Unsold Inventory Value</w:t>
            </w:r>
          </w:p>
        </w:tc>
      </w:tr>
      <w:tr w:rsidR="00E0223A" w14:paraId="5A25BC0B" w14:textId="77777777">
        <w:tblPrEx>
          <w:tblCellMar>
            <w:top w:w="0" w:type="dxa"/>
            <w:bottom w:w="0" w:type="dxa"/>
          </w:tblCellMar>
        </w:tblPrEx>
        <w:tc>
          <w:tcPr>
            <w:tcW w:w="6350" w:type="dxa"/>
            <w:shd w:val="clear" w:color="auto" w:fill="FFFFFF"/>
            <w:tcMar>
              <w:top w:w="90" w:type="dxa"/>
              <w:left w:w="140" w:type="dxa"/>
              <w:bottom w:w="90" w:type="dxa"/>
              <w:right w:w="140" w:type="dxa"/>
            </w:tcMar>
            <w:vAlign w:val="center"/>
          </w:tcPr>
          <w:p w14:paraId="26D4D900" w14:textId="77777777" w:rsidR="00E0223A" w:rsidRDefault="00000000">
            <w:r>
              <w:rPr>
                <w:sz w:val="19"/>
                <w:szCs w:val="19"/>
              </w:rPr>
              <w:t>Diageo North America Inc</w:t>
            </w:r>
          </w:p>
        </w:tc>
        <w:tc>
          <w:tcPr>
            <w:tcW w:w="3000" w:type="dxa"/>
            <w:shd w:val="clear" w:color="auto" w:fill="FFFFFF"/>
            <w:tcMar>
              <w:top w:w="90" w:type="dxa"/>
              <w:left w:w="140" w:type="dxa"/>
              <w:bottom w:w="90" w:type="dxa"/>
              <w:right w:w="140" w:type="dxa"/>
            </w:tcMar>
            <w:vAlign w:val="center"/>
          </w:tcPr>
          <w:p w14:paraId="4E958BEC" w14:textId="77777777" w:rsidR="00E0223A" w:rsidRDefault="00000000">
            <w:r>
              <w:rPr>
                <w:sz w:val="19"/>
                <w:szCs w:val="19"/>
              </w:rPr>
              <w:t>$722.21K</w:t>
            </w:r>
          </w:p>
        </w:tc>
      </w:tr>
      <w:tr w:rsidR="00E0223A" w14:paraId="5F788346" w14:textId="77777777">
        <w:tblPrEx>
          <w:tblCellMar>
            <w:top w:w="0" w:type="dxa"/>
            <w:bottom w:w="0" w:type="dxa"/>
          </w:tblCellMar>
        </w:tblPrEx>
        <w:tc>
          <w:tcPr>
            <w:tcW w:w="6350" w:type="dxa"/>
            <w:shd w:val="clear" w:color="auto" w:fill="F2F5FA"/>
            <w:tcMar>
              <w:top w:w="90" w:type="dxa"/>
              <w:left w:w="140" w:type="dxa"/>
              <w:bottom w:w="90" w:type="dxa"/>
              <w:right w:w="140" w:type="dxa"/>
            </w:tcMar>
            <w:vAlign w:val="center"/>
          </w:tcPr>
          <w:p w14:paraId="74ABCDA1" w14:textId="77777777" w:rsidR="00E0223A" w:rsidRDefault="00000000">
            <w:r>
              <w:rPr>
                <w:sz w:val="19"/>
                <w:szCs w:val="19"/>
              </w:rPr>
              <w:t>Jim Beam Brands Company</w:t>
            </w:r>
          </w:p>
        </w:tc>
        <w:tc>
          <w:tcPr>
            <w:tcW w:w="3000" w:type="dxa"/>
            <w:shd w:val="clear" w:color="auto" w:fill="F2F5FA"/>
            <w:tcMar>
              <w:top w:w="90" w:type="dxa"/>
              <w:left w:w="140" w:type="dxa"/>
              <w:bottom w:w="90" w:type="dxa"/>
              <w:right w:w="140" w:type="dxa"/>
            </w:tcMar>
            <w:vAlign w:val="center"/>
          </w:tcPr>
          <w:p w14:paraId="7DFC9F4F" w14:textId="77777777" w:rsidR="00E0223A" w:rsidRDefault="00000000">
            <w:r>
              <w:rPr>
                <w:sz w:val="19"/>
                <w:szCs w:val="19"/>
              </w:rPr>
              <w:t>$554.67K</w:t>
            </w:r>
          </w:p>
        </w:tc>
      </w:tr>
      <w:tr w:rsidR="00E0223A" w14:paraId="236981C5" w14:textId="77777777">
        <w:tblPrEx>
          <w:tblCellMar>
            <w:top w:w="0" w:type="dxa"/>
            <w:bottom w:w="0" w:type="dxa"/>
          </w:tblCellMar>
        </w:tblPrEx>
        <w:tc>
          <w:tcPr>
            <w:tcW w:w="6350" w:type="dxa"/>
            <w:shd w:val="clear" w:color="auto" w:fill="FFFFFF"/>
            <w:tcMar>
              <w:top w:w="90" w:type="dxa"/>
              <w:left w:w="140" w:type="dxa"/>
              <w:bottom w:w="90" w:type="dxa"/>
              <w:right w:w="140" w:type="dxa"/>
            </w:tcMar>
            <w:vAlign w:val="center"/>
          </w:tcPr>
          <w:p w14:paraId="2D50EBB9" w14:textId="77777777" w:rsidR="00E0223A" w:rsidRDefault="00000000">
            <w:r>
              <w:rPr>
                <w:sz w:val="19"/>
                <w:szCs w:val="19"/>
              </w:rPr>
              <w:t>Pernod Ricard USA</w:t>
            </w:r>
          </w:p>
        </w:tc>
        <w:tc>
          <w:tcPr>
            <w:tcW w:w="3000" w:type="dxa"/>
            <w:shd w:val="clear" w:color="auto" w:fill="FFFFFF"/>
            <w:tcMar>
              <w:top w:w="90" w:type="dxa"/>
              <w:left w:w="140" w:type="dxa"/>
              <w:bottom w:w="90" w:type="dxa"/>
              <w:right w:w="140" w:type="dxa"/>
            </w:tcMar>
            <w:vAlign w:val="center"/>
          </w:tcPr>
          <w:p w14:paraId="146FE323" w14:textId="77777777" w:rsidR="00E0223A" w:rsidRDefault="00000000">
            <w:r>
              <w:rPr>
                <w:sz w:val="19"/>
                <w:szCs w:val="19"/>
              </w:rPr>
              <w:t>$470.63K</w:t>
            </w:r>
          </w:p>
        </w:tc>
      </w:tr>
      <w:tr w:rsidR="00E0223A" w14:paraId="1A945411" w14:textId="77777777">
        <w:tblPrEx>
          <w:tblCellMar>
            <w:top w:w="0" w:type="dxa"/>
            <w:bottom w:w="0" w:type="dxa"/>
          </w:tblCellMar>
        </w:tblPrEx>
        <w:tc>
          <w:tcPr>
            <w:tcW w:w="6350" w:type="dxa"/>
            <w:shd w:val="clear" w:color="auto" w:fill="F2F5FA"/>
            <w:tcMar>
              <w:top w:w="90" w:type="dxa"/>
              <w:left w:w="140" w:type="dxa"/>
              <w:bottom w:w="90" w:type="dxa"/>
              <w:right w:w="140" w:type="dxa"/>
            </w:tcMar>
            <w:vAlign w:val="center"/>
          </w:tcPr>
          <w:p w14:paraId="21A4240E" w14:textId="77777777" w:rsidR="00E0223A" w:rsidRDefault="00000000">
            <w:r>
              <w:rPr>
                <w:sz w:val="19"/>
                <w:szCs w:val="19"/>
              </w:rPr>
              <w:t>William Grant &amp; Sons Inc</w:t>
            </w:r>
          </w:p>
        </w:tc>
        <w:tc>
          <w:tcPr>
            <w:tcW w:w="3000" w:type="dxa"/>
            <w:shd w:val="clear" w:color="auto" w:fill="F2F5FA"/>
            <w:tcMar>
              <w:top w:w="90" w:type="dxa"/>
              <w:left w:w="140" w:type="dxa"/>
              <w:bottom w:w="90" w:type="dxa"/>
              <w:right w:w="140" w:type="dxa"/>
            </w:tcMar>
            <w:vAlign w:val="center"/>
          </w:tcPr>
          <w:p w14:paraId="3107FD7C" w14:textId="77777777" w:rsidR="00E0223A" w:rsidRDefault="00000000">
            <w:r>
              <w:rPr>
                <w:sz w:val="19"/>
                <w:szCs w:val="19"/>
              </w:rPr>
              <w:t>$401.96K</w:t>
            </w:r>
          </w:p>
        </w:tc>
      </w:tr>
      <w:tr w:rsidR="00E0223A" w14:paraId="2BA150B2" w14:textId="77777777">
        <w:tblPrEx>
          <w:tblCellMar>
            <w:top w:w="0" w:type="dxa"/>
            <w:bottom w:w="0" w:type="dxa"/>
          </w:tblCellMar>
        </w:tblPrEx>
        <w:tc>
          <w:tcPr>
            <w:tcW w:w="6350" w:type="dxa"/>
            <w:shd w:val="clear" w:color="auto" w:fill="FFFFFF"/>
            <w:tcMar>
              <w:top w:w="90" w:type="dxa"/>
              <w:left w:w="140" w:type="dxa"/>
              <w:bottom w:w="90" w:type="dxa"/>
              <w:right w:w="140" w:type="dxa"/>
            </w:tcMar>
            <w:vAlign w:val="center"/>
          </w:tcPr>
          <w:p w14:paraId="4769D7BB" w14:textId="77777777" w:rsidR="00E0223A" w:rsidRDefault="00000000">
            <w:r>
              <w:rPr>
                <w:sz w:val="19"/>
                <w:szCs w:val="19"/>
              </w:rPr>
              <w:t>E &amp; J Gallo Winery</w:t>
            </w:r>
          </w:p>
        </w:tc>
        <w:tc>
          <w:tcPr>
            <w:tcW w:w="3000" w:type="dxa"/>
            <w:shd w:val="clear" w:color="auto" w:fill="FFFFFF"/>
            <w:tcMar>
              <w:top w:w="90" w:type="dxa"/>
              <w:left w:w="140" w:type="dxa"/>
              <w:bottom w:w="90" w:type="dxa"/>
              <w:right w:w="140" w:type="dxa"/>
            </w:tcMar>
            <w:vAlign w:val="center"/>
          </w:tcPr>
          <w:p w14:paraId="42860CAE" w14:textId="77777777" w:rsidR="00E0223A" w:rsidRDefault="00000000">
            <w:r>
              <w:rPr>
                <w:sz w:val="19"/>
                <w:szCs w:val="19"/>
              </w:rPr>
              <w:t>$228.28K</w:t>
            </w:r>
          </w:p>
        </w:tc>
      </w:tr>
    </w:tbl>
    <w:p w14:paraId="66A17C34" w14:textId="77777777" w:rsidR="00E0223A" w:rsidRDefault="00E0223A">
      <w:pPr>
        <w:spacing w:after="160"/>
      </w:pPr>
    </w:p>
    <w:tbl>
      <w:tblPr>
        <w:tblW w:w="9350" w:type="dxa"/>
        <w:tblBorders>
          <w:top w:val="single" w:sz="4" w:space="0" w:color="B8860B"/>
          <w:left w:val="single" w:sz="4" w:space="0" w:color="B8860B"/>
          <w:bottom w:val="single" w:sz="4" w:space="0" w:color="B8860B"/>
          <w:right w:val="single" w:sz="4"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E0223A" w14:paraId="5384C589" w14:textId="77777777">
        <w:tblPrEx>
          <w:tblCellMar>
            <w:top w:w="0" w:type="dxa"/>
            <w:bottom w:w="0" w:type="dxa"/>
          </w:tblCellMar>
        </w:tblPrEx>
        <w:tc>
          <w:tcPr>
            <w:tcW w:w="9350" w:type="dxa"/>
            <w:shd w:val="clear" w:color="auto" w:fill="FBF3E3"/>
            <w:tcMar>
              <w:top w:w="160" w:type="dxa"/>
              <w:left w:w="220" w:type="dxa"/>
              <w:bottom w:w="160" w:type="dxa"/>
              <w:right w:w="220" w:type="dxa"/>
            </w:tcMar>
          </w:tcPr>
          <w:p w14:paraId="5C26B1ED" w14:textId="77777777" w:rsidR="00E0223A" w:rsidRDefault="00000000">
            <w:pPr>
              <w:spacing w:line="268" w:lineRule="auto"/>
            </w:pPr>
            <w:r>
              <w:rPr>
                <w:b/>
                <w:bCs/>
                <w:color w:val="13233F"/>
                <w:sz w:val="20"/>
                <w:szCs w:val="20"/>
              </w:rPr>
              <w:t xml:space="preserve">Takeaway:  </w:t>
            </w:r>
            <w:r>
              <w:rPr>
                <w:i/>
                <w:iCs/>
                <w:sz w:val="20"/>
                <w:szCs w:val="20"/>
              </w:rPr>
              <w:t>The vendors with the most locked-up capital are largely the same ones with the largest order volumes — unsurprising, but it means bulk-buying savings need to be paired with a demand forecast, or the savings get eaten by holding costs.</w:t>
            </w:r>
          </w:p>
        </w:tc>
      </w:tr>
    </w:tbl>
    <w:p w14:paraId="279AFCF3" w14:textId="77777777" w:rsidR="00E0223A" w:rsidRDefault="00000000">
      <w:r>
        <w:br w:type="page"/>
      </w:r>
    </w:p>
    <w:p w14:paraId="7FE6CA7E" w14:textId="77777777" w:rsidR="00E0223A" w:rsidRDefault="00000000">
      <w:pPr>
        <w:pStyle w:val="Heading1"/>
        <w:pBdr>
          <w:bottom w:val="single" w:sz="8" w:space="6" w:color="B8860B"/>
        </w:pBdr>
        <w:spacing w:before="420" w:after="200"/>
      </w:pPr>
      <w:r>
        <w:rPr>
          <w:rFonts w:ascii="Georgia" w:eastAsia="Georgia" w:hAnsi="Georgia" w:cs="Georgia"/>
          <w:b/>
          <w:bCs/>
          <w:color w:val="1F3864"/>
          <w:sz w:val="30"/>
          <w:szCs w:val="30"/>
        </w:rPr>
        <w:lastRenderedPageBreak/>
        <w:t>5.  Profit Margin: High vs. Low-Performing Vendors</w:t>
      </w:r>
    </w:p>
    <w:p w14:paraId="53F34A45" w14:textId="77777777" w:rsidR="00E0223A" w:rsidRDefault="00000000">
      <w:pPr>
        <w:spacing w:before="120" w:after="60"/>
        <w:jc w:val="center"/>
      </w:pPr>
      <w:r>
        <w:rPr>
          <w:noProof/>
        </w:rPr>
        <w:drawing>
          <wp:inline distT="0" distB="0" distL="0" distR="0" wp14:anchorId="49F8E959" wp14:editId="6D1CD192">
            <wp:extent cx="4095750" cy="2505075"/>
            <wp:effectExtent l="0" t="0" r="0" b="0"/>
            <wp:docPr id="1699986253" name="Picture 169998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505075"/>
                    </a:xfrm>
                    <a:prstGeom prst="rect">
                      <a:avLst/>
                    </a:prstGeom>
                  </pic:spPr>
                </pic:pic>
              </a:graphicData>
            </a:graphic>
          </wp:inline>
        </w:drawing>
      </w:r>
    </w:p>
    <w:p w14:paraId="377514B4" w14:textId="77777777" w:rsidR="00E0223A" w:rsidRDefault="00000000">
      <w:pPr>
        <w:spacing w:before="80" w:after="260"/>
        <w:jc w:val="center"/>
      </w:pPr>
      <w:r>
        <w:rPr>
          <w:i/>
          <w:iCs/>
          <w:color w:val="44546A"/>
          <w:sz w:val="18"/>
          <w:szCs w:val="18"/>
        </w:rPr>
        <w:t>Figure 6 — Distribution of profit margin: top-quartile vendors (by sales) vs. bottom-quartile vendors.</w:t>
      </w:r>
    </w:p>
    <w:tbl>
      <w:tblPr>
        <w:tblW w:w="9350" w:type="dxa"/>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CellMar>
          <w:left w:w="10" w:type="dxa"/>
          <w:right w:w="10" w:type="dxa"/>
        </w:tblCellMar>
        <w:tblLook w:val="0000" w:firstRow="0" w:lastRow="0" w:firstColumn="0" w:lastColumn="0" w:noHBand="0" w:noVBand="0"/>
      </w:tblPr>
      <w:tblGrid>
        <w:gridCol w:w="3500"/>
        <w:gridCol w:w="3850"/>
        <w:gridCol w:w="2000"/>
      </w:tblGrid>
      <w:tr w:rsidR="00E0223A" w14:paraId="319846F6" w14:textId="77777777">
        <w:tblPrEx>
          <w:tblCellMar>
            <w:top w:w="0" w:type="dxa"/>
            <w:bottom w:w="0" w:type="dxa"/>
          </w:tblCellMar>
        </w:tblPrEx>
        <w:trPr>
          <w:tblHeader/>
        </w:trPr>
        <w:tc>
          <w:tcPr>
            <w:tcW w:w="3500" w:type="dxa"/>
            <w:shd w:val="clear" w:color="auto" w:fill="1F3864"/>
            <w:tcMar>
              <w:top w:w="100" w:type="dxa"/>
              <w:left w:w="140" w:type="dxa"/>
              <w:bottom w:w="100" w:type="dxa"/>
              <w:right w:w="140" w:type="dxa"/>
            </w:tcMar>
            <w:vAlign w:val="center"/>
          </w:tcPr>
          <w:p w14:paraId="21A81CDA" w14:textId="77777777" w:rsidR="00E0223A" w:rsidRDefault="00000000">
            <w:r>
              <w:rPr>
                <w:b/>
                <w:bCs/>
                <w:color w:val="FFFFFF"/>
                <w:sz w:val="19"/>
                <w:szCs w:val="19"/>
              </w:rPr>
              <w:t>Group</w:t>
            </w:r>
          </w:p>
        </w:tc>
        <w:tc>
          <w:tcPr>
            <w:tcW w:w="3850" w:type="dxa"/>
            <w:shd w:val="clear" w:color="auto" w:fill="1F3864"/>
            <w:tcMar>
              <w:top w:w="100" w:type="dxa"/>
              <w:left w:w="140" w:type="dxa"/>
              <w:bottom w:w="100" w:type="dxa"/>
              <w:right w:w="140" w:type="dxa"/>
            </w:tcMar>
            <w:vAlign w:val="center"/>
          </w:tcPr>
          <w:p w14:paraId="49679A68" w14:textId="77777777" w:rsidR="00E0223A" w:rsidRDefault="00000000">
            <w:r>
              <w:rPr>
                <w:b/>
                <w:bCs/>
                <w:color w:val="FFFFFF"/>
                <w:sz w:val="19"/>
                <w:szCs w:val="19"/>
              </w:rPr>
              <w:t>95% Confidence Interval</w:t>
            </w:r>
          </w:p>
        </w:tc>
        <w:tc>
          <w:tcPr>
            <w:tcW w:w="2000" w:type="dxa"/>
            <w:shd w:val="clear" w:color="auto" w:fill="1F3864"/>
            <w:tcMar>
              <w:top w:w="100" w:type="dxa"/>
              <w:left w:w="140" w:type="dxa"/>
              <w:bottom w:w="100" w:type="dxa"/>
              <w:right w:w="140" w:type="dxa"/>
            </w:tcMar>
            <w:vAlign w:val="center"/>
          </w:tcPr>
          <w:p w14:paraId="269B5F00" w14:textId="77777777" w:rsidR="00E0223A" w:rsidRDefault="00000000">
            <w:r>
              <w:rPr>
                <w:b/>
                <w:bCs/>
                <w:color w:val="FFFFFF"/>
                <w:sz w:val="19"/>
                <w:szCs w:val="19"/>
              </w:rPr>
              <w:t>Mean</w:t>
            </w:r>
          </w:p>
        </w:tc>
      </w:tr>
      <w:tr w:rsidR="00E0223A" w14:paraId="09FCF37B" w14:textId="77777777">
        <w:tblPrEx>
          <w:tblCellMar>
            <w:top w:w="0" w:type="dxa"/>
            <w:bottom w:w="0" w:type="dxa"/>
          </w:tblCellMar>
        </w:tblPrEx>
        <w:tc>
          <w:tcPr>
            <w:tcW w:w="3500" w:type="dxa"/>
            <w:shd w:val="clear" w:color="auto" w:fill="FFFFFF"/>
            <w:tcMar>
              <w:top w:w="90" w:type="dxa"/>
              <w:left w:w="140" w:type="dxa"/>
              <w:bottom w:w="90" w:type="dxa"/>
              <w:right w:w="140" w:type="dxa"/>
            </w:tcMar>
            <w:vAlign w:val="center"/>
          </w:tcPr>
          <w:p w14:paraId="39E71B8B" w14:textId="77777777" w:rsidR="00E0223A" w:rsidRDefault="00000000">
            <w:r>
              <w:rPr>
                <w:sz w:val="19"/>
                <w:szCs w:val="19"/>
              </w:rPr>
              <w:t>Top vendors</w:t>
            </w:r>
          </w:p>
        </w:tc>
        <w:tc>
          <w:tcPr>
            <w:tcW w:w="3850" w:type="dxa"/>
            <w:shd w:val="clear" w:color="auto" w:fill="FFFFFF"/>
            <w:tcMar>
              <w:top w:w="90" w:type="dxa"/>
              <w:left w:w="140" w:type="dxa"/>
              <w:bottom w:w="90" w:type="dxa"/>
              <w:right w:w="140" w:type="dxa"/>
            </w:tcMar>
            <w:vAlign w:val="center"/>
          </w:tcPr>
          <w:p w14:paraId="7218649B" w14:textId="77777777" w:rsidR="00E0223A" w:rsidRDefault="00000000">
            <w:r>
              <w:rPr>
                <w:sz w:val="19"/>
                <w:szCs w:val="19"/>
              </w:rPr>
              <w:t>30.74% – 31.61%</w:t>
            </w:r>
          </w:p>
        </w:tc>
        <w:tc>
          <w:tcPr>
            <w:tcW w:w="2000" w:type="dxa"/>
            <w:shd w:val="clear" w:color="auto" w:fill="FFFFFF"/>
            <w:tcMar>
              <w:top w:w="90" w:type="dxa"/>
              <w:left w:w="140" w:type="dxa"/>
              <w:bottom w:w="90" w:type="dxa"/>
              <w:right w:w="140" w:type="dxa"/>
            </w:tcMar>
            <w:vAlign w:val="center"/>
          </w:tcPr>
          <w:p w14:paraId="2CD88898" w14:textId="77777777" w:rsidR="00E0223A" w:rsidRDefault="00000000">
            <w:r>
              <w:rPr>
                <w:sz w:val="19"/>
                <w:szCs w:val="19"/>
              </w:rPr>
              <w:t>31.17%</w:t>
            </w:r>
          </w:p>
        </w:tc>
      </w:tr>
      <w:tr w:rsidR="00E0223A" w14:paraId="32FB72AD" w14:textId="77777777">
        <w:tblPrEx>
          <w:tblCellMar>
            <w:top w:w="0" w:type="dxa"/>
            <w:bottom w:w="0" w:type="dxa"/>
          </w:tblCellMar>
        </w:tblPrEx>
        <w:tc>
          <w:tcPr>
            <w:tcW w:w="3500" w:type="dxa"/>
            <w:shd w:val="clear" w:color="auto" w:fill="F2F5FA"/>
            <w:tcMar>
              <w:top w:w="90" w:type="dxa"/>
              <w:left w:w="140" w:type="dxa"/>
              <w:bottom w:w="90" w:type="dxa"/>
              <w:right w:w="140" w:type="dxa"/>
            </w:tcMar>
            <w:vAlign w:val="center"/>
          </w:tcPr>
          <w:p w14:paraId="48157B5E" w14:textId="77777777" w:rsidR="00E0223A" w:rsidRDefault="00000000">
            <w:r>
              <w:rPr>
                <w:sz w:val="19"/>
                <w:szCs w:val="19"/>
              </w:rPr>
              <w:t>Low vendors</w:t>
            </w:r>
          </w:p>
        </w:tc>
        <w:tc>
          <w:tcPr>
            <w:tcW w:w="3850" w:type="dxa"/>
            <w:shd w:val="clear" w:color="auto" w:fill="F2F5FA"/>
            <w:tcMar>
              <w:top w:w="90" w:type="dxa"/>
              <w:left w:w="140" w:type="dxa"/>
              <w:bottom w:w="90" w:type="dxa"/>
              <w:right w:w="140" w:type="dxa"/>
            </w:tcMar>
            <w:vAlign w:val="center"/>
          </w:tcPr>
          <w:p w14:paraId="7B2A9C23" w14:textId="77777777" w:rsidR="00E0223A" w:rsidRDefault="00000000">
            <w:r>
              <w:rPr>
                <w:sz w:val="19"/>
                <w:szCs w:val="19"/>
              </w:rPr>
              <w:t>40.48% – 42.62%</w:t>
            </w:r>
          </w:p>
        </w:tc>
        <w:tc>
          <w:tcPr>
            <w:tcW w:w="2000" w:type="dxa"/>
            <w:shd w:val="clear" w:color="auto" w:fill="F2F5FA"/>
            <w:tcMar>
              <w:top w:w="90" w:type="dxa"/>
              <w:left w:w="140" w:type="dxa"/>
              <w:bottom w:w="90" w:type="dxa"/>
              <w:right w:w="140" w:type="dxa"/>
            </w:tcMar>
            <w:vAlign w:val="center"/>
          </w:tcPr>
          <w:p w14:paraId="2CB4E67F" w14:textId="77777777" w:rsidR="00E0223A" w:rsidRDefault="00000000">
            <w:r>
              <w:rPr>
                <w:sz w:val="19"/>
                <w:szCs w:val="19"/>
              </w:rPr>
              <w:t>41.55%</w:t>
            </w:r>
          </w:p>
        </w:tc>
      </w:tr>
    </w:tbl>
    <w:p w14:paraId="736B16D5" w14:textId="77777777" w:rsidR="00E0223A" w:rsidRDefault="00E0223A">
      <w:pPr>
        <w:spacing w:after="180"/>
      </w:pPr>
    </w:p>
    <w:p w14:paraId="6E57EE39" w14:textId="77777777" w:rsidR="00E0223A" w:rsidRDefault="00000000">
      <w:pPr>
        <w:pStyle w:val="Heading2"/>
        <w:spacing w:before="260" w:after="140"/>
      </w:pPr>
      <w:r>
        <w:rPr>
          <w:rFonts w:ascii="Georgia" w:eastAsia="Georgia" w:hAnsi="Georgia" w:cs="Georgia"/>
          <w:b/>
          <w:bCs/>
          <w:color w:val="44546A"/>
          <w:sz w:val="24"/>
          <w:szCs w:val="24"/>
        </w:rPr>
        <w:t>Hypothesis Test</w:t>
      </w:r>
    </w:p>
    <w:p w14:paraId="3E5B02DC" w14:textId="77777777" w:rsidR="00E0223A" w:rsidRDefault="00000000">
      <w:pPr>
        <w:pStyle w:val="ListParagraph"/>
        <w:numPr>
          <w:ilvl w:val="0"/>
          <w:numId w:val="2"/>
        </w:numPr>
        <w:spacing w:after="100" w:line="268" w:lineRule="auto"/>
      </w:pPr>
      <w:r>
        <w:t>H₀ (null): no real difference in mean profit margin between top and low vendors.</w:t>
      </w:r>
    </w:p>
    <w:p w14:paraId="44897907" w14:textId="77777777" w:rsidR="00E0223A" w:rsidRDefault="00000000">
      <w:pPr>
        <w:pStyle w:val="ListParagraph"/>
        <w:numPr>
          <w:ilvl w:val="0"/>
          <w:numId w:val="2"/>
        </w:numPr>
        <w:spacing w:after="100" w:line="268" w:lineRule="auto"/>
      </w:pPr>
      <w:r>
        <w:t>H₁ (alternative): a real difference exists.</w:t>
      </w:r>
    </w:p>
    <w:p w14:paraId="68F4E9D7" w14:textId="77777777" w:rsidR="00E0223A" w:rsidRDefault="00000000">
      <w:pPr>
        <w:spacing w:after="160" w:line="276" w:lineRule="auto"/>
        <w:jc w:val="both"/>
      </w:pPr>
      <w:r>
        <w:rPr>
          <w:b/>
          <w:bCs/>
        </w:rPr>
        <w:t xml:space="preserve">Result: </w:t>
      </w:r>
      <w:r>
        <w:t>Welch's t-test, t = −17.64, p &lt; 0.001 — the null hypothesis is rejected.</w:t>
      </w:r>
    </w:p>
    <w:tbl>
      <w:tblPr>
        <w:tblW w:w="9350" w:type="dxa"/>
        <w:tblBorders>
          <w:top w:val="single" w:sz="4" w:space="0" w:color="B8860B"/>
          <w:left w:val="single" w:sz="4" w:space="0" w:color="B8860B"/>
          <w:bottom w:val="single" w:sz="4" w:space="0" w:color="B8860B"/>
          <w:right w:val="single" w:sz="4" w:space="0" w:color="B8860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E0223A" w14:paraId="3F3FFBB8" w14:textId="77777777">
        <w:tblPrEx>
          <w:tblCellMar>
            <w:top w:w="0" w:type="dxa"/>
            <w:bottom w:w="0" w:type="dxa"/>
          </w:tblCellMar>
        </w:tblPrEx>
        <w:tc>
          <w:tcPr>
            <w:tcW w:w="9350" w:type="dxa"/>
            <w:shd w:val="clear" w:color="auto" w:fill="FBF3E3"/>
            <w:tcMar>
              <w:top w:w="160" w:type="dxa"/>
              <w:left w:w="220" w:type="dxa"/>
              <w:bottom w:w="160" w:type="dxa"/>
              <w:right w:w="220" w:type="dxa"/>
            </w:tcMar>
          </w:tcPr>
          <w:p w14:paraId="16BBD751" w14:textId="77777777" w:rsidR="00E0223A" w:rsidRDefault="00000000">
            <w:pPr>
              <w:spacing w:line="268" w:lineRule="auto"/>
            </w:pPr>
            <w:r>
              <w:rPr>
                <w:b/>
                <w:bCs/>
                <w:color w:val="13233F"/>
                <w:sz w:val="20"/>
                <w:szCs w:val="20"/>
              </w:rPr>
              <w:t xml:space="preserve">Takeaway:  </w:t>
            </w:r>
            <w:r>
              <w:rPr>
                <w:i/>
                <w:iCs/>
                <w:sz w:val="20"/>
                <w:szCs w:val="20"/>
              </w:rPr>
              <w:t>The confidence intervals don't overlap and the gap is large (≈10 points). This isn't random noise — top-selling vendors and low-volume vendors are running on genuinely different pricing strategies (volume vs. margin).</w:t>
            </w:r>
          </w:p>
        </w:tc>
      </w:tr>
    </w:tbl>
    <w:p w14:paraId="14A88BA7" w14:textId="77777777" w:rsidR="00E0223A" w:rsidRDefault="00000000">
      <w:r>
        <w:br w:type="page"/>
      </w:r>
    </w:p>
    <w:p w14:paraId="210235ED" w14:textId="77777777" w:rsidR="00E0223A" w:rsidRDefault="00000000">
      <w:pPr>
        <w:pStyle w:val="Heading1"/>
        <w:pBdr>
          <w:bottom w:val="single" w:sz="8" w:space="6" w:color="B8860B"/>
        </w:pBdr>
        <w:spacing w:before="420" w:after="200"/>
      </w:pPr>
      <w:r>
        <w:rPr>
          <w:rFonts w:ascii="Georgia" w:eastAsia="Georgia" w:hAnsi="Georgia" w:cs="Georgia"/>
          <w:b/>
          <w:bCs/>
          <w:color w:val="1F3864"/>
          <w:sz w:val="30"/>
          <w:szCs w:val="30"/>
        </w:rPr>
        <w:lastRenderedPageBreak/>
        <w:t>Final Recommendations</w:t>
      </w:r>
    </w:p>
    <w:p w14:paraId="6CDB77AC" w14:textId="77777777" w:rsidR="00E0223A" w:rsidRDefault="00000000">
      <w:pPr>
        <w:pStyle w:val="ListParagraph"/>
        <w:numPr>
          <w:ilvl w:val="0"/>
          <w:numId w:val="2"/>
        </w:numPr>
        <w:spacing w:after="100" w:line="268" w:lineRule="auto"/>
      </w:pPr>
      <w:r>
        <w:t>Promote, don't discount, the 198 low-sales/high-margin brands — the profitability is already there.</w:t>
      </w:r>
    </w:p>
    <w:p w14:paraId="3A8AF2A0" w14:textId="77777777" w:rsidR="00E0223A" w:rsidRDefault="00000000">
      <w:pPr>
        <w:pStyle w:val="ListParagraph"/>
        <w:numPr>
          <w:ilvl w:val="0"/>
          <w:numId w:val="2"/>
        </w:numPr>
        <w:spacing w:after="100" w:line="268" w:lineRule="auto"/>
      </w:pPr>
      <w:r>
        <w:t>Diversify the vendor base. A 65.7% purchase concentration in 10 vendors is a real supply-chain risk.</w:t>
      </w:r>
    </w:p>
    <w:p w14:paraId="7F8AC89A" w14:textId="77777777" w:rsidR="00E0223A" w:rsidRDefault="00000000">
      <w:pPr>
        <w:pStyle w:val="ListParagraph"/>
        <w:numPr>
          <w:ilvl w:val="0"/>
          <w:numId w:val="2"/>
        </w:numPr>
        <w:spacing w:after="100" w:line="268" w:lineRule="auto"/>
      </w:pPr>
      <w:r>
        <w:t>Keep buying in bulk, but pair it with demand forecasting so the 72% unit-cost saving doesn't add to the $2.71M dead-stock problem.</w:t>
      </w:r>
    </w:p>
    <w:p w14:paraId="0A3EAC0B" w14:textId="77777777" w:rsidR="00E0223A" w:rsidRDefault="00000000">
      <w:pPr>
        <w:pStyle w:val="ListParagraph"/>
        <w:numPr>
          <w:ilvl w:val="0"/>
          <w:numId w:val="2"/>
        </w:numPr>
        <w:spacing w:after="100" w:line="268" w:lineRule="auto"/>
      </w:pPr>
      <w:r>
        <w:t>Run a targeted clearance for the specific low-turnover vendors identified, instead of a blanket discount.</w:t>
      </w:r>
    </w:p>
    <w:p w14:paraId="215ACB49" w14:textId="77777777" w:rsidR="00E0223A" w:rsidRDefault="00000000">
      <w:pPr>
        <w:pStyle w:val="ListParagraph"/>
        <w:numPr>
          <w:ilvl w:val="0"/>
          <w:numId w:val="2"/>
        </w:numPr>
        <w:spacing w:after="100" w:line="268" w:lineRule="auto"/>
      </w:pPr>
      <w:r>
        <w:t>Revisit pricing for top vendors. Their margins run ~10 points thinner than low-volume vendors; a small, targeted adjustment on best sellers could recover profit without hurting volume.</w:t>
      </w:r>
    </w:p>
    <w:p w14:paraId="33356638" w14:textId="77777777" w:rsidR="00E0223A" w:rsidRDefault="00E0223A">
      <w:pPr>
        <w:spacing w:after="160"/>
      </w:pPr>
    </w:p>
    <w:p w14:paraId="229F3CC0" w14:textId="77777777" w:rsidR="00E0223A" w:rsidRDefault="00000000">
      <w:pPr>
        <w:pStyle w:val="Heading1"/>
        <w:pBdr>
          <w:bottom w:val="single" w:sz="8" w:space="6" w:color="B8860B"/>
        </w:pBdr>
        <w:spacing w:before="420" w:after="200"/>
      </w:pPr>
      <w:r>
        <w:rPr>
          <w:rFonts w:ascii="Georgia" w:eastAsia="Georgia" w:hAnsi="Georgia" w:cs="Georgia"/>
          <w:b/>
          <w:bCs/>
          <w:color w:val="1F3864"/>
          <w:sz w:val="30"/>
          <w:szCs w:val="30"/>
        </w:rPr>
        <w:t>Limitations &amp; Next Steps</w:t>
      </w:r>
    </w:p>
    <w:p w14:paraId="51EA5363" w14:textId="77777777" w:rsidR="00E0223A" w:rsidRDefault="00000000">
      <w:pPr>
        <w:pStyle w:val="ListParagraph"/>
        <w:numPr>
          <w:ilvl w:val="0"/>
          <w:numId w:val="2"/>
        </w:numPr>
        <w:spacing w:after="100" w:line="268" w:lineRule="auto"/>
      </w:pPr>
      <w:r>
        <w:t>No date field in the summary table — trends over time (seasonality, growth) aren't visible yet. Adding a monthly grain would unlock this.</w:t>
      </w:r>
    </w:p>
    <w:p w14:paraId="258DDB4D" w14:textId="77777777" w:rsidR="00E0223A" w:rsidRDefault="00000000">
      <w:pPr>
        <w:pStyle w:val="ListParagraph"/>
        <w:numPr>
          <w:ilvl w:val="0"/>
          <w:numId w:val="2"/>
        </w:numPr>
        <w:spacing w:after="100" w:line="268" w:lineRule="auto"/>
      </w:pPr>
      <w:r>
        <w:t>“Performance” is judged mainly on margin and volume; adding delivery lead-time data would round out the vendor-risk picture.</w:t>
      </w:r>
    </w:p>
    <w:p w14:paraId="4E22E6BF" w14:textId="77777777" w:rsidR="00E0223A" w:rsidRDefault="00000000">
      <w:pPr>
        <w:pStyle w:val="ListParagraph"/>
        <w:numPr>
          <w:ilvl w:val="0"/>
          <w:numId w:val="2"/>
        </w:numPr>
        <w:spacing w:after="100" w:line="268" w:lineRule="auto"/>
      </w:pPr>
      <w:r>
        <w:t>Thresholds (15th/85th percentile, quartiles) are reasonable defaults, not tuned — worth a sensitivity check.</w:t>
      </w:r>
    </w:p>
    <w:p w14:paraId="2BFB1C0F" w14:textId="77777777" w:rsidR="00E0223A" w:rsidRDefault="00000000">
      <w:pPr>
        <w:pStyle w:val="ListParagraph"/>
        <w:numPr>
          <w:ilvl w:val="0"/>
          <w:numId w:val="2"/>
        </w:numPr>
        <w:spacing w:after="100" w:line="268" w:lineRule="auto"/>
      </w:pPr>
      <w:r>
        <w:t>Filtered-out rows (losses, dead stock) deserve their own follow-up analysis rather than being discarded.</w:t>
      </w:r>
    </w:p>
    <w:p w14:paraId="5B7029CA" w14:textId="77777777" w:rsidR="00E0223A" w:rsidRDefault="00000000">
      <w:pPr>
        <w:pStyle w:val="ListParagraph"/>
        <w:numPr>
          <w:ilvl w:val="0"/>
          <w:numId w:val="2"/>
        </w:numPr>
        <w:spacing w:after="100" w:line="268" w:lineRule="auto"/>
      </w:pPr>
      <w:r>
        <w:t>A vendor segmentation model (clustering on margin, volume, and turnover) would turn this from descriptive into predictive analysis.</w:t>
      </w:r>
    </w:p>
    <w:sectPr w:rsidR="00E0223A">
      <w:headerReference w:type="default" r:id="rId13"/>
      <w:footerReference w:type="default" r:id="rId14"/>
      <w:pgSz w:w="12240" w:h="15840"/>
      <w:pgMar w:top="1300" w:right="1350" w:bottom="120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20EB37" w14:textId="77777777" w:rsidR="004624C9" w:rsidRDefault="004624C9">
      <w:r>
        <w:separator/>
      </w:r>
    </w:p>
  </w:endnote>
  <w:endnote w:type="continuationSeparator" w:id="0">
    <w:p w14:paraId="7BD32E39" w14:textId="77777777" w:rsidR="004624C9" w:rsidRDefault="00462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8A3A6A" w14:textId="04956919" w:rsidR="00E0223A" w:rsidRDefault="00000000">
    <w:pPr>
      <w:pBdr>
        <w:top w:val="single" w:sz="4" w:space="4" w:color="C9D3E0"/>
      </w:pBdr>
      <w:tabs>
        <w:tab w:val="right" w:pos="9026"/>
      </w:tabs>
    </w:pPr>
    <w:r>
      <w:rPr>
        <w:color w:val="44546A"/>
        <w:sz w:val="16"/>
        <w:szCs w:val="16"/>
      </w:rPr>
      <w:t>Prepared for portfolio review</w:t>
    </w:r>
    <w:r>
      <w:rPr>
        <w:color w:val="44546A"/>
        <w:sz w:val="16"/>
        <w:szCs w:val="16"/>
      </w:rPr>
      <w:tab/>
      <w:t xml:space="preserve">Page </w:t>
    </w:r>
    <w:r>
      <w:rPr>
        <w:color w:val="44546A"/>
        <w:sz w:val="16"/>
        <w:szCs w:val="16"/>
      </w:rPr>
      <w:fldChar w:fldCharType="begin"/>
    </w:r>
    <w:r>
      <w:rPr>
        <w:color w:val="44546A"/>
        <w:sz w:val="16"/>
        <w:szCs w:val="16"/>
      </w:rPr>
      <w:instrText>PAGE</w:instrText>
    </w:r>
    <w:r>
      <w:rPr>
        <w:color w:val="44546A"/>
        <w:sz w:val="16"/>
        <w:szCs w:val="16"/>
      </w:rPr>
      <w:fldChar w:fldCharType="separate"/>
    </w:r>
    <w:r w:rsidR="004D07FC">
      <w:rPr>
        <w:noProof/>
        <w:color w:val="44546A"/>
        <w:sz w:val="16"/>
        <w:szCs w:val="16"/>
      </w:rPr>
      <w:t>2</w:t>
    </w:r>
    <w:r>
      <w:rPr>
        <w:color w:val="44546A"/>
        <w:sz w:val="16"/>
        <w:szCs w:val="16"/>
      </w:rPr>
      <w:fldChar w:fldCharType="end"/>
    </w:r>
    <w:r>
      <w:rPr>
        <w:color w:val="44546A"/>
        <w:sz w:val="16"/>
        <w:szCs w:val="16"/>
      </w:rPr>
      <w:t xml:space="preserve"> of </w:t>
    </w:r>
    <w:r>
      <w:rPr>
        <w:color w:val="44546A"/>
        <w:sz w:val="16"/>
        <w:szCs w:val="16"/>
      </w:rPr>
      <w:fldChar w:fldCharType="begin"/>
    </w:r>
    <w:r>
      <w:rPr>
        <w:color w:val="44546A"/>
        <w:sz w:val="16"/>
        <w:szCs w:val="16"/>
      </w:rPr>
      <w:instrText>NUMPAGES</w:instrText>
    </w:r>
    <w:r>
      <w:rPr>
        <w:color w:val="44546A"/>
        <w:sz w:val="16"/>
        <w:szCs w:val="16"/>
      </w:rPr>
      <w:fldChar w:fldCharType="separate"/>
    </w:r>
    <w:r w:rsidR="004D07FC">
      <w:rPr>
        <w:noProof/>
        <w:color w:val="44546A"/>
        <w:sz w:val="16"/>
        <w:szCs w:val="16"/>
      </w:rPr>
      <w:t>3</w:t>
    </w:r>
    <w:r>
      <w:rPr>
        <w:color w:val="4454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FE3628" w14:textId="77777777" w:rsidR="004624C9" w:rsidRDefault="004624C9">
      <w:r>
        <w:separator/>
      </w:r>
    </w:p>
  </w:footnote>
  <w:footnote w:type="continuationSeparator" w:id="0">
    <w:p w14:paraId="5E90689E" w14:textId="77777777" w:rsidR="004624C9" w:rsidRDefault="004624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4ECD97" w14:textId="77777777" w:rsidR="00E0223A" w:rsidRDefault="00000000">
    <w:pPr>
      <w:pBdr>
        <w:bottom w:val="single" w:sz="4" w:space="4" w:color="C9D3E0"/>
      </w:pBdr>
      <w:tabs>
        <w:tab w:val="right" w:pos="9026"/>
      </w:tabs>
    </w:pPr>
    <w:r>
      <w:rPr>
        <w:b/>
        <w:bCs/>
        <w:color w:val="44546A"/>
        <w:sz w:val="16"/>
        <w:szCs w:val="16"/>
      </w:rPr>
      <w:t>VENDOR PERFORMANCE ANALYSIS</w:t>
    </w:r>
    <w:r>
      <w:rPr>
        <w:i/>
        <w:iCs/>
        <w:color w:val="44546A"/>
        <w:sz w:val="16"/>
        <w:szCs w:val="16"/>
      </w:rPr>
      <w:tab/>
      <w:t>Business Intelligence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DF756F"/>
    <w:multiLevelType w:val="hybridMultilevel"/>
    <w:tmpl w:val="F0E4169C"/>
    <w:lvl w:ilvl="0" w:tplc="C1985B74">
      <w:start w:val="1"/>
      <w:numFmt w:val="bullet"/>
      <w:lvlText w:val="●"/>
      <w:lvlJc w:val="left"/>
      <w:pPr>
        <w:ind w:left="720" w:hanging="360"/>
      </w:pPr>
    </w:lvl>
    <w:lvl w:ilvl="1" w:tplc="C30C388A">
      <w:start w:val="1"/>
      <w:numFmt w:val="bullet"/>
      <w:lvlText w:val="○"/>
      <w:lvlJc w:val="left"/>
      <w:pPr>
        <w:ind w:left="1440" w:hanging="360"/>
      </w:pPr>
    </w:lvl>
    <w:lvl w:ilvl="2" w:tplc="6E9CC5AA">
      <w:start w:val="1"/>
      <w:numFmt w:val="bullet"/>
      <w:lvlText w:val="■"/>
      <w:lvlJc w:val="left"/>
      <w:pPr>
        <w:ind w:left="2160" w:hanging="360"/>
      </w:pPr>
    </w:lvl>
    <w:lvl w:ilvl="3" w:tplc="833C0806">
      <w:start w:val="1"/>
      <w:numFmt w:val="bullet"/>
      <w:lvlText w:val="●"/>
      <w:lvlJc w:val="left"/>
      <w:pPr>
        <w:ind w:left="2880" w:hanging="360"/>
      </w:pPr>
    </w:lvl>
    <w:lvl w:ilvl="4" w:tplc="38928BD8">
      <w:start w:val="1"/>
      <w:numFmt w:val="bullet"/>
      <w:lvlText w:val="○"/>
      <w:lvlJc w:val="left"/>
      <w:pPr>
        <w:ind w:left="3600" w:hanging="360"/>
      </w:pPr>
    </w:lvl>
    <w:lvl w:ilvl="5" w:tplc="6A4A2D5C">
      <w:start w:val="1"/>
      <w:numFmt w:val="bullet"/>
      <w:lvlText w:val="■"/>
      <w:lvlJc w:val="left"/>
      <w:pPr>
        <w:ind w:left="4320" w:hanging="360"/>
      </w:pPr>
    </w:lvl>
    <w:lvl w:ilvl="6" w:tplc="A0C42F3A">
      <w:start w:val="1"/>
      <w:numFmt w:val="bullet"/>
      <w:lvlText w:val="●"/>
      <w:lvlJc w:val="left"/>
      <w:pPr>
        <w:ind w:left="5040" w:hanging="360"/>
      </w:pPr>
    </w:lvl>
    <w:lvl w:ilvl="7" w:tplc="145EB7CE">
      <w:start w:val="1"/>
      <w:numFmt w:val="bullet"/>
      <w:lvlText w:val="●"/>
      <w:lvlJc w:val="left"/>
      <w:pPr>
        <w:ind w:left="5760" w:hanging="360"/>
      </w:pPr>
    </w:lvl>
    <w:lvl w:ilvl="8" w:tplc="D9A2BAB8">
      <w:start w:val="1"/>
      <w:numFmt w:val="bullet"/>
      <w:lvlText w:val="●"/>
      <w:lvlJc w:val="left"/>
      <w:pPr>
        <w:ind w:left="6480" w:hanging="360"/>
      </w:pPr>
    </w:lvl>
  </w:abstractNum>
  <w:abstractNum w:abstractNumId="1" w15:restartNumberingAfterBreak="0">
    <w:nsid w:val="7AF679C4"/>
    <w:multiLevelType w:val="hybridMultilevel"/>
    <w:tmpl w:val="4976A6C6"/>
    <w:lvl w:ilvl="0" w:tplc="72BAB4AC">
      <w:start w:val="1"/>
      <w:numFmt w:val="bullet"/>
      <w:lvlText w:val="•"/>
      <w:lvlJc w:val="left"/>
      <w:pPr>
        <w:ind w:left="403" w:hanging="259"/>
      </w:pPr>
      <w:rPr>
        <w:rFonts w:ascii="Calibri" w:eastAsia="Calibri" w:hAnsi="Calibri" w:cs="Calibri"/>
        <w:color w:val="B8860B"/>
      </w:rPr>
    </w:lvl>
    <w:lvl w:ilvl="1" w:tplc="BE72A5D6">
      <w:numFmt w:val="decimal"/>
      <w:lvlText w:val=""/>
      <w:lvlJc w:val="left"/>
    </w:lvl>
    <w:lvl w:ilvl="2" w:tplc="8446E0F4">
      <w:numFmt w:val="decimal"/>
      <w:lvlText w:val=""/>
      <w:lvlJc w:val="left"/>
    </w:lvl>
    <w:lvl w:ilvl="3" w:tplc="707CD27A">
      <w:numFmt w:val="decimal"/>
      <w:lvlText w:val=""/>
      <w:lvlJc w:val="left"/>
    </w:lvl>
    <w:lvl w:ilvl="4" w:tplc="09E63CA0">
      <w:numFmt w:val="decimal"/>
      <w:lvlText w:val=""/>
      <w:lvlJc w:val="left"/>
    </w:lvl>
    <w:lvl w:ilvl="5" w:tplc="497C9548">
      <w:numFmt w:val="decimal"/>
      <w:lvlText w:val=""/>
      <w:lvlJc w:val="left"/>
    </w:lvl>
    <w:lvl w:ilvl="6" w:tplc="72F4790A">
      <w:numFmt w:val="decimal"/>
      <w:lvlText w:val=""/>
      <w:lvlJc w:val="left"/>
    </w:lvl>
    <w:lvl w:ilvl="7" w:tplc="147C189C">
      <w:numFmt w:val="decimal"/>
      <w:lvlText w:val=""/>
      <w:lvlJc w:val="left"/>
    </w:lvl>
    <w:lvl w:ilvl="8" w:tplc="5E4C12D0">
      <w:numFmt w:val="decimal"/>
      <w:lvlText w:val=""/>
      <w:lvlJc w:val="left"/>
    </w:lvl>
  </w:abstractNum>
  <w:num w:numId="1" w16cid:durableId="1468668408">
    <w:abstractNumId w:val="0"/>
    <w:lvlOverride w:ilvl="0">
      <w:startOverride w:val="1"/>
    </w:lvlOverride>
  </w:num>
  <w:num w:numId="2" w16cid:durableId="11331352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23A"/>
    <w:rsid w:val="004624C9"/>
    <w:rsid w:val="004D07FC"/>
    <w:rsid w:val="008C4938"/>
    <w:rsid w:val="00E022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2064901"/>
  <w15:docId w15:val="{6B407334-3885-A740-A4BA-8D69B800B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262626"/>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D07FC"/>
    <w:pPr>
      <w:tabs>
        <w:tab w:val="center" w:pos="4513"/>
        <w:tab w:val="right" w:pos="9026"/>
      </w:tabs>
    </w:pPr>
  </w:style>
  <w:style w:type="character" w:customStyle="1" w:styleId="HeaderChar">
    <w:name w:val="Header Char"/>
    <w:basedOn w:val="DefaultParagraphFont"/>
    <w:link w:val="Header"/>
    <w:uiPriority w:val="99"/>
    <w:rsid w:val="004D07FC"/>
  </w:style>
  <w:style w:type="paragraph" w:styleId="Footer">
    <w:name w:val="footer"/>
    <w:basedOn w:val="Normal"/>
    <w:link w:val="FooterChar"/>
    <w:uiPriority w:val="99"/>
    <w:unhideWhenUsed/>
    <w:rsid w:val="004D07FC"/>
    <w:pPr>
      <w:tabs>
        <w:tab w:val="center" w:pos="4513"/>
        <w:tab w:val="right" w:pos="9026"/>
      </w:tabs>
    </w:pPr>
  </w:style>
  <w:style w:type="character" w:customStyle="1" w:styleId="FooterChar">
    <w:name w:val="Footer Char"/>
    <w:basedOn w:val="DefaultParagraphFont"/>
    <w:link w:val="Footer"/>
    <w:uiPriority w:val="99"/>
    <w:rsid w:val="004D07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1018</Words>
  <Characters>5805</Characters>
  <Application>Microsoft Office Word</Application>
  <DocSecurity>0</DocSecurity>
  <Lines>48</Lines>
  <Paragraphs>13</Paragraphs>
  <ScaleCrop>false</ScaleCrop>
  <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Harshkumar Bharatbhai Patel</cp:lastModifiedBy>
  <cp:revision>3</cp:revision>
  <dcterms:created xsi:type="dcterms:W3CDTF">2026-07-02T05:38:00Z</dcterms:created>
  <dcterms:modified xsi:type="dcterms:W3CDTF">2026-07-02T05:46:00Z</dcterms:modified>
</cp:coreProperties>
</file>