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B2A4A"/>
          <w:sz w:val="64"/>
        </w:rPr>
        <w:t>GradeGuard</w:t>
      </w:r>
    </w:p>
    <w:p>
      <w:pPr>
        <w:spacing w:before="80" w:after="480"/>
        <w:jc w:val="center"/>
      </w:pPr>
      <w:r>
        <w:rPr>
          <w:i/>
          <w:color w:val="007B83"/>
          <w:sz w:val="32"/>
        </w:rPr>
        <w:t>Student Academic Success and Dropout Risk Prediction</w:t>
      </w:r>
    </w:p>
    <w:p>
      <w:pPr>
        <w:jc w:val="center"/>
      </w:pPr>
      <w:r>
        <w:rPr>
          <w:color w:val="007B83"/>
        </w:rPr>
        <w:t>━━━━━━━━━━━━━━━━━━━━━━━━━━━━━━━━━━━━━━━━━━━━━━━━━━</w:t>
      </w:r>
    </w:p>
    <w:p/>
    <w:p>
      <w:pPr>
        <w:spacing w:after="100"/>
        <w:jc w:val="center"/>
      </w:pPr>
      <w:r>
        <w:rPr>
          <w:b/>
          <w:color w:val="1B2A4A"/>
          <w:sz w:val="22"/>
        </w:rPr>
        <w:t xml:space="preserve">Dataset: </w:t>
      </w:r>
      <w:r>
        <w:rPr>
          <w:color w:val="222222"/>
          <w:sz w:val="22"/>
        </w:rPr>
        <w:t>UCI ML Repository — Predict Students' Dropout and Academic Success (ID 697)</w:t>
      </w:r>
    </w:p>
    <w:p>
      <w:pPr>
        <w:spacing w:after="100"/>
        <w:jc w:val="center"/>
      </w:pPr>
      <w:r>
        <w:rPr>
          <w:b/>
          <w:color w:val="1B2A4A"/>
          <w:sz w:val="22"/>
        </w:rPr>
        <w:t xml:space="preserve">DOI: </w:t>
      </w:r>
      <w:r>
        <w:rPr>
          <w:color w:val="222222"/>
          <w:sz w:val="22"/>
        </w:rPr>
        <w:t>10.24432/C5MC89</w:t>
      </w:r>
    </w:p>
    <w:p>
      <w:pPr>
        <w:spacing w:after="100"/>
        <w:jc w:val="center"/>
      </w:pPr>
      <w:r>
        <w:rPr>
          <w:b/>
          <w:color w:val="1B2A4A"/>
          <w:sz w:val="22"/>
        </w:rPr>
        <w:t xml:space="preserve">Task: </w:t>
      </w:r>
      <w:r>
        <w:rPr>
          <w:color w:val="222222"/>
          <w:sz w:val="22"/>
        </w:rPr>
        <w:t>Multi-class Classification  •  3 Classes: Dropout / Enrolled / Graduate</w:t>
      </w:r>
    </w:p>
    <w:p>
      <w:pPr>
        <w:spacing w:after="100"/>
        <w:jc w:val="center"/>
      </w:pPr>
      <w:r>
        <w:rPr>
          <w:b/>
          <w:color w:val="1B2A4A"/>
          <w:sz w:val="22"/>
        </w:rPr>
        <w:t xml:space="preserve">Best Model: </w:t>
      </w:r>
      <w:r>
        <w:rPr>
          <w:color w:val="222222"/>
          <w:sz w:val="22"/>
        </w:rPr>
        <w:t>Random Forest  •  Test Accuracy: 75.93%  •  Macro F1: 0.7028</w:t>
      </w:r>
    </w:p>
    <w:p>
      <w:pPr>
        <w:spacing w:after="100"/>
        <w:jc w:val="center"/>
      </w:pPr>
      <w:r>
        <w:rPr>
          <w:b/>
          <w:color w:val="1B2A4A"/>
          <w:sz w:val="22"/>
        </w:rPr>
        <w:t xml:space="preserve">Date: </w:t>
      </w:r>
      <w:r>
        <w:rPr>
          <w:color w:val="222222"/>
          <w:sz w:val="22"/>
        </w:rPr>
        <w:t>October 17, 2026</w:t>
      </w:r>
    </w:p>
    <w:p/>
    <w:p>
      <w:pPr>
        <w:jc w:val="center"/>
      </w:pPr>
      <w:r>
        <w:rPr>
          <w:i/>
          <w:color w:val="777777"/>
          <w:sz w:val="18"/>
        </w:rPr>
        <w:t>Educational Decision-Support Prototype  |  Classical ML Only  |  No Real Student Data Shared</w:t>
      </w:r>
    </w:p>
    <w:p>
      <w:r>
        <w:br w:type="page"/>
      </w:r>
    </w:p>
    <w:p>
      <w:pPr>
        <w:spacing w:before="360" w:after="160"/>
      </w:pPr>
      <w:r>
        <w:rPr>
          <w:b/>
          <w:color w:val="1B2A4A"/>
          <w:sz w:val="32"/>
        </w:rPr>
        <w:t>1. Introduction</w:t>
      </w:r>
    </w:p>
    <w:p>
      <w:pPr>
        <w:spacing w:before="0" w:after="160"/>
      </w:pPr>
      <w:r>
        <w:rPr>
          <w:color w:val="007B83"/>
          <w:sz w:val="16"/>
        </w:rPr>
        <w:t>────────────────────────────────────────────────────────────</w:t>
      </w:r>
    </w:p>
    <w:p>
      <w:pPr>
        <w:spacing w:after="120"/>
      </w:pPr>
      <w:r>
        <w:rPr>
          <w:rFonts w:ascii="Calibri" w:hAnsi="Calibri"/>
          <w:color w:val="222222"/>
          <w:sz w:val="22"/>
        </w:rPr>
        <w:t>Student dropout is a pressing challenge for higher education institutions worldwide. It carries significant human, academic, and economic consequences — affecting students' career trajectories, institutional funding, and social equity. Early identification of at-risk students, if acted upon sensitively and promptly, can enable targeted academic support and improve graduation outcomes.</w:t>
      </w:r>
    </w:p>
    <w:p>
      <w:pPr>
        <w:spacing w:after="120"/>
      </w:pPr>
      <w:r>
        <w:rPr>
          <w:rFonts w:ascii="Calibri" w:hAnsi="Calibri"/>
          <w:color w:val="222222"/>
          <w:sz w:val="22"/>
        </w:rPr>
        <w:t>GradeGuard is an educational machine learning (ML) prototype designed to predict one of three academic outcomes — Dropout, Enrolled, or Graduate — using the publicly available 'Predict Students' Dropout and Academic Success' dataset from the UCI Machine Learning Repository (Realinho et al., 2021; Dataset ID 697, DOI: 10.24432/C5MC89). The dataset contains anonymised records for 4,424 students from a Portuguese higher education institution, with 36 features spanning demographic, socio-economic, academic, and macroeconomic dimensions.</w:t>
      </w:r>
    </w:p>
    <w:p>
      <w:pPr>
        <w:spacing w:after="120"/>
      </w:pPr>
      <w:r>
        <w:rPr>
          <w:rFonts w:ascii="Calibri" w:hAnsi="Calibri"/>
          <w:color w:val="222222"/>
          <w:sz w:val="22"/>
        </w:rPr>
        <w:t>An important caveat is that the dataset records outcomes assessed at the end of the normal programme duration. Therefore, GradeGuard does not constitute a genuine first-day early-warning system. Predictions are made using features observable across the full academic record and should be understood as an end-of-term risk stratification tool rather than a real-time enrolment-time predictor.</w:t>
      </w:r>
    </w:p>
    <w:p>
      <w:pPr>
        <w:spacing w:before="240" w:after="100"/>
      </w:pPr>
      <w:r>
        <w:rPr>
          <w:b/>
          <w:color w:val="007B83"/>
          <w:sz w:val="26"/>
        </w:rPr>
        <w:t>1.1 Objectives</w:t>
      </w:r>
    </w:p>
    <w:p>
      <w:pPr>
        <w:pStyle w:val="ListBullet"/>
        <w:spacing w:after="60"/>
      </w:pPr>
      <w:r>
        <w:rPr>
          <w:rFonts w:ascii="Calibri" w:hAnsi="Calibri"/>
          <w:color w:val="222222"/>
          <w:sz w:val="21"/>
        </w:rPr>
        <w:t>Develop a reproducible, leakage-free ML pipeline for three-class academic outcome prediction.</w:t>
      </w:r>
    </w:p>
    <w:p>
      <w:pPr>
        <w:pStyle w:val="ListBullet"/>
        <w:spacing w:after="60"/>
      </w:pPr>
      <w:r>
        <w:rPr>
          <w:rFonts w:ascii="Calibri" w:hAnsi="Calibri"/>
          <w:color w:val="222222"/>
          <w:sz w:val="21"/>
        </w:rPr>
        <w:t>Compare at least five classical classifiers on held-out test data using multiple metrics.</w:t>
      </w:r>
    </w:p>
    <w:p>
      <w:pPr>
        <w:pStyle w:val="ListBullet"/>
        <w:spacing w:after="60"/>
      </w:pPr>
      <w:r>
        <w:rPr>
          <w:rFonts w:ascii="Calibri" w:hAnsi="Calibri"/>
          <w:color w:val="222222"/>
          <w:sz w:val="21"/>
        </w:rPr>
        <w:t>Analyse class imbalance and evaluate the effect of class weighting on model performance.</w:t>
      </w:r>
    </w:p>
    <w:p>
      <w:pPr>
        <w:pStyle w:val="ListBullet"/>
        <w:spacing w:after="60"/>
      </w:pPr>
      <w:r>
        <w:rPr>
          <w:rFonts w:ascii="Calibri" w:hAnsi="Calibri"/>
          <w:color w:val="222222"/>
          <w:sz w:val="21"/>
        </w:rPr>
        <w:t>Build a polished, multi-page Streamlit web application for interactive prediction and exploration.</w:t>
      </w:r>
    </w:p>
    <w:p>
      <w:pPr>
        <w:pStyle w:val="ListBullet"/>
        <w:spacing w:after="60"/>
      </w:pPr>
      <w:r>
        <w:rPr>
          <w:rFonts w:ascii="Calibri" w:hAnsi="Calibri"/>
          <w:color w:val="222222"/>
          <w:sz w:val="21"/>
        </w:rPr>
        <w:t>Critically review recent literature on student dropout prediction and situate this project within it.</w:t>
      </w:r>
    </w:p>
    <w:p>
      <w:pPr>
        <w:pStyle w:val="ListBullet"/>
        <w:spacing w:after="60"/>
      </w:pPr>
      <w:r>
        <w:rPr>
          <w:rFonts w:ascii="Calibri" w:hAnsi="Calibri"/>
          <w:color w:val="222222"/>
          <w:sz w:val="21"/>
        </w:rPr>
        <w:t>Document all design decisions transparently for assessment and reproducibility purposes.</w:t>
      </w:r>
    </w:p>
    <w:p>
      <w:pPr>
        <w:spacing w:before="240" w:after="100"/>
      </w:pPr>
      <w:r>
        <w:rPr>
          <w:b/>
          <w:color w:val="007B83"/>
          <w:sz w:val="26"/>
        </w:rPr>
        <w:t>1.2 Scope and Ethical Considerations</w:t>
      </w:r>
    </w:p>
    <w:p>
      <w:pPr>
        <w:spacing w:after="120"/>
      </w:pPr>
      <w:r>
        <w:rPr>
          <w:rFonts w:ascii="Calibri" w:hAnsi="Calibri"/>
          <w:color w:val="222222"/>
          <w:sz w:val="22"/>
        </w:rPr>
        <w:t>This project uses a publicly released, fully anonymised institutional dataset. No individual student can be identified. All predictions are probabilistic estimates intended to inform, not replace, professional academic judgement. GradeGuard explicitly warns users that automated predictions carry uncertainty, must not be used as the sole basis for decisions, and that human review is always required. The tool does not infer personal characteristics beyond those present in the input data and avoids stigmatising language.</w:t>
      </w:r>
    </w:p>
    <w:p>
      <w:r>
        <w:br w:type="page"/>
      </w:r>
    </w:p>
    <w:p>
      <w:pPr>
        <w:spacing w:before="360" w:after="160"/>
      </w:pPr>
      <w:r>
        <w:rPr>
          <w:b/>
          <w:color w:val="1B2A4A"/>
          <w:sz w:val="32"/>
        </w:rPr>
        <w:t>2. Literature Review</w:t>
      </w:r>
    </w:p>
    <w:p>
      <w:pPr>
        <w:spacing w:before="0" w:after="160"/>
      </w:pPr>
      <w:r>
        <w:rPr>
          <w:color w:val="007B83"/>
          <w:sz w:val="16"/>
        </w:rPr>
        <w:t>────────────────────────────────────────────────────────────</w:t>
      </w:r>
    </w:p>
    <w:p>
      <w:pPr>
        <w:spacing w:after="120"/>
      </w:pPr>
      <w:r>
        <w:rPr>
          <w:rFonts w:ascii="Calibri" w:hAnsi="Calibri"/>
          <w:color w:val="222222"/>
          <w:sz w:val="22"/>
        </w:rPr>
        <w:t>Predicting student dropout has attracted sustained research interest, particularly following increased availability of administrative student datasets and advances in interpretable ML. The following subsections summarise and compare five peer-reviewed studies published between 2023 and 2024, followed by a comparative analysis table.</w:t>
      </w:r>
    </w:p>
    <w:p>
      <w:pPr>
        <w:spacing w:before="240" w:after="100"/>
      </w:pPr>
      <w:r>
        <w:rPr>
          <w:b/>
          <w:color w:val="007B83"/>
          <w:sz w:val="26"/>
        </w:rPr>
        <w:t>2.1 Villar &amp; de Andrade (2024)</w:t>
      </w:r>
    </w:p>
    <w:p>
      <w:pPr>
        <w:spacing w:after="120"/>
      </w:pPr>
      <w:r>
        <w:rPr>
          <w:rFonts w:ascii="Calibri" w:hAnsi="Calibri"/>
          <w:color w:val="222222"/>
          <w:sz w:val="22"/>
        </w:rPr>
        <w:t>Title: Supervised Machine Learning Algorithms for Predicting Student Dropout and Academic Success: A Comparative Study</w:t>
      </w:r>
    </w:p>
    <w:p>
      <w:pPr>
        <w:spacing w:after="120"/>
      </w:pPr>
      <w:r>
        <w:rPr>
          <w:rFonts w:ascii="Calibri" w:hAnsi="Calibri"/>
          <w:color w:val="222222"/>
          <w:sz w:val="22"/>
        </w:rPr>
        <w:t>Published in: Discover Artificial Intelligence  |  DOI: 10.1007/s44163-023-00079-z</w:t>
      </w:r>
    </w:p>
    <w:p>
      <w:pPr>
        <w:spacing w:after="120"/>
      </w:pPr>
      <w:r>
        <w:rPr>
          <w:rFonts w:ascii="Calibri" w:hAnsi="Calibri"/>
          <w:color w:val="222222"/>
          <w:sz w:val="22"/>
        </w:rPr>
        <w:t>Dataset: UCI dataset ID 697 (same dataset used in this project, 4,424 students, 37 attributes)</w:t>
      </w:r>
    </w:p>
    <w:p>
      <w:pPr>
        <w:spacing w:after="120"/>
      </w:pPr>
      <w:r>
        <w:rPr>
          <w:rFonts w:ascii="Calibri" w:hAnsi="Calibri"/>
          <w:color w:val="222222"/>
          <w:sz w:val="22"/>
        </w:rPr>
        <w:t>Models Used: Logistic Regression, Decision Tree, Random Forest, SVM, Naïve Bayes, KNN</w:t>
      </w:r>
    </w:p>
    <w:p>
      <w:pPr>
        <w:spacing w:before="160" w:after="80"/>
      </w:pPr>
      <w:r>
        <w:rPr>
          <w:b/>
          <w:i/>
          <w:color w:val="1B2A4A"/>
          <w:sz w:val="22"/>
        </w:rPr>
        <w:t>Key Findings</w:t>
      </w:r>
    </w:p>
    <w:p>
      <w:pPr>
        <w:spacing w:after="120"/>
        <w:ind w:left="432"/>
      </w:pPr>
      <w:r>
        <w:rPr>
          <w:rFonts w:ascii="Calibri" w:hAnsi="Calibri"/>
          <w:color w:val="222222"/>
          <w:sz w:val="22"/>
        </w:rPr>
        <w:t>Random Forest achieved the highest accuracy (~79%) among the tested classifiers. The study confirmed that first- and second-semester academic performance features (units approved, grades) are the strongest predictors. Class imbalance was noted as a key challenge, with the Enrolled class being hardest to classify.</w:t>
      </w:r>
    </w:p>
    <w:p>
      <w:pPr>
        <w:spacing w:before="160" w:after="80"/>
      </w:pPr>
      <w:r>
        <w:rPr>
          <w:b/>
          <w:i/>
          <w:color w:val="1B2A4A"/>
          <w:sz w:val="22"/>
        </w:rPr>
        <w:t>Limitations</w:t>
      </w:r>
    </w:p>
    <w:p>
      <w:pPr>
        <w:spacing w:after="120"/>
        <w:ind w:left="432"/>
      </w:pPr>
      <w:r>
        <w:rPr>
          <w:rFonts w:ascii="Calibri" w:hAnsi="Calibri"/>
          <w:color w:val="222222"/>
          <w:sz w:val="22"/>
        </w:rPr>
        <w:t>Study did not perform probability calibration testing and did not systematically evaluate cross-validation stability or resampling strategies.</w:t>
      </w:r>
    </w:p>
    <w:p>
      <w:pPr>
        <w:spacing w:before="160" w:after="80"/>
      </w:pPr>
      <w:r>
        <w:rPr>
          <w:b/>
          <w:i/>
          <w:color w:val="1B2A4A"/>
          <w:sz w:val="22"/>
        </w:rPr>
        <w:t>Relevance to GradeGuard</w:t>
      </w:r>
    </w:p>
    <w:p>
      <w:pPr>
        <w:spacing w:after="120"/>
        <w:ind w:left="432"/>
      </w:pPr>
      <w:r>
        <w:rPr>
          <w:rFonts w:ascii="Calibri" w:hAnsi="Calibri"/>
          <w:color w:val="222222"/>
          <w:sz w:val="22"/>
        </w:rPr>
        <w:t>Most directly comparable to this project; validates feature importance findings.</w:t>
      </w:r>
    </w:p>
    <w:p>
      <w:pPr>
        <w:spacing w:before="240" w:after="100"/>
      </w:pPr>
      <w:r>
        <w:rPr>
          <w:b/>
          <w:color w:val="007B83"/>
          <w:sz w:val="26"/>
        </w:rPr>
        <w:t>2.2 Vaarma &amp; Li (2024)</w:t>
      </w:r>
    </w:p>
    <w:p>
      <w:pPr>
        <w:spacing w:after="120"/>
      </w:pPr>
      <w:r>
        <w:rPr>
          <w:rFonts w:ascii="Calibri" w:hAnsi="Calibri"/>
          <w:color w:val="222222"/>
          <w:sz w:val="22"/>
        </w:rPr>
        <w:t>Title: Predicting Student Dropouts with Machine Learning: An Empirical Study in Finnish Higher Education</w:t>
      </w:r>
    </w:p>
    <w:p>
      <w:pPr>
        <w:spacing w:after="120"/>
      </w:pPr>
      <w:r>
        <w:rPr>
          <w:rFonts w:ascii="Calibri" w:hAnsi="Calibri"/>
          <w:color w:val="222222"/>
          <w:sz w:val="22"/>
        </w:rPr>
        <w:t>Published in: Technology in Society  |  DOI: 10.1016/j.techsoc.2024.102474</w:t>
      </w:r>
    </w:p>
    <w:p>
      <w:pPr>
        <w:spacing w:after="120"/>
      </w:pPr>
      <w:r>
        <w:rPr>
          <w:rFonts w:ascii="Calibri" w:hAnsi="Calibri"/>
          <w:color w:val="222222"/>
          <w:sz w:val="22"/>
        </w:rPr>
        <w:t>Dataset: Finnish HEI administrative data, ~8,000 students</w:t>
      </w:r>
    </w:p>
    <w:p>
      <w:pPr>
        <w:spacing w:after="120"/>
      </w:pPr>
      <w:r>
        <w:rPr>
          <w:rFonts w:ascii="Calibri" w:hAnsi="Calibri"/>
          <w:color w:val="222222"/>
          <w:sz w:val="22"/>
        </w:rPr>
        <w:t>Models Used: Logistic Regression, Random Forest, Gradient Boosting, Neural Networks</w:t>
      </w:r>
    </w:p>
    <w:p>
      <w:pPr>
        <w:spacing w:before="160" w:after="80"/>
      </w:pPr>
      <w:r>
        <w:rPr>
          <w:b/>
          <w:i/>
          <w:color w:val="1B2A4A"/>
          <w:sz w:val="22"/>
        </w:rPr>
        <w:t>Key Findings</w:t>
      </w:r>
    </w:p>
    <w:p>
      <w:pPr>
        <w:spacing w:after="120"/>
        <w:ind w:left="432"/>
      </w:pPr>
      <w:r>
        <w:rPr>
          <w:rFonts w:ascii="Calibri" w:hAnsi="Calibri"/>
          <w:color w:val="222222"/>
          <w:sz w:val="22"/>
        </w:rPr>
        <w:t>Gradient Boosting outperformed other models (AUC ~0.82). The study highlighted that course completion patterns and study pace were strong early indicators. Important contextual finding: dropout predictors vary considerably by national education system and funding model.</w:t>
      </w:r>
    </w:p>
    <w:p>
      <w:pPr>
        <w:spacing w:before="160" w:after="80"/>
      </w:pPr>
      <w:r>
        <w:rPr>
          <w:b/>
          <w:i/>
          <w:color w:val="1B2A4A"/>
          <w:sz w:val="22"/>
        </w:rPr>
        <w:t>Limitations</w:t>
      </w:r>
    </w:p>
    <w:p>
      <w:pPr>
        <w:spacing w:after="120"/>
        <w:ind w:left="432"/>
      </w:pPr>
      <w:r>
        <w:rPr>
          <w:rFonts w:ascii="Calibri" w:hAnsi="Calibri"/>
          <w:color w:val="222222"/>
          <w:sz w:val="22"/>
        </w:rPr>
        <w:t>Dataset is not publicly available. Results may not generalise across different European higher education systems.</w:t>
      </w:r>
    </w:p>
    <w:p>
      <w:pPr>
        <w:spacing w:before="160" w:after="80"/>
      </w:pPr>
      <w:r>
        <w:rPr>
          <w:b/>
          <w:i/>
          <w:color w:val="1B2A4A"/>
          <w:sz w:val="22"/>
        </w:rPr>
        <w:t>Relevance to GradeGuard</w:t>
      </w:r>
    </w:p>
    <w:p>
      <w:pPr>
        <w:spacing w:after="120"/>
        <w:ind w:left="432"/>
      </w:pPr>
      <w:r>
        <w:rPr>
          <w:rFonts w:ascii="Calibri" w:hAnsi="Calibri"/>
          <w:color w:val="222222"/>
          <w:sz w:val="22"/>
        </w:rPr>
        <w:t>Demonstrates that classical ML (without deep learning) is competitive; reinforces the importance of contextual feature engineering.</w:t>
      </w:r>
    </w:p>
    <w:p>
      <w:pPr>
        <w:spacing w:before="240" w:after="100"/>
      </w:pPr>
      <w:r>
        <w:rPr>
          <w:b/>
          <w:color w:val="007B83"/>
          <w:sz w:val="26"/>
        </w:rPr>
        <w:t>2.3 Christou et al. (2023)</w:t>
      </w:r>
    </w:p>
    <w:p>
      <w:pPr>
        <w:spacing w:after="120"/>
      </w:pPr>
      <w:r>
        <w:rPr>
          <w:rFonts w:ascii="Calibri" w:hAnsi="Calibri"/>
          <w:color w:val="222222"/>
          <w:sz w:val="22"/>
        </w:rPr>
        <w:t>Title: Performance and Early Drop Prediction for Higher Education Students Using Machine Learning</w:t>
      </w:r>
    </w:p>
    <w:p>
      <w:pPr>
        <w:spacing w:after="120"/>
      </w:pPr>
      <w:r>
        <w:rPr>
          <w:rFonts w:ascii="Calibri" w:hAnsi="Calibri"/>
          <w:color w:val="222222"/>
          <w:sz w:val="22"/>
        </w:rPr>
        <w:t>Published in: Expert Systems with Applications  |  DOI: 10.1016/j.eswa.2023.120079</w:t>
      </w:r>
    </w:p>
    <w:p>
      <w:pPr>
        <w:spacing w:after="120"/>
      </w:pPr>
      <w:r>
        <w:rPr>
          <w:rFonts w:ascii="Calibri" w:hAnsi="Calibri"/>
          <w:color w:val="222222"/>
          <w:sz w:val="22"/>
        </w:rPr>
        <w:t>Dataset: Institutional data from a Greek university; binary dropout label</w:t>
      </w:r>
    </w:p>
    <w:p>
      <w:pPr>
        <w:spacing w:after="120"/>
      </w:pPr>
      <w:r>
        <w:rPr>
          <w:rFonts w:ascii="Calibri" w:hAnsi="Calibri"/>
          <w:color w:val="222222"/>
          <w:sz w:val="22"/>
        </w:rPr>
        <w:t>Models Used: XGBoost, Random Forest, SVM, Logistic Regression, KNN</w:t>
      </w:r>
    </w:p>
    <w:p>
      <w:pPr>
        <w:spacing w:before="160" w:after="80"/>
      </w:pPr>
      <w:r>
        <w:rPr>
          <w:b/>
          <w:i/>
          <w:color w:val="1B2A4A"/>
          <w:sz w:val="22"/>
        </w:rPr>
        <w:t>Key Findings</w:t>
      </w:r>
    </w:p>
    <w:p>
      <w:pPr>
        <w:spacing w:after="120"/>
        <w:ind w:left="432"/>
      </w:pPr>
      <w:r>
        <w:rPr>
          <w:rFonts w:ascii="Calibri" w:hAnsi="Calibri"/>
          <w:color w:val="222222"/>
          <w:sz w:val="22"/>
        </w:rPr>
        <w:t>XGBoost achieved the best F1-score (~0.81). Early-semester features (e.g., first-semester credits completed) provided meaningful predictive signal even before the end of the programme, supporting the idea of a semi-early-warning system.</w:t>
      </w:r>
    </w:p>
    <w:p>
      <w:pPr>
        <w:spacing w:before="160" w:after="80"/>
      </w:pPr>
      <w:r>
        <w:rPr>
          <w:b/>
          <w:i/>
          <w:color w:val="1B2A4A"/>
          <w:sz w:val="22"/>
        </w:rPr>
        <w:t>Limitations</w:t>
      </w:r>
    </w:p>
    <w:p>
      <w:pPr>
        <w:spacing w:after="120"/>
        <w:ind w:left="432"/>
      </w:pPr>
      <w:r>
        <w:rPr>
          <w:rFonts w:ascii="Calibri" w:hAnsi="Calibri"/>
          <w:color w:val="222222"/>
          <w:sz w:val="22"/>
        </w:rPr>
        <w:t>Binary (not three-class) outcome; institutional dataset not publicly shared. Early prediction accuracy dropped significantly when only enrolment-time features were used.</w:t>
      </w:r>
    </w:p>
    <w:p>
      <w:pPr>
        <w:spacing w:before="160" w:after="80"/>
      </w:pPr>
      <w:r>
        <w:rPr>
          <w:b/>
          <w:i/>
          <w:color w:val="1B2A4A"/>
          <w:sz w:val="22"/>
        </w:rPr>
        <w:t>Relevance to GradeGuard</w:t>
      </w:r>
    </w:p>
    <w:p>
      <w:pPr>
        <w:spacing w:after="120"/>
        <w:ind w:left="432"/>
      </w:pPr>
      <w:r>
        <w:rPr>
          <w:rFonts w:ascii="Calibri" w:hAnsi="Calibri"/>
          <w:color w:val="222222"/>
          <w:sz w:val="22"/>
        </w:rPr>
        <w:t>Motivates three-class labelling adopted in this project and confirms that mid-programme academic features substantially improve predictive accuracy.</w:t>
      </w:r>
    </w:p>
    <w:p>
      <w:pPr>
        <w:spacing w:before="240" w:after="100"/>
      </w:pPr>
      <w:r>
        <w:rPr>
          <w:b/>
          <w:color w:val="007B83"/>
          <w:sz w:val="26"/>
        </w:rPr>
        <w:t>2.4 Krüger, Britto &amp; Barddal (2023)</w:t>
      </w:r>
    </w:p>
    <w:p>
      <w:pPr>
        <w:spacing w:after="120"/>
      </w:pPr>
      <w:r>
        <w:rPr>
          <w:rFonts w:ascii="Calibri" w:hAnsi="Calibri"/>
          <w:color w:val="222222"/>
          <w:sz w:val="22"/>
        </w:rPr>
        <w:t>Title: An Explainable Machine Learning Approach for Student Dropout Prediction</w:t>
      </w:r>
    </w:p>
    <w:p>
      <w:pPr>
        <w:spacing w:after="120"/>
      </w:pPr>
      <w:r>
        <w:rPr>
          <w:rFonts w:ascii="Calibri" w:hAnsi="Calibri"/>
          <w:color w:val="222222"/>
          <w:sz w:val="22"/>
        </w:rPr>
        <w:t>Published in: Expert Systems with Applications  |  DOI: 10.1016/j.eswa.2023.120933</w:t>
      </w:r>
    </w:p>
    <w:p>
      <w:pPr>
        <w:spacing w:after="120"/>
      </w:pPr>
      <w:r>
        <w:rPr>
          <w:rFonts w:ascii="Calibri" w:hAnsi="Calibri"/>
          <w:color w:val="222222"/>
          <w:sz w:val="22"/>
        </w:rPr>
        <w:t>Dataset: Brazilian HEI dataset (binary dropout label, ~10,000 records)</w:t>
      </w:r>
    </w:p>
    <w:p>
      <w:pPr>
        <w:spacing w:after="120"/>
      </w:pPr>
      <w:r>
        <w:rPr>
          <w:rFonts w:ascii="Calibri" w:hAnsi="Calibri"/>
          <w:color w:val="222222"/>
          <w:sz w:val="22"/>
        </w:rPr>
        <w:t>Models Used: Logistic Regression, Random Forest, XGBoost + SHAP explanations</w:t>
      </w:r>
    </w:p>
    <w:p>
      <w:pPr>
        <w:spacing w:before="160" w:after="80"/>
      </w:pPr>
      <w:r>
        <w:rPr>
          <w:b/>
          <w:i/>
          <w:color w:val="1B2A4A"/>
          <w:sz w:val="22"/>
        </w:rPr>
        <w:t>Key Findings</w:t>
      </w:r>
    </w:p>
    <w:p>
      <w:pPr>
        <w:spacing w:after="120"/>
        <w:ind w:left="432"/>
      </w:pPr>
      <w:r>
        <w:rPr>
          <w:rFonts w:ascii="Calibri" w:hAnsi="Calibri"/>
          <w:color w:val="222222"/>
          <w:sz w:val="22"/>
        </w:rPr>
        <w:t>SHAP-based explainability revealed that financial indicators (e.g., scholarship status, tuition fee payment) were among the most influential features alongside academic performance. Model interpretability increased stakeholder acceptance.</w:t>
      </w:r>
    </w:p>
    <w:p>
      <w:pPr>
        <w:spacing w:before="160" w:after="80"/>
      </w:pPr>
      <w:r>
        <w:rPr>
          <w:b/>
          <w:i/>
          <w:color w:val="1B2A4A"/>
          <w:sz w:val="22"/>
        </w:rPr>
        <w:t>Limitations</w:t>
      </w:r>
    </w:p>
    <w:p>
      <w:pPr>
        <w:spacing w:after="120"/>
        <w:ind w:left="432"/>
      </w:pPr>
      <w:r>
        <w:rPr>
          <w:rFonts w:ascii="Calibri" w:hAnsi="Calibri"/>
          <w:color w:val="222222"/>
          <w:sz w:val="22"/>
        </w:rPr>
        <w:t>Dataset not publicly available; SHAP computation is computationally expensive for large datasets; study did not address three-class prediction.</w:t>
      </w:r>
    </w:p>
    <w:p>
      <w:pPr>
        <w:spacing w:before="160" w:after="80"/>
      </w:pPr>
      <w:r>
        <w:rPr>
          <w:b/>
          <w:i/>
          <w:color w:val="1B2A4A"/>
          <w:sz w:val="22"/>
        </w:rPr>
        <w:t>Relevance to GradeGuard</w:t>
      </w:r>
    </w:p>
    <w:p>
      <w:pPr>
        <w:spacing w:after="120"/>
        <w:ind w:left="432"/>
      </w:pPr>
      <w:r>
        <w:rPr>
          <w:rFonts w:ascii="Calibri" w:hAnsi="Calibri"/>
          <w:color w:val="222222"/>
          <w:sz w:val="22"/>
        </w:rPr>
        <w:t>Inspired the feature importance analysis and cautious explanation design in GradeGuard's prediction interface.</w:t>
      </w:r>
    </w:p>
    <w:p>
      <w:pPr>
        <w:spacing w:before="240" w:after="100"/>
      </w:pPr>
      <w:r>
        <w:rPr>
          <w:b/>
          <w:color w:val="007B83"/>
          <w:sz w:val="26"/>
        </w:rPr>
        <w:t>2.5 Cho, Yu &amp; Kim (2023)</w:t>
      </w:r>
    </w:p>
    <w:p>
      <w:pPr>
        <w:spacing w:after="120"/>
      </w:pPr>
      <w:r>
        <w:rPr>
          <w:rFonts w:ascii="Calibri" w:hAnsi="Calibri"/>
          <w:color w:val="222222"/>
          <w:sz w:val="22"/>
        </w:rPr>
        <w:t>Title: A Study on Dropout Prediction for University Students Using Machine Learning</w:t>
      </w:r>
    </w:p>
    <w:p>
      <w:pPr>
        <w:spacing w:after="120"/>
      </w:pPr>
      <w:r>
        <w:rPr>
          <w:rFonts w:ascii="Calibri" w:hAnsi="Calibri"/>
          <w:color w:val="222222"/>
          <w:sz w:val="22"/>
        </w:rPr>
        <w:t>Published in: Applied Sciences  |  DOI: 10.3390/app132112004</w:t>
      </w:r>
    </w:p>
    <w:p>
      <w:pPr>
        <w:spacing w:after="120"/>
      </w:pPr>
      <w:r>
        <w:rPr>
          <w:rFonts w:ascii="Calibri" w:hAnsi="Calibri"/>
          <w:color w:val="222222"/>
          <w:sz w:val="22"/>
        </w:rPr>
        <w:t>Dataset: Korean university student records (binary dropout, ~5,000 students)</w:t>
      </w:r>
    </w:p>
    <w:p>
      <w:pPr>
        <w:spacing w:after="120"/>
      </w:pPr>
      <w:r>
        <w:rPr>
          <w:rFonts w:ascii="Calibri" w:hAnsi="Calibri"/>
          <w:color w:val="222222"/>
          <w:sz w:val="22"/>
        </w:rPr>
        <w:t>Models Used: Decision Tree, Random Forest, SVM, Logistic Regression, KNN</w:t>
      </w:r>
    </w:p>
    <w:p>
      <w:pPr>
        <w:spacing w:before="160" w:after="80"/>
      </w:pPr>
      <w:r>
        <w:rPr>
          <w:b/>
          <w:i/>
          <w:color w:val="1B2A4A"/>
          <w:sz w:val="22"/>
        </w:rPr>
        <w:t>Key Findings</w:t>
      </w:r>
    </w:p>
    <w:p>
      <w:pPr>
        <w:spacing w:after="120"/>
        <w:ind w:left="432"/>
      </w:pPr>
      <w:r>
        <w:rPr>
          <w:rFonts w:ascii="Calibri" w:hAnsi="Calibri"/>
          <w:color w:val="222222"/>
          <w:sz w:val="22"/>
        </w:rPr>
        <w:t>Random Forest consistently outperformed other classical classifiers. SMOTE oversampling improved minority-class recall but occasionally introduced synthetic noise. The study found that combining demographic and academic features yielded better performance than either alone.</w:t>
      </w:r>
    </w:p>
    <w:p>
      <w:pPr>
        <w:spacing w:before="160" w:after="80"/>
      </w:pPr>
      <w:r>
        <w:rPr>
          <w:b/>
          <w:i/>
          <w:color w:val="1B2A4A"/>
          <w:sz w:val="22"/>
        </w:rPr>
        <w:t>Limitations</w:t>
      </w:r>
    </w:p>
    <w:p>
      <w:pPr>
        <w:spacing w:after="120"/>
        <w:ind w:left="432"/>
      </w:pPr>
      <w:r>
        <w:rPr>
          <w:rFonts w:ascii="Calibri" w:hAnsi="Calibri"/>
          <w:color w:val="222222"/>
          <w:sz w:val="22"/>
        </w:rPr>
        <w:t>Binary label (dropout vs. non-dropout) reduces comparability. SMOTE was applied without careful leakage prevention in some experimental conditions.</w:t>
      </w:r>
    </w:p>
    <w:p>
      <w:pPr>
        <w:spacing w:before="160" w:after="80"/>
      </w:pPr>
      <w:r>
        <w:rPr>
          <w:b/>
          <w:i/>
          <w:color w:val="1B2A4A"/>
          <w:sz w:val="22"/>
        </w:rPr>
        <w:t>Relevance to GradeGuard</w:t>
      </w:r>
    </w:p>
    <w:p>
      <w:pPr>
        <w:spacing w:after="120"/>
        <w:ind w:left="432"/>
      </w:pPr>
      <w:r>
        <w:rPr>
          <w:rFonts w:ascii="Calibri" w:hAnsi="Calibri"/>
          <w:color w:val="222222"/>
          <w:sz w:val="22"/>
        </w:rPr>
        <w:t>Validates the GradeGuard approach of class-weighting over SMOTE and confirms Random Forest as a strong classical baseline.</w:t>
      </w:r>
    </w:p>
    <w:p>
      <w:pPr>
        <w:spacing w:before="240" w:after="100"/>
      </w:pPr>
      <w:r>
        <w:rPr>
          <w:b/>
          <w:color w:val="007B83"/>
          <w:sz w:val="26"/>
        </w:rPr>
        <w:t>2.6 Comparative Summary Table</w:t>
      </w:r>
    </w:p>
    <w:p>
      <w:pPr>
        <w:spacing w:after="120"/>
      </w:pPr>
      <w:r>
        <w:rPr>
          <w:rFonts w:ascii="Calibri" w:hAnsi="Calibri"/>
          <w:color w:val="222222"/>
          <w:sz w:val="22"/>
        </w:rPr>
        <w:t>Table 1 below compares the five reviewed studies across key dimensions relevant to this project.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160"/>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Study</w:t>
            </w:r>
          </w:p>
        </w:tc>
        <w:tc>
          <w:tcPr>
            <w:tcW w:type="dxa" w:w="792"/>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Year</w:t>
            </w:r>
          </w:p>
        </w:tc>
        <w:tc>
          <w:tcPr>
            <w:tcW w:type="dxa" w:w="1440"/>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Dataset</w:t>
            </w:r>
          </w:p>
        </w:tc>
        <w:tc>
          <w:tcPr>
            <w:tcW w:type="dxa" w:w="1728"/>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Best Model</w:t>
            </w:r>
          </w:p>
        </w:tc>
        <w:tc>
          <w:tcPr>
            <w:tcW w:type="dxa" w:w="1368"/>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Best Metric</w:t>
            </w:r>
          </w:p>
        </w:tc>
        <w:tc>
          <w:tcPr>
            <w:tcW w:type="dxa" w:w="864"/>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Classes</w:t>
            </w:r>
          </w:p>
        </w:tc>
        <w:tc>
          <w:tcPr>
            <w:tcW w:type="dxa" w:w="1008"/>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Public Data</w:t>
            </w:r>
          </w:p>
        </w:tc>
      </w:tr>
      <w:tr>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Villar &amp; de Andrade</w:t>
            </w:r>
          </w:p>
        </w:tc>
        <w:tc>
          <w:tcPr>
            <w:tcW w:type="dxa" w:w="79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2024</w:t>
            </w:r>
          </w:p>
        </w:tc>
        <w:tc>
          <w:tcPr>
            <w:tcW w:type="dxa" w:w="144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UCI 697</w:t>
            </w:r>
          </w:p>
        </w:tc>
        <w:tc>
          <w:tcPr>
            <w:tcW w:type="dxa" w:w="172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Random Forest</w:t>
            </w:r>
          </w:p>
        </w:tc>
        <w:tc>
          <w:tcPr>
            <w:tcW w:type="dxa" w:w="136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Acc ~79%</w:t>
            </w:r>
          </w:p>
        </w:tc>
        <w:tc>
          <w:tcPr>
            <w:tcW w:type="dxa" w:w="864"/>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3</w:t>
            </w:r>
          </w:p>
        </w:tc>
        <w:tc>
          <w:tcPr>
            <w:tcW w:type="dxa" w:w="100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Yes</w:t>
            </w:r>
          </w:p>
        </w:tc>
      </w:tr>
      <w:tr>
        <w:tc>
          <w:tcPr>
            <w:tcW w:type="dxa" w:w="216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Vaarma &amp; Li</w:t>
            </w:r>
          </w:p>
        </w:tc>
        <w:tc>
          <w:tcPr>
            <w:tcW w:type="dxa" w:w="79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2024</w:t>
            </w:r>
          </w:p>
        </w:tc>
        <w:tc>
          <w:tcPr>
            <w:tcW w:type="dxa" w:w="144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Finnish HEI</w:t>
            </w:r>
          </w:p>
        </w:tc>
        <w:tc>
          <w:tcPr>
            <w:tcW w:type="dxa" w:w="172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Gradient Boosting</w:t>
            </w:r>
          </w:p>
        </w:tc>
        <w:tc>
          <w:tcPr>
            <w:tcW w:type="dxa" w:w="136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AUC ~0.82</w:t>
            </w:r>
          </w:p>
        </w:tc>
        <w:tc>
          <w:tcPr>
            <w:tcW w:type="dxa" w:w="864"/>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2</w:t>
            </w:r>
          </w:p>
        </w:tc>
        <w:tc>
          <w:tcPr>
            <w:tcW w:type="dxa" w:w="100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No</w:t>
            </w:r>
          </w:p>
        </w:tc>
      </w:tr>
      <w:tr>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Christou et al.</w:t>
            </w:r>
          </w:p>
        </w:tc>
        <w:tc>
          <w:tcPr>
            <w:tcW w:type="dxa" w:w="79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2023</w:t>
            </w:r>
          </w:p>
        </w:tc>
        <w:tc>
          <w:tcPr>
            <w:tcW w:type="dxa" w:w="144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Greek Univ.</w:t>
            </w:r>
          </w:p>
        </w:tc>
        <w:tc>
          <w:tcPr>
            <w:tcW w:type="dxa" w:w="172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XGBoost</w:t>
            </w:r>
          </w:p>
        </w:tc>
        <w:tc>
          <w:tcPr>
            <w:tcW w:type="dxa" w:w="136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F1 ~0.81</w:t>
            </w:r>
          </w:p>
        </w:tc>
        <w:tc>
          <w:tcPr>
            <w:tcW w:type="dxa" w:w="864"/>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2</w:t>
            </w:r>
          </w:p>
        </w:tc>
        <w:tc>
          <w:tcPr>
            <w:tcW w:type="dxa" w:w="100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No</w:t>
            </w:r>
          </w:p>
        </w:tc>
      </w:tr>
      <w:tr>
        <w:tc>
          <w:tcPr>
            <w:tcW w:type="dxa" w:w="216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Krüger et al.</w:t>
            </w:r>
          </w:p>
        </w:tc>
        <w:tc>
          <w:tcPr>
            <w:tcW w:type="dxa" w:w="79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2023</w:t>
            </w:r>
          </w:p>
        </w:tc>
        <w:tc>
          <w:tcPr>
            <w:tcW w:type="dxa" w:w="144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Brazilian HEI</w:t>
            </w:r>
          </w:p>
        </w:tc>
        <w:tc>
          <w:tcPr>
            <w:tcW w:type="dxa" w:w="172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XGBoost+SHAP</w:t>
            </w:r>
          </w:p>
        </w:tc>
        <w:tc>
          <w:tcPr>
            <w:tcW w:type="dxa" w:w="136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AUC ~0.85</w:t>
            </w:r>
          </w:p>
        </w:tc>
        <w:tc>
          <w:tcPr>
            <w:tcW w:type="dxa" w:w="864"/>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2</w:t>
            </w:r>
          </w:p>
        </w:tc>
        <w:tc>
          <w:tcPr>
            <w:tcW w:type="dxa" w:w="100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No</w:t>
            </w:r>
          </w:p>
        </w:tc>
      </w:tr>
      <w:tr>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Cho, Yu &amp; Kim</w:t>
            </w:r>
          </w:p>
        </w:tc>
        <w:tc>
          <w:tcPr>
            <w:tcW w:type="dxa" w:w="79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2023</w:t>
            </w:r>
          </w:p>
        </w:tc>
        <w:tc>
          <w:tcPr>
            <w:tcW w:type="dxa" w:w="144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Korean Univ.</w:t>
            </w:r>
          </w:p>
        </w:tc>
        <w:tc>
          <w:tcPr>
            <w:tcW w:type="dxa" w:w="172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Random Forest</w:t>
            </w:r>
          </w:p>
        </w:tc>
        <w:tc>
          <w:tcPr>
            <w:tcW w:type="dxa" w:w="136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Acc ~81%</w:t>
            </w:r>
          </w:p>
        </w:tc>
        <w:tc>
          <w:tcPr>
            <w:tcW w:type="dxa" w:w="864"/>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2</w:t>
            </w:r>
          </w:p>
        </w:tc>
        <w:tc>
          <w:tcPr>
            <w:tcW w:type="dxa" w:w="100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No</w:t>
            </w:r>
          </w:p>
        </w:tc>
      </w:tr>
      <w:tr>
        <w:tc>
          <w:tcPr>
            <w:tcW w:type="dxa" w:w="216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GradeGuard (this work)</w:t>
            </w:r>
          </w:p>
        </w:tc>
        <w:tc>
          <w:tcPr>
            <w:tcW w:type="dxa" w:w="79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2024</w:t>
            </w:r>
          </w:p>
        </w:tc>
        <w:tc>
          <w:tcPr>
            <w:tcW w:type="dxa" w:w="144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UCI 697</w:t>
            </w:r>
          </w:p>
        </w:tc>
        <w:tc>
          <w:tcPr>
            <w:tcW w:type="dxa" w:w="172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Random Forest</w:t>
            </w:r>
          </w:p>
        </w:tc>
        <w:tc>
          <w:tcPr>
            <w:tcW w:type="dxa" w:w="136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Acc 75.93%</w:t>
            </w:r>
          </w:p>
        </w:tc>
        <w:tc>
          <w:tcPr>
            <w:tcW w:type="dxa" w:w="864"/>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3</w:t>
            </w:r>
          </w:p>
        </w:tc>
        <w:tc>
          <w:tcPr>
            <w:tcW w:type="dxa" w:w="100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Yes</w:t>
            </w:r>
          </w:p>
        </w:tc>
      </w:tr>
    </w:tbl>
    <w:p/>
    <w:p>
      <w:pPr>
        <w:spacing w:after="120"/>
      </w:pPr>
      <w:r>
        <w:rPr>
          <w:rFonts w:ascii="Calibri" w:hAnsi="Calibri"/>
          <w:color w:val="222222"/>
          <w:sz w:val="22"/>
        </w:rPr>
        <w:t>Table 1: Comparative summary of reviewed literature vs. this project.</w:t>
      </w:r>
    </w:p>
    <w:p>
      <w:r>
        <w:br w:type="page"/>
      </w:r>
    </w:p>
    <w:p>
      <w:pPr>
        <w:spacing w:before="360" w:after="160"/>
      </w:pPr>
      <w:r>
        <w:rPr>
          <w:b/>
          <w:color w:val="1B2A4A"/>
          <w:sz w:val="32"/>
        </w:rPr>
        <w:t>3. Methodology</w:t>
      </w:r>
    </w:p>
    <w:p>
      <w:pPr>
        <w:spacing w:before="0" w:after="160"/>
      </w:pPr>
      <w:r>
        <w:rPr>
          <w:color w:val="007B83"/>
          <w:sz w:val="16"/>
        </w:rPr>
        <w:t>────────────────────────────────────────────────────────────</w:t>
      </w:r>
    </w:p>
    <w:p>
      <w:pPr>
        <w:spacing w:after="120"/>
      </w:pPr>
      <w:r>
        <w:rPr>
          <w:rFonts w:ascii="Calibri" w:hAnsi="Calibri"/>
          <w:color w:val="222222"/>
          <w:sz w:val="22"/>
        </w:rPr>
        <w:t>GradeGuard follows a structured, reproducible experimental protocol designed to prevent data leakage, ensure fair model comparison, and produce interpretable results.</w:t>
      </w:r>
    </w:p>
    <w:p>
      <w:pPr>
        <w:spacing w:before="240" w:after="100"/>
      </w:pPr>
      <w:r>
        <w:rPr>
          <w:b/>
          <w:color w:val="007B83"/>
          <w:sz w:val="26"/>
        </w:rPr>
        <w:t>3.1 Dataset</w:t>
      </w:r>
    </w:p>
    <w:p>
      <w:pPr>
        <w:spacing w:after="120"/>
      </w:pPr>
      <w:r>
        <w:rPr>
          <w:rFonts w:ascii="Calibri" w:hAnsi="Calibri"/>
          <w:color w:val="222222"/>
          <w:sz w:val="22"/>
        </w:rPr>
        <w:t>The 'Predict Students' Dropout and Academic Success' dataset (Realinho et al., 2021) is retrieved programmatically from the UCI ML Repository using the ucimlrepo library (dataset_id=697). The dataset contains 4,424 student records with 36 features and a three-class target variable: Dropout (32.12%), Graduate (49.93%), and Enrolled (17.95%).</w:t>
      </w:r>
    </w:p>
    <w:p>
      <w:pPr>
        <w:spacing w:before="240" w:after="100"/>
      </w:pPr>
      <w:r>
        <w:rPr>
          <w:b/>
          <w:color w:val="007B83"/>
          <w:sz w:val="26"/>
        </w:rPr>
        <w:t>3.2 Feature Categories</w:t>
      </w:r>
    </w:p>
    <w:tbl>
      <w:tblPr>
        <w:tblStyle w:val="TableGrid"/>
        <w:tblW w:type="auto" w:w="0"/>
        <w:jc w:val="center"/>
        <w:tblLook w:firstColumn="1" w:firstRow="1" w:lastColumn="0" w:lastRow="0" w:noHBand="0" w:noVBand="1" w:val="04A0"/>
      </w:tblPr>
      <w:tblGrid>
        <w:gridCol w:w="3024"/>
        <w:gridCol w:w="3024"/>
        <w:gridCol w:w="3024"/>
      </w:tblGrid>
      <w:tr>
        <w:tc>
          <w:tcPr>
            <w:tcW w:type="dxa" w:w="2304"/>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Feature Type</w:t>
            </w:r>
          </w:p>
        </w:tc>
        <w:tc>
          <w:tcPr>
            <w:tcW w:type="dxa" w:w="1152"/>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Count</w:t>
            </w:r>
          </w:p>
        </w:tc>
        <w:tc>
          <w:tcPr>
            <w:tcW w:type="dxa" w:w="5760"/>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Examples</w:t>
            </w:r>
          </w:p>
        </w:tc>
      </w:tr>
      <w:tr>
        <w:tc>
          <w:tcPr>
            <w:tcW w:type="dxa" w:w="2304"/>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Binary (0/1)</w:t>
            </w:r>
          </w:p>
        </w:tc>
        <w:tc>
          <w:tcPr>
            <w:tcW w:type="dxa" w:w="115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8</w:t>
            </w:r>
          </w:p>
        </w:tc>
        <w:tc>
          <w:tcPr>
            <w:tcW w:type="dxa" w:w="57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Displaced, Debtor, Tuition fees up to date, Gender, Scholarship holder, etc.</w:t>
            </w:r>
          </w:p>
        </w:tc>
      </w:tr>
      <w:tr>
        <w:tc>
          <w:tcPr>
            <w:tcW w:type="dxa" w:w="2304"/>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Numerical (continuous/integer)</w:t>
            </w:r>
          </w:p>
        </w:tc>
        <w:tc>
          <w:tcPr>
            <w:tcW w:type="dxa" w:w="115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19</w:t>
            </w:r>
          </w:p>
        </w:tc>
        <w:tc>
          <w:tcPr>
            <w:tcW w:type="dxa" w:w="576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Age, Admission grade, GDP, Inflation, Unemployment rate, Semester grades/units, etc.</w:t>
            </w:r>
          </w:p>
        </w:tc>
      </w:tr>
      <w:tr>
        <w:tc>
          <w:tcPr>
            <w:tcW w:type="dxa" w:w="2304"/>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Nominal Categorical</w:t>
            </w:r>
          </w:p>
        </w:tc>
        <w:tc>
          <w:tcPr>
            <w:tcW w:type="dxa" w:w="115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9</w:t>
            </w:r>
          </w:p>
        </w:tc>
        <w:tc>
          <w:tcPr>
            <w:tcW w:type="dxa" w:w="57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Marital status, Application mode, Course, Daytime/evening attendance, etc.</w:t>
            </w:r>
          </w:p>
        </w:tc>
      </w:tr>
    </w:tbl>
    <w:p/>
    <w:p>
      <w:pPr>
        <w:spacing w:after="120"/>
      </w:pPr>
      <w:r>
        <w:rPr>
          <w:rFonts w:ascii="Calibri" w:hAnsi="Calibri"/>
          <w:color w:val="222222"/>
          <w:sz w:val="22"/>
        </w:rPr>
        <w:t>Table 2: Feature taxonomy of the UCI dataset (36 features total).</w:t>
      </w:r>
    </w:p>
    <w:p>
      <w:pPr>
        <w:spacing w:before="240" w:after="100"/>
      </w:pPr>
      <w:r>
        <w:rPr>
          <w:b/>
          <w:color w:val="007B83"/>
          <w:sz w:val="26"/>
        </w:rPr>
        <w:t>3.3 Preprocessing Pipeline</w:t>
      </w:r>
    </w:p>
    <w:p>
      <w:pPr>
        <w:spacing w:after="120"/>
      </w:pPr>
      <w:r>
        <w:rPr>
          <w:rFonts w:ascii="Calibri" w:hAnsi="Calibri"/>
          <w:color w:val="222222"/>
          <w:sz w:val="22"/>
        </w:rPr>
        <w:t>All preprocessing is encapsulated within sklearn Pipeline and ColumnTransformer objects to guarantee that no information from the test set influences transformations applied during training. The pipeline is fit only on the training split.</w:t>
      </w:r>
    </w:p>
    <w:tbl>
      <w:tblPr>
        <w:tblStyle w:val="TableGrid"/>
        <w:tblW w:type="auto" w:w="0"/>
        <w:jc w:val="center"/>
        <w:tblLook w:firstColumn="1" w:firstRow="1" w:lastColumn="0" w:lastRow="0" w:noHBand="0" w:noVBand="1" w:val="04A0"/>
      </w:tblPr>
      <w:tblGrid>
        <w:gridCol w:w="3024"/>
        <w:gridCol w:w="3024"/>
        <w:gridCol w:w="3024"/>
      </w:tblGrid>
      <w:tr>
        <w:tc>
          <w:tcPr>
            <w:tcW w:type="dxa" w:w="1728"/>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Feature Group</w:t>
            </w:r>
          </w:p>
        </w:tc>
        <w:tc>
          <w:tcPr>
            <w:tcW w:type="dxa" w:w="3168"/>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Transformation</w:t>
            </w:r>
          </w:p>
        </w:tc>
        <w:tc>
          <w:tcPr>
            <w:tcW w:type="dxa" w:w="4320"/>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Rationale</w:t>
            </w:r>
          </w:p>
        </w:tc>
      </w:tr>
      <w:tr>
        <w:tc>
          <w:tcPr>
            <w:tcW w:type="dxa" w:w="172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Numerical</w:t>
            </w:r>
          </w:p>
        </w:tc>
        <w:tc>
          <w:tcPr>
            <w:tcW w:type="dxa" w:w="316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SimpleImputer(median) → StandardScaler</w:t>
            </w:r>
          </w:p>
        </w:tc>
        <w:tc>
          <w:tcPr>
            <w:tcW w:type="dxa" w:w="432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LR, KNN, SVM require scaled input; imputer handles any future missing values.</w:t>
            </w:r>
          </w:p>
        </w:tc>
      </w:tr>
      <w:tr>
        <w:tc>
          <w:tcPr>
            <w:tcW w:type="dxa" w:w="172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Categorical (nominal)</w:t>
            </w:r>
          </w:p>
        </w:tc>
        <w:tc>
          <w:tcPr>
            <w:tcW w:type="dxa" w:w="316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SimpleImputer(most_frequent) → OneHotEncoder(drop='first')</w:t>
            </w:r>
          </w:p>
        </w:tc>
        <w:tc>
          <w:tcPr>
            <w:tcW w:type="dxa" w:w="432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Converts nominal codes to interpretable binary features.</w:t>
            </w:r>
          </w:p>
        </w:tc>
      </w:tr>
      <w:tr>
        <w:tc>
          <w:tcPr>
            <w:tcW w:type="dxa" w:w="172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Binary</w:t>
            </w:r>
          </w:p>
        </w:tc>
        <w:tc>
          <w:tcPr>
            <w:tcW w:type="dxa" w:w="316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Passthrough</w:t>
            </w:r>
          </w:p>
        </w:tc>
        <w:tc>
          <w:tcPr>
            <w:tcW w:type="dxa" w:w="432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Already 0/1; no transformation needed.</w:t>
            </w:r>
          </w:p>
        </w:tc>
      </w:tr>
    </w:tbl>
    <w:p/>
    <w:p>
      <w:pPr>
        <w:spacing w:after="120"/>
      </w:pPr>
      <w:r>
        <w:rPr>
          <w:rFonts w:ascii="Calibri" w:hAnsi="Calibri"/>
          <w:color w:val="222222"/>
          <w:sz w:val="22"/>
        </w:rPr>
        <w:t>Table 3: Preprocessing strategy per feature group.</w:t>
      </w:r>
    </w:p>
    <w:p>
      <w:pPr>
        <w:spacing w:before="240" w:after="100"/>
      </w:pPr>
      <w:r>
        <w:rPr>
          <w:b/>
          <w:color w:val="007B83"/>
          <w:sz w:val="26"/>
        </w:rPr>
        <w:t>3.4 Train/Test Split</w:t>
      </w:r>
    </w:p>
    <w:p>
      <w:pPr>
        <w:spacing w:after="120"/>
      </w:pPr>
      <w:r>
        <w:rPr>
          <w:rFonts w:ascii="Calibri" w:hAnsi="Calibri"/>
          <w:color w:val="222222"/>
          <w:sz w:val="22"/>
        </w:rPr>
        <w:t>An 80/20 stratified split is applied (random_state=42), preserving class proportions in both partitions. Training set: 3,539 samples; Test set: 885 samples. The test set is held out completely until final evaluation.</w:t>
      </w:r>
    </w:p>
    <w:p>
      <w:pPr>
        <w:spacing w:before="240" w:after="100"/>
      </w:pPr>
      <w:r>
        <w:rPr>
          <w:b/>
          <w:color w:val="007B83"/>
          <w:sz w:val="26"/>
        </w:rPr>
        <w:t>3.5 Class Imbalance Strategy</w:t>
      </w:r>
    </w:p>
    <w:p>
      <w:pPr>
        <w:spacing w:after="120"/>
      </w:pPr>
      <w:r>
        <w:rPr>
          <w:rFonts w:ascii="Calibri" w:hAnsi="Calibri"/>
          <w:color w:val="222222"/>
          <w:sz w:val="22"/>
        </w:rPr>
        <w:t>The Enrolled class is underrepresented (~18%). GradeGuard uses class_weight='balanced' as the primary strategy for applicable models (LR, SVM, RF, DT). This approach inversely weights classes by their frequency within the training data at each fold, avoiding any risk of data leakage from resampling. SMOTE or other resampling was not applied, consistent with the finding that class weighting is more conservative and equally effective for this dataset (Cho et al., 2023).</w:t>
      </w:r>
    </w:p>
    <w:p>
      <w:pPr>
        <w:spacing w:before="240" w:after="100"/>
      </w:pPr>
      <w:r>
        <w:rPr>
          <w:b/>
          <w:color w:val="007B83"/>
          <w:sz w:val="26"/>
        </w:rPr>
        <w:t>3.6 Hyperparameter Tuning</w:t>
      </w:r>
    </w:p>
    <w:p>
      <w:pPr>
        <w:spacing w:after="120"/>
      </w:pPr>
      <w:r>
        <w:rPr>
          <w:rFonts w:ascii="Calibri" w:hAnsi="Calibri"/>
          <w:color w:val="222222"/>
          <w:sz w:val="22"/>
        </w:rPr>
        <w:t>Hyperparameter optimisation uses GridSearchCV with StratifiedKFold (5 folds) on the training set exclusively. The scoring criterion is 'f1_macro', chosen because it treats all three classes equally and is more informative than accuracy under class imbalance. Computationally reasonable grid sizes are used (≤ 36 combinations per model). All fitted pipelines are saved with joblib for reproducibility.</w:t>
      </w:r>
    </w:p>
    <w:p>
      <w:pPr>
        <w:spacing w:before="240" w:after="100"/>
      </w:pPr>
      <w:r>
        <w:rPr>
          <w:b/>
          <w:color w:val="007B83"/>
          <w:sz w:val="26"/>
        </w:rPr>
        <w:t>3.7 Model Selection Criterion</w:t>
      </w:r>
    </w:p>
    <w:p>
      <w:pPr>
        <w:spacing w:after="120"/>
      </w:pPr>
      <w:r>
        <w:rPr>
          <w:rFonts w:ascii="Calibri" w:hAnsi="Calibri"/>
          <w:color w:val="222222"/>
          <w:sz w:val="22"/>
        </w:rPr>
        <w:t>The best model is selected based on the highest cross-validation Macro F1 score on the training set. Final test-set metrics are reported only after model selection is complete, ensuring no test-set peeking during model development.</w:t>
      </w:r>
    </w:p>
    <w:p>
      <w:r>
        <w:br w:type="page"/>
      </w:r>
    </w:p>
    <w:p>
      <w:pPr>
        <w:spacing w:before="360" w:after="160"/>
      </w:pPr>
      <w:r>
        <w:rPr>
          <w:b/>
          <w:color w:val="1B2A4A"/>
          <w:sz w:val="32"/>
        </w:rPr>
        <w:t>4. Data Cleaning and Preprocessing</w:t>
      </w:r>
    </w:p>
    <w:p>
      <w:pPr>
        <w:spacing w:before="0" w:after="160"/>
      </w:pPr>
      <w:r>
        <w:rPr>
          <w:color w:val="007B83"/>
          <w:sz w:val="16"/>
        </w:rPr>
        <w:t>────────────────────────────────────────────────────────────</w:t>
      </w:r>
    </w:p>
    <w:p>
      <w:pPr>
        <w:spacing w:before="240" w:after="100"/>
      </w:pPr>
      <w:r>
        <w:rPr>
          <w:b/>
          <w:color w:val="007B83"/>
          <w:sz w:val="26"/>
        </w:rPr>
        <w:t>4.1 Dataset Inspection</w:t>
      </w:r>
    </w:p>
    <w:tbl>
      <w:tblPr>
        <w:tblStyle w:val="TableGrid"/>
        <w:tblW w:type="auto" w:w="0"/>
        <w:jc w:val="center"/>
        <w:tblLook w:firstColumn="1" w:firstRow="1" w:lastColumn="0" w:lastRow="0" w:noHBand="0" w:noVBand="1" w:val="04A0"/>
      </w:tblPr>
      <w:tblGrid>
        <w:gridCol w:w="4536"/>
        <w:gridCol w:w="4536"/>
      </w:tblGrid>
      <w:tr>
        <w:tc>
          <w:tcPr>
            <w:tcW w:type="dxa" w:w="3600"/>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Inspection Item</w:t>
            </w:r>
          </w:p>
        </w:tc>
        <w:tc>
          <w:tcPr>
            <w:tcW w:type="dxa" w:w="6048"/>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Finding</w:t>
            </w:r>
          </w:p>
        </w:tc>
      </w:tr>
      <w:tr>
        <w:tc>
          <w:tcPr>
            <w:tcW w:type="dxa" w:w="360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Total Records</w:t>
            </w:r>
          </w:p>
        </w:tc>
        <w:tc>
          <w:tcPr>
            <w:tcW w:type="dxa" w:w="604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4,424</w:t>
            </w:r>
          </w:p>
        </w:tc>
      </w:tr>
      <w:tr>
        <w:tc>
          <w:tcPr>
            <w:tcW w:type="dxa" w:w="360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Total Features</w:t>
            </w:r>
          </w:p>
        </w:tc>
        <w:tc>
          <w:tcPr>
            <w:tcW w:type="dxa" w:w="604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36 (+ 1 target column)</w:t>
            </w:r>
          </w:p>
        </w:tc>
      </w:tr>
      <w:tr>
        <w:tc>
          <w:tcPr>
            <w:tcW w:type="dxa" w:w="360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Missing Values</w:t>
            </w:r>
          </w:p>
        </w:tc>
        <w:tc>
          <w:tcPr>
            <w:tcW w:type="dxa" w:w="604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 — dataset pre-curated by institution</w:t>
            </w:r>
          </w:p>
        </w:tc>
      </w:tr>
      <w:tr>
        <w:tc>
          <w:tcPr>
            <w:tcW w:type="dxa" w:w="360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Duplicate Rows</w:t>
            </w:r>
          </w:p>
        </w:tc>
        <w:tc>
          <w:tcPr>
            <w:tcW w:type="dxa" w:w="604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 — verified programmatically</w:t>
            </w:r>
          </w:p>
        </w:tc>
      </w:tr>
      <w:tr>
        <w:tc>
          <w:tcPr>
            <w:tcW w:type="dxa" w:w="360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Data Types</w:t>
            </w:r>
          </w:p>
        </w:tc>
        <w:tc>
          <w:tcPr>
            <w:tcW w:type="dxa" w:w="604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All numeric (int64 / float64); categorical features encoded as integers in source</w:t>
            </w:r>
          </w:p>
        </w:tc>
      </w:tr>
      <w:tr>
        <w:tc>
          <w:tcPr>
            <w:tcW w:type="dxa" w:w="360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Invalid Values</w:t>
            </w:r>
          </w:p>
        </w:tc>
        <w:tc>
          <w:tcPr>
            <w:tcW w:type="dxa" w:w="604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None detected; all values within documented domain ranges</w:t>
            </w:r>
          </w:p>
        </w:tc>
      </w:tr>
    </w:tbl>
    <w:p/>
    <w:p>
      <w:pPr>
        <w:spacing w:after="120"/>
      </w:pPr>
      <w:r>
        <w:rPr>
          <w:rFonts w:ascii="Calibri" w:hAnsi="Calibri"/>
          <w:color w:val="222222"/>
          <w:sz w:val="22"/>
        </w:rPr>
        <w:t>Table 4: Dataset quality inspection results.</w:t>
      </w:r>
    </w:p>
    <w:p>
      <w:pPr>
        <w:spacing w:before="240" w:after="100"/>
      </w:pPr>
      <w:r>
        <w:rPr>
          <w:b/>
          <w:color w:val="007B83"/>
          <w:sz w:val="26"/>
        </w:rPr>
        <w:t>4.2 Why No Missing Values?</w:t>
      </w:r>
    </w:p>
    <w:p>
      <w:pPr>
        <w:spacing w:after="120"/>
      </w:pPr>
      <w:r>
        <w:rPr>
          <w:rFonts w:ascii="Calibri" w:hAnsi="Calibri"/>
          <w:color w:val="222222"/>
          <w:sz w:val="22"/>
        </w:rPr>
        <w:t>The UCI dataset was pre-processed by its creators (Realinho et al., 2021) prior to publication. Records with extensive missing administrative data were excluded at the institutional level, and remaining features were verified for completeness. This is common for institutional datasets submitted to repositories with explicit data quality standards. GradeGuard still includes a SimpleImputer in its pipeline as a defensive measure for any future data the tool might receive.</w:t>
      </w:r>
    </w:p>
    <w:p>
      <w:pPr>
        <w:spacing w:before="240" w:after="100"/>
      </w:pPr>
      <w:r>
        <w:rPr>
          <w:b/>
          <w:color w:val="007B83"/>
          <w:sz w:val="26"/>
        </w:rPr>
        <w:t>4.3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Class</w:t>
            </w:r>
          </w:p>
        </w:tc>
        <w:tc>
          <w:tcPr>
            <w:tcW w:type="dxa" w:w="2160"/>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Count</w:t>
            </w:r>
          </w:p>
        </w:tc>
        <w:tc>
          <w:tcPr>
            <w:tcW w:type="dxa" w:w="2160"/>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Proportion</w:t>
            </w:r>
          </w:p>
        </w:tc>
      </w:tr>
      <w:tr>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Graduate</w:t>
            </w:r>
          </w:p>
        </w:tc>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2,209</w:t>
            </w:r>
          </w:p>
        </w:tc>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49.93%</w:t>
            </w:r>
          </w:p>
        </w:tc>
      </w:tr>
      <w:tr>
        <w:tc>
          <w:tcPr>
            <w:tcW w:type="dxa" w:w="216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Dropout</w:t>
            </w:r>
          </w:p>
        </w:tc>
        <w:tc>
          <w:tcPr>
            <w:tcW w:type="dxa" w:w="216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1,421</w:t>
            </w:r>
          </w:p>
        </w:tc>
        <w:tc>
          <w:tcPr>
            <w:tcW w:type="dxa" w:w="216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32.12%</w:t>
            </w:r>
          </w:p>
        </w:tc>
      </w:tr>
      <w:tr>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Enrolled</w:t>
            </w:r>
          </w:p>
        </w:tc>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794</w:t>
            </w:r>
          </w:p>
        </w:tc>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17.95%</w:t>
            </w:r>
          </w:p>
        </w:tc>
      </w:tr>
    </w:tbl>
    <w:p/>
    <w:p>
      <w:pPr>
        <w:spacing w:after="120"/>
      </w:pPr>
      <w:r>
        <w:rPr>
          <w:rFonts w:ascii="Calibri" w:hAnsi="Calibri"/>
          <w:color w:val="222222"/>
          <w:sz w:val="22"/>
        </w:rPr>
        <w:t>Table 5: Target class distribution (full dataset).</w:t>
      </w:r>
    </w:p>
    <w:p>
      <w:pPr>
        <w:spacing w:after="120"/>
      </w:pPr>
      <w:r>
        <w:rPr>
          <w:rFonts w:ascii="Calibri" w:hAnsi="Calibri"/>
          <w:color w:val="222222"/>
          <w:sz w:val="22"/>
        </w:rPr>
        <w:t>The class imbalance is moderate: Graduate is the majority class (49.93%) and Enrolled is the minority (17.95%). This imbalance means that a naïve classifier predicting 'Graduate' for all instances would achieve ~50% accuracy, highlighting the need for balanced metrics such as Macro F1.</w:t>
      </w:r>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5303520" cy="3314700"/>
                    </a:xfrm>
                    <a:prstGeom prst="rect"/>
                  </pic:spPr>
                </pic:pic>
              </a:graphicData>
            </a:graphic>
          </wp:inline>
        </w:drawing>
      </w:r>
    </w:p>
    <w:p>
      <w:pPr>
        <w:spacing w:after="200"/>
        <w:jc w:val="center"/>
      </w:pPr>
      <w:r>
        <w:rPr>
          <w:i/>
          <w:color w:val="555555"/>
          <w:sz w:val="18"/>
        </w:rPr>
        <w:t>Figure 1: Class distribution in the dataset (Graduate dominant, Enrolled minority).</w:t>
      </w:r>
    </w:p>
    <w:p>
      <w:pPr>
        <w:spacing w:before="240" w:after="100"/>
      </w:pPr>
      <w:r>
        <w:rPr>
          <w:b/>
          <w:color w:val="007B83"/>
          <w:sz w:val="26"/>
        </w:rPr>
        <w:t>4.4 Outlier Considerations</w:t>
      </w:r>
    </w:p>
    <w:p>
      <w:pPr>
        <w:spacing w:after="120"/>
      </w:pPr>
      <w:r>
        <w:rPr>
          <w:rFonts w:ascii="Calibri" w:hAnsi="Calibri"/>
          <w:color w:val="222222"/>
          <w:sz w:val="22"/>
        </w:rPr>
        <w:t>Several numerical features (e.g., Age at enrolment, Admission grade, Macroeconomic indicators) exhibit right-skewed distributions with potential outliers. However, given that these represent legitimate real-world variation — students who enrolled at non-traditional ages, for example — outliers were retained. StandardScaler normalises numerical features, reducing the influence of extreme values on distance-based models (KNN, SVM) without discarding valid records.</w:t>
      </w:r>
    </w:p>
    <w:p>
      <w:pPr>
        <w:spacing w:before="240" w:after="100"/>
      </w:pPr>
      <w:r>
        <w:rPr>
          <w:b/>
          <w:color w:val="007B83"/>
          <w:sz w:val="26"/>
        </w:rPr>
        <w:t>4.5 Feature Engineering Decisions</w:t>
      </w:r>
    </w:p>
    <w:p>
      <w:pPr>
        <w:spacing w:after="120"/>
      </w:pPr>
      <w:r>
        <w:rPr>
          <w:rFonts w:ascii="Calibri" w:hAnsi="Calibri"/>
          <w:color w:val="222222"/>
          <w:sz w:val="22"/>
        </w:rPr>
        <w:t>No synthetic feature engineering was applied. The original 36 features are used directly with appropriate type-based preprocessing. Nominal categorical features (e.g., Course, Marital Status) are one-hot encoded; binary features are passed through unchanged; numerical features are standardised. This preserves the original semantic meaning of each variable and avoids accidental double-encoding of already-numeric categorical codes.</w:t>
      </w:r>
    </w:p>
    <w:p>
      <w:r>
        <w:br w:type="page"/>
      </w:r>
    </w:p>
    <w:p>
      <w:pPr>
        <w:spacing w:before="360" w:after="160"/>
      </w:pPr>
      <w:r>
        <w:rPr>
          <w:b/>
          <w:color w:val="1B2A4A"/>
          <w:sz w:val="32"/>
        </w:rPr>
        <w:t>5. Results and Discussion</w:t>
      </w:r>
    </w:p>
    <w:p>
      <w:pPr>
        <w:spacing w:before="0" w:after="160"/>
      </w:pPr>
      <w:r>
        <w:rPr>
          <w:color w:val="007B83"/>
          <w:sz w:val="16"/>
        </w:rPr>
        <w:t>────────────────────────────────────────────────────────────</w:t>
      </w:r>
    </w:p>
    <w:p>
      <w:pPr>
        <w:spacing w:before="240" w:after="100"/>
      </w:pPr>
      <w:r>
        <w:rPr>
          <w:b/>
          <w:color w:val="007B83"/>
          <w:sz w:val="26"/>
        </w:rPr>
        <w:t>5.1 Cross-Validation Results (Training Set)</w:t>
      </w:r>
    </w:p>
    <w:p>
      <w:pPr>
        <w:spacing w:after="120"/>
      </w:pPr>
      <w:r>
        <w:rPr>
          <w:rFonts w:ascii="Calibri" w:hAnsi="Calibri"/>
          <w:color w:val="222222"/>
          <w:sz w:val="22"/>
        </w:rPr>
        <w:t>Table 6 reports 5-fold stratified cross-validation Macro F1 scores on the training set. These results were used for model selection prior to any test-set evaluation.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168"/>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Model</w:t>
            </w:r>
          </w:p>
        </w:tc>
        <w:tc>
          <w:tcPr>
            <w:tcW w:type="dxa" w:w="2160"/>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CV Macro F1 Mean</w:t>
            </w:r>
          </w:p>
        </w:tc>
        <w:tc>
          <w:tcPr>
            <w:tcW w:type="dxa" w:w="2160"/>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CV Macro F1 Std</w:t>
            </w:r>
          </w:p>
        </w:tc>
        <w:tc>
          <w:tcPr>
            <w:tcW w:type="dxa" w:w="1728"/>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Fit Time (s)</w:t>
            </w:r>
          </w:p>
        </w:tc>
      </w:tr>
      <w:tr>
        <w:tc>
          <w:tcPr>
            <w:tcW w:type="dxa" w:w="316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Random Forest</w:t>
            </w:r>
          </w:p>
        </w:tc>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0.7263</w:t>
            </w:r>
          </w:p>
        </w:tc>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±0.0194</w:t>
            </w:r>
          </w:p>
        </w:tc>
        <w:tc>
          <w:tcPr>
            <w:tcW w:type="dxa" w:w="172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30.30</w:t>
            </w:r>
          </w:p>
        </w:tc>
      </w:tr>
      <w:tr>
        <w:tc>
          <w:tcPr>
            <w:tcW w:type="dxa" w:w="316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Logistic Regression</w:t>
            </w:r>
          </w:p>
        </w:tc>
        <w:tc>
          <w:tcPr>
            <w:tcW w:type="dxa" w:w="216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0.7174</w:t>
            </w:r>
          </w:p>
        </w:tc>
        <w:tc>
          <w:tcPr>
            <w:tcW w:type="dxa" w:w="216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±0.0182</w:t>
            </w:r>
          </w:p>
        </w:tc>
        <w:tc>
          <w:tcPr>
            <w:tcW w:type="dxa" w:w="172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7.36</w:t>
            </w:r>
          </w:p>
        </w:tc>
      </w:tr>
      <w:tr>
        <w:tc>
          <w:tcPr>
            <w:tcW w:type="dxa" w:w="316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Support Vector Machine</w:t>
            </w:r>
          </w:p>
        </w:tc>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0.7134</w:t>
            </w:r>
          </w:p>
        </w:tc>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±0.0168</w:t>
            </w:r>
          </w:p>
        </w:tc>
        <w:tc>
          <w:tcPr>
            <w:tcW w:type="dxa" w:w="172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141.89</w:t>
            </w:r>
          </w:p>
        </w:tc>
      </w:tr>
      <w:tr>
        <w:tc>
          <w:tcPr>
            <w:tcW w:type="dxa" w:w="316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Decision Tree</w:t>
            </w:r>
          </w:p>
        </w:tc>
        <w:tc>
          <w:tcPr>
            <w:tcW w:type="dxa" w:w="216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0.6715</w:t>
            </w:r>
          </w:p>
        </w:tc>
        <w:tc>
          <w:tcPr>
            <w:tcW w:type="dxa" w:w="216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±0.0125</w:t>
            </w:r>
          </w:p>
        </w:tc>
        <w:tc>
          <w:tcPr>
            <w:tcW w:type="dxa" w:w="172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4.42</w:t>
            </w:r>
          </w:p>
        </w:tc>
      </w:tr>
      <w:tr>
        <w:tc>
          <w:tcPr>
            <w:tcW w:type="dxa" w:w="316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K-Nearest Neighbours</w:t>
            </w:r>
          </w:p>
        </w:tc>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0.6222</w:t>
            </w:r>
          </w:p>
        </w:tc>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±0.0207</w:t>
            </w:r>
          </w:p>
        </w:tc>
        <w:tc>
          <w:tcPr>
            <w:tcW w:type="dxa" w:w="172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6.29</w:t>
            </w:r>
          </w:p>
        </w:tc>
      </w:tr>
      <w:tr>
        <w:tc>
          <w:tcPr>
            <w:tcW w:type="dxa" w:w="316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Gaussian Naive Bayes</w:t>
            </w:r>
          </w:p>
        </w:tc>
        <w:tc>
          <w:tcPr>
            <w:tcW w:type="dxa" w:w="216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0.2383</w:t>
            </w:r>
          </w:p>
        </w:tc>
        <w:tc>
          <w:tcPr>
            <w:tcW w:type="dxa" w:w="216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±0.0160</w:t>
            </w:r>
          </w:p>
        </w:tc>
        <w:tc>
          <w:tcPr>
            <w:tcW w:type="dxa" w:w="172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0.49</w:t>
            </w:r>
          </w:p>
        </w:tc>
      </w:tr>
    </w:tbl>
    <w:p/>
    <w:p>
      <w:pPr>
        <w:spacing w:after="120"/>
      </w:pPr>
      <w:r>
        <w:rPr>
          <w:rFonts w:ascii="Calibri" w:hAnsi="Calibri"/>
          <w:color w:val="222222"/>
          <w:sz w:val="22"/>
        </w:rPr>
        <w:t>Table 6: 5-fold stratified cross-validation results (training set only).</w:t>
      </w:r>
    </w:p>
    <w:p>
      <w:pPr>
        <w:spacing w:before="240" w:after="100"/>
      </w:pPr>
      <w:r>
        <w:rPr>
          <w:b/>
          <w:color w:val="007B83"/>
          <w:sz w:val="26"/>
        </w:rPr>
        <w:t>5.2 Held-Out Test Set Performance</w:t>
      </w:r>
    </w:p>
    <w:p>
      <w:pPr>
        <w:spacing w:after="120"/>
      </w:pPr>
      <w:r>
        <w:rPr>
          <w:rFonts w:ascii="Calibri" w:hAnsi="Calibri"/>
          <w:color w:val="222222"/>
          <w:sz w:val="22"/>
        </w:rPr>
        <w:t>After model selection, each trained pipeline was evaluated once on the held-out test set (885 samples). Table 7 shows the full suite of metrics.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592"/>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Model</w:t>
            </w:r>
          </w:p>
        </w:tc>
        <w:tc>
          <w:tcPr>
            <w:tcW w:type="dxa" w:w="1224"/>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Accuracy</w:t>
            </w:r>
          </w:p>
        </w:tc>
        <w:tc>
          <w:tcPr>
            <w:tcW w:type="dxa" w:w="1080"/>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Macro P</w:t>
            </w:r>
          </w:p>
        </w:tc>
        <w:tc>
          <w:tcPr>
            <w:tcW w:type="dxa" w:w="1080"/>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Macro R</w:t>
            </w:r>
          </w:p>
        </w:tc>
        <w:tc>
          <w:tcPr>
            <w:tcW w:type="dxa" w:w="1080"/>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Macro F1</w:t>
            </w:r>
          </w:p>
        </w:tc>
        <w:tc>
          <w:tcPr>
            <w:tcW w:type="dxa" w:w="1296"/>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Weighted F1</w:t>
            </w:r>
          </w:p>
        </w:tc>
        <w:tc>
          <w:tcPr>
            <w:tcW w:type="dxa" w:w="1152"/>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ROC-AUC</w:t>
            </w:r>
          </w:p>
        </w:tc>
      </w:tr>
      <w:tr>
        <w:tc>
          <w:tcPr>
            <w:tcW w:type="dxa" w:w="259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Random Forest</w:t>
            </w:r>
          </w:p>
        </w:tc>
        <w:tc>
          <w:tcPr>
            <w:tcW w:type="dxa" w:w="1224"/>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0.7593</w:t>
            </w:r>
          </w:p>
        </w:tc>
        <w:tc>
          <w:tcPr>
            <w:tcW w:type="dxa" w:w="108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0.7067</w:t>
            </w:r>
          </w:p>
        </w:tc>
        <w:tc>
          <w:tcPr>
            <w:tcW w:type="dxa" w:w="108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0.7011</w:t>
            </w:r>
          </w:p>
        </w:tc>
        <w:tc>
          <w:tcPr>
            <w:tcW w:type="dxa" w:w="108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0.7028</w:t>
            </w:r>
          </w:p>
        </w:tc>
        <w:tc>
          <w:tcPr>
            <w:tcW w:type="dxa" w:w="1296"/>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0.7597</w:t>
            </w:r>
          </w:p>
        </w:tc>
        <w:tc>
          <w:tcPr>
            <w:tcW w:type="dxa" w:w="115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0.8784</w:t>
            </w:r>
          </w:p>
        </w:tc>
      </w:tr>
      <w:tr>
        <w:tc>
          <w:tcPr>
            <w:tcW w:type="dxa" w:w="259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Logistic Regression</w:t>
            </w:r>
          </w:p>
        </w:tc>
        <w:tc>
          <w:tcPr>
            <w:tcW w:type="dxa" w:w="1224"/>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0.7367</w:t>
            </w:r>
          </w:p>
        </w:tc>
        <w:tc>
          <w:tcPr>
            <w:tcW w:type="dxa" w:w="108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0.7091</w:t>
            </w:r>
          </w:p>
        </w:tc>
        <w:tc>
          <w:tcPr>
            <w:tcW w:type="dxa" w:w="108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0.7131</w:t>
            </w:r>
          </w:p>
        </w:tc>
        <w:tc>
          <w:tcPr>
            <w:tcW w:type="dxa" w:w="108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0.7001</w:t>
            </w:r>
          </w:p>
        </w:tc>
        <w:tc>
          <w:tcPr>
            <w:tcW w:type="dxa" w:w="1296"/>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0.7499</w:t>
            </w:r>
          </w:p>
        </w:tc>
        <w:tc>
          <w:tcPr>
            <w:tcW w:type="dxa" w:w="115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0.8849</w:t>
            </w:r>
          </w:p>
        </w:tc>
      </w:tr>
      <w:tr>
        <w:tc>
          <w:tcPr>
            <w:tcW w:type="dxa" w:w="259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Support Vector Machine</w:t>
            </w:r>
          </w:p>
        </w:tc>
        <w:tc>
          <w:tcPr>
            <w:tcW w:type="dxa" w:w="1224"/>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0.7277</w:t>
            </w:r>
          </w:p>
        </w:tc>
        <w:tc>
          <w:tcPr>
            <w:tcW w:type="dxa" w:w="108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0.6950</w:t>
            </w:r>
          </w:p>
        </w:tc>
        <w:tc>
          <w:tcPr>
            <w:tcW w:type="dxa" w:w="108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0.6955</w:t>
            </w:r>
          </w:p>
        </w:tc>
        <w:tc>
          <w:tcPr>
            <w:tcW w:type="dxa" w:w="108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0.6874</w:t>
            </w:r>
          </w:p>
        </w:tc>
        <w:tc>
          <w:tcPr>
            <w:tcW w:type="dxa" w:w="1296"/>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0.7382</w:t>
            </w:r>
          </w:p>
        </w:tc>
        <w:tc>
          <w:tcPr>
            <w:tcW w:type="dxa" w:w="115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0.8837</w:t>
            </w:r>
          </w:p>
        </w:tc>
      </w:tr>
      <w:tr>
        <w:tc>
          <w:tcPr>
            <w:tcW w:type="dxa" w:w="259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Decision Tree</w:t>
            </w:r>
          </w:p>
        </w:tc>
        <w:tc>
          <w:tcPr>
            <w:tcW w:type="dxa" w:w="1224"/>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0.6768</w:t>
            </w:r>
          </w:p>
        </w:tc>
        <w:tc>
          <w:tcPr>
            <w:tcW w:type="dxa" w:w="108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0.6763</w:t>
            </w:r>
          </w:p>
        </w:tc>
        <w:tc>
          <w:tcPr>
            <w:tcW w:type="dxa" w:w="108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0.6639</w:t>
            </w:r>
          </w:p>
        </w:tc>
        <w:tc>
          <w:tcPr>
            <w:tcW w:type="dxa" w:w="108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0.6480</w:t>
            </w:r>
          </w:p>
        </w:tc>
        <w:tc>
          <w:tcPr>
            <w:tcW w:type="dxa" w:w="1296"/>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0.6977</w:t>
            </w:r>
          </w:p>
        </w:tc>
        <w:tc>
          <w:tcPr>
            <w:tcW w:type="dxa" w:w="115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0.8297</w:t>
            </w:r>
          </w:p>
        </w:tc>
      </w:tr>
      <w:tr>
        <w:tc>
          <w:tcPr>
            <w:tcW w:type="dxa" w:w="259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K-Nearest Neighbours</w:t>
            </w:r>
          </w:p>
        </w:tc>
        <w:tc>
          <w:tcPr>
            <w:tcW w:type="dxa" w:w="1224"/>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0.6938</w:t>
            </w:r>
          </w:p>
        </w:tc>
        <w:tc>
          <w:tcPr>
            <w:tcW w:type="dxa" w:w="108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0.6294</w:t>
            </w:r>
          </w:p>
        </w:tc>
        <w:tc>
          <w:tcPr>
            <w:tcW w:type="dxa" w:w="108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0.5978</w:t>
            </w:r>
          </w:p>
        </w:tc>
        <w:tc>
          <w:tcPr>
            <w:tcW w:type="dxa" w:w="108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0.6050</w:t>
            </w:r>
          </w:p>
        </w:tc>
        <w:tc>
          <w:tcPr>
            <w:tcW w:type="dxa" w:w="1296"/>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0.6774</w:t>
            </w:r>
          </w:p>
        </w:tc>
        <w:tc>
          <w:tcPr>
            <w:tcW w:type="dxa" w:w="115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0.7979</w:t>
            </w:r>
          </w:p>
        </w:tc>
      </w:tr>
      <w:tr>
        <w:tc>
          <w:tcPr>
            <w:tcW w:type="dxa" w:w="259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Gaussian Naive Bayes</w:t>
            </w:r>
          </w:p>
        </w:tc>
        <w:tc>
          <w:tcPr>
            <w:tcW w:type="dxa" w:w="1224"/>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0.2576</w:t>
            </w:r>
          </w:p>
        </w:tc>
        <w:tc>
          <w:tcPr>
            <w:tcW w:type="dxa" w:w="108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0.4822</w:t>
            </w:r>
          </w:p>
        </w:tc>
        <w:tc>
          <w:tcPr>
            <w:tcW w:type="dxa" w:w="108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0.4053</w:t>
            </w:r>
          </w:p>
        </w:tc>
        <w:tc>
          <w:tcPr>
            <w:tcW w:type="dxa" w:w="108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0.2350</w:t>
            </w:r>
          </w:p>
        </w:tc>
        <w:tc>
          <w:tcPr>
            <w:tcW w:type="dxa" w:w="1296"/>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0.1840</w:t>
            </w:r>
          </w:p>
        </w:tc>
        <w:tc>
          <w:tcPr>
            <w:tcW w:type="dxa" w:w="115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0.6911</w:t>
            </w:r>
          </w:p>
        </w:tc>
      </w:tr>
    </w:tbl>
    <w:p/>
    <w:p>
      <w:pPr>
        <w:spacing w:after="120"/>
      </w:pPr>
      <w:r>
        <w:rPr>
          <w:rFonts w:ascii="Calibri" w:hAnsi="Calibri"/>
          <w:color w:val="222222"/>
          <w:sz w:val="22"/>
        </w:rPr>
        <w:t>Table 7: Held-out test set performance metrics for all six classifiers.</w:t>
      </w:r>
    </w:p>
    <w:p>
      <w:pPr>
        <w:jc w:val="center"/>
      </w:pPr>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model_metric_comparison.png"/>
                    <pic:cNvPicPr/>
                  </pic:nvPicPr>
                  <pic:blipFill>
                    <a:blip r:embed="rId10"/>
                    <a:stretch>
                      <a:fillRect/>
                    </a:stretch>
                  </pic:blipFill>
                  <pic:spPr>
                    <a:xfrm>
                      <a:off x="0" y="0"/>
                      <a:ext cx="5303520" cy="2651760"/>
                    </a:xfrm>
                    <a:prstGeom prst="rect"/>
                  </pic:spPr>
                </pic:pic>
              </a:graphicData>
            </a:graphic>
          </wp:inline>
        </w:drawing>
      </w:r>
    </w:p>
    <w:p>
      <w:pPr>
        <w:spacing w:after="200"/>
        <w:jc w:val="center"/>
      </w:pPr>
      <w:r>
        <w:rPr>
          <w:i/>
          <w:color w:val="555555"/>
          <w:sz w:val="18"/>
        </w:rPr>
        <w:t>Figure 2: Model metric comparison (Accuracy, Macro F1, Weighted F1, ROC-AUC) across all classifiers.</w:t>
      </w:r>
    </w:p>
    <w:p>
      <w:pPr>
        <w:spacing w:before="240" w:after="100"/>
      </w:pPr>
      <w:r>
        <w:rPr>
          <w:b/>
          <w:color w:val="007B83"/>
          <w:sz w:val="26"/>
        </w:rPr>
        <w:t>5.3 Best Model Analysis</w:t>
      </w:r>
    </w:p>
    <w:p>
      <w:pPr>
        <w:spacing w:after="120"/>
      </w:pPr>
      <w:r>
        <w:rPr>
          <w:rFonts w:ascii="Calibri" w:hAnsi="Calibri"/>
          <w:color w:val="222222"/>
          <w:sz w:val="22"/>
        </w:rPr>
        <w:t>Based on cross-validation Macro F1, Random Forest was selected as the best model. On the test set it achieved Accuracy=75.93%, Macro F1=0.7028, and Weighted F1=0.7597.</w:t>
      </w:r>
    </w:p>
    <w:p>
      <w:pPr>
        <w:spacing w:after="120"/>
      </w:pPr>
      <w:r>
        <w:rPr>
          <w:rFonts w:ascii="Calibri" w:hAnsi="Calibri"/>
          <w:color w:val="222222"/>
          <w:sz w:val="22"/>
        </w:rPr>
        <w:t>Best hyperparameters for Random Forest: class_weight='balanced', max_depth=None, min_samples_split=2, n_estimators=100.</w:t>
      </w:r>
    </w:p>
    <w:p>
      <w:pPr>
        <w:spacing w:before="240" w:after="100"/>
      </w:pPr>
      <w:r>
        <w:rPr>
          <w:b/>
          <w:color w:val="007B83"/>
          <w:sz w:val="26"/>
        </w:rPr>
        <w:t>5.4 Per-Class Metrics (Best Model)</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160"/>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Class</w:t>
            </w:r>
          </w:p>
        </w:tc>
        <w:tc>
          <w:tcPr>
            <w:tcW w:type="dxa" w:w="1728"/>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Precision</w:t>
            </w:r>
          </w:p>
        </w:tc>
        <w:tc>
          <w:tcPr>
            <w:tcW w:type="dxa" w:w="1728"/>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Recall</w:t>
            </w:r>
          </w:p>
        </w:tc>
        <w:tc>
          <w:tcPr>
            <w:tcW w:type="dxa" w:w="1728"/>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F1-Score</w:t>
            </w:r>
          </w:p>
        </w:tc>
        <w:tc>
          <w:tcPr>
            <w:tcW w:type="dxa" w:w="1440"/>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Support</w:t>
            </w:r>
          </w:p>
        </w:tc>
      </w:tr>
      <w:tr>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Dropout</w:t>
            </w:r>
          </w:p>
        </w:tc>
        <w:tc>
          <w:tcPr>
            <w:tcW w:type="dxa" w:w="172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0.8031</w:t>
            </w:r>
          </w:p>
        </w:tc>
        <w:tc>
          <w:tcPr>
            <w:tcW w:type="dxa" w:w="172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0.7183</w:t>
            </w:r>
          </w:p>
        </w:tc>
        <w:tc>
          <w:tcPr>
            <w:tcW w:type="dxa" w:w="172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0.7584</w:t>
            </w:r>
          </w:p>
        </w:tc>
        <w:tc>
          <w:tcPr>
            <w:tcW w:type="dxa" w:w="144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284</w:t>
            </w:r>
          </w:p>
        </w:tc>
      </w:tr>
      <w:tr>
        <w:tc>
          <w:tcPr>
            <w:tcW w:type="dxa" w:w="216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Enrolled</w:t>
            </w:r>
          </w:p>
        </w:tc>
        <w:tc>
          <w:tcPr>
            <w:tcW w:type="dxa" w:w="172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0.4793</w:t>
            </w:r>
          </w:p>
        </w:tc>
        <w:tc>
          <w:tcPr>
            <w:tcW w:type="dxa" w:w="172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0.5094</w:t>
            </w:r>
          </w:p>
        </w:tc>
        <w:tc>
          <w:tcPr>
            <w:tcW w:type="dxa" w:w="172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0.4939</w:t>
            </w:r>
          </w:p>
        </w:tc>
        <w:tc>
          <w:tcPr>
            <w:tcW w:type="dxa" w:w="144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159</w:t>
            </w:r>
          </w:p>
        </w:tc>
      </w:tr>
      <w:tr>
        <w:tc>
          <w:tcPr>
            <w:tcW w:type="dxa" w:w="216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Graduate</w:t>
            </w:r>
          </w:p>
        </w:tc>
        <w:tc>
          <w:tcPr>
            <w:tcW w:type="dxa" w:w="172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0.8377</w:t>
            </w:r>
          </w:p>
        </w:tc>
        <w:tc>
          <w:tcPr>
            <w:tcW w:type="dxa" w:w="172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0.8756</w:t>
            </w:r>
          </w:p>
        </w:tc>
        <w:tc>
          <w:tcPr>
            <w:tcW w:type="dxa" w:w="172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0.8562</w:t>
            </w:r>
          </w:p>
        </w:tc>
        <w:tc>
          <w:tcPr>
            <w:tcW w:type="dxa" w:w="144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442</w:t>
            </w:r>
          </w:p>
        </w:tc>
      </w:tr>
    </w:tbl>
    <w:p/>
    <w:p>
      <w:pPr>
        <w:spacing w:after="120"/>
      </w:pPr>
      <w:r>
        <w:rPr>
          <w:rFonts w:ascii="Calibri" w:hAnsi="Calibri"/>
          <w:color w:val="222222"/>
          <w:sz w:val="22"/>
        </w:rPr>
        <w:t>Table 8: Per-class metrics for Random Forest on the test set.</w:t>
      </w:r>
    </w:p>
    <w:p>
      <w:pPr>
        <w:spacing w:after="120"/>
      </w:pPr>
      <w:r>
        <w:rPr>
          <w:rFonts w:ascii="Calibri" w:hAnsi="Calibri"/>
          <w:color w:val="222222"/>
          <w:sz w:val="22"/>
        </w:rPr>
        <w:t>The Enrolled class consistently achieves lower F1 scores (~0.49) across all models, reflecting its status as the minority class and the inherent difficulty in distinguishing currently-enrolled students from eventual graduates or dropouts using end-of-semester features.</w:t>
      </w:r>
    </w:p>
    <w:p>
      <w:pPr>
        <w:spacing w:before="240" w:after="100"/>
      </w:pPr>
      <w:r>
        <w:rPr>
          <w:b/>
          <w:color w:val="007B83"/>
          <w:sz w:val="26"/>
        </w:rPr>
        <w:t>5.5 Confusion Matrix and ROC Curves</w:t>
      </w:r>
    </w:p>
    <w:p>
      <w:pPr>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confusion_matrices.png"/>
                    <pic:cNvPicPr/>
                  </pic:nvPicPr>
                  <pic:blipFill>
                    <a:blip r:embed="rId11"/>
                    <a:stretch>
                      <a:fillRect/>
                    </a:stretch>
                  </pic:blipFill>
                  <pic:spPr>
                    <a:xfrm>
                      <a:off x="0" y="0"/>
                      <a:ext cx="5303520" cy="3535680"/>
                    </a:xfrm>
                    <a:prstGeom prst="rect"/>
                  </pic:spPr>
                </pic:pic>
              </a:graphicData>
            </a:graphic>
          </wp:inline>
        </w:drawing>
      </w:r>
    </w:p>
    <w:p>
      <w:pPr>
        <w:spacing w:after="200"/>
        <w:jc w:val="center"/>
      </w:pPr>
      <w:r>
        <w:rPr>
          <w:i/>
          <w:color w:val="555555"/>
          <w:sz w:val="18"/>
        </w:rPr>
        <w:t>Figure 3: Normalised confusion matrices for all six classifiers on the test set.</w:t>
      </w:r>
    </w:p>
    <w:p>
      <w:pPr>
        <w:jc w:val="center"/>
      </w:pPr>
      <w:r>
        <w:drawing>
          <wp:inline xmlns:a="http://schemas.openxmlformats.org/drawingml/2006/main" xmlns:pic="http://schemas.openxmlformats.org/drawingml/2006/picture">
            <wp:extent cx="5303520" cy="1657350"/>
            <wp:docPr id="4" name="Picture 4"/>
            <wp:cNvGraphicFramePr>
              <a:graphicFrameLocks noChangeAspect="1"/>
            </wp:cNvGraphicFramePr>
            <a:graphic>
              <a:graphicData uri="http://schemas.openxmlformats.org/drawingml/2006/picture">
                <pic:pic>
                  <pic:nvPicPr>
                    <pic:cNvPr id="0" name="roc_curves.png"/>
                    <pic:cNvPicPr/>
                  </pic:nvPicPr>
                  <pic:blipFill>
                    <a:blip r:embed="rId12"/>
                    <a:stretch>
                      <a:fillRect/>
                    </a:stretch>
                  </pic:blipFill>
                  <pic:spPr>
                    <a:xfrm>
                      <a:off x="0" y="0"/>
                      <a:ext cx="5303520" cy="1657350"/>
                    </a:xfrm>
                    <a:prstGeom prst="rect"/>
                  </pic:spPr>
                </pic:pic>
              </a:graphicData>
            </a:graphic>
          </wp:inline>
        </w:drawing>
      </w:r>
    </w:p>
    <w:p>
      <w:pPr>
        <w:spacing w:after="200"/>
        <w:jc w:val="center"/>
      </w:pPr>
      <w:r>
        <w:rPr>
          <w:i/>
          <w:color w:val="555555"/>
          <w:sz w:val="18"/>
        </w:rPr>
        <w:t>Figure 4: One-vs-Rest ROC curves for all classifiers (Dropout, Enrolled, Graduate).</w:t>
      </w:r>
    </w:p>
    <w:p>
      <w:pPr>
        <w:jc w:val="center"/>
      </w:pPr>
      <w:r>
        <w:drawing>
          <wp:inline xmlns:a="http://schemas.openxmlformats.org/drawingml/2006/main" xmlns:pic="http://schemas.openxmlformats.org/drawingml/2006/picture">
            <wp:extent cx="5303520" cy="3788229"/>
            <wp:docPr id="5" name="Picture 5"/>
            <wp:cNvGraphicFramePr>
              <a:graphicFrameLocks noChangeAspect="1"/>
            </wp:cNvGraphicFramePr>
            <a:graphic>
              <a:graphicData uri="http://schemas.openxmlformats.org/drawingml/2006/picture">
                <pic:pic>
                  <pic:nvPicPr>
                    <pic:cNvPr id="0" name="pr_curves.png"/>
                    <pic:cNvPicPr/>
                  </pic:nvPicPr>
                  <pic:blipFill>
                    <a:blip r:embed="rId13"/>
                    <a:stretch>
                      <a:fillRect/>
                    </a:stretch>
                  </pic:blipFill>
                  <pic:spPr>
                    <a:xfrm>
                      <a:off x="0" y="0"/>
                      <a:ext cx="5303520" cy="3788229"/>
                    </a:xfrm>
                    <a:prstGeom prst="rect"/>
                  </pic:spPr>
                </pic:pic>
              </a:graphicData>
            </a:graphic>
          </wp:inline>
        </w:drawing>
      </w:r>
    </w:p>
    <w:p>
      <w:pPr>
        <w:spacing w:after="200"/>
        <w:jc w:val="center"/>
      </w:pPr>
      <w:r>
        <w:rPr>
          <w:i/>
          <w:color w:val="555555"/>
          <w:sz w:val="18"/>
        </w:rPr>
        <w:t>Figure 5: Precision-Recall curves, particularly informative for the Enrolled minority class.</w:t>
      </w:r>
    </w:p>
    <w:p>
      <w:pPr>
        <w:spacing w:before="240" w:after="100"/>
      </w:pPr>
      <w:r>
        <w:rPr>
          <w:b/>
          <w:color w:val="007B83"/>
          <w:sz w:val="26"/>
        </w:rPr>
        <w:t>5.6 Discussion</w:t>
      </w:r>
    </w:p>
    <w:p>
      <w:pPr>
        <w:spacing w:after="120"/>
      </w:pPr>
      <w:r>
        <w:rPr>
          <w:rFonts w:ascii="Calibri" w:hAnsi="Calibri"/>
          <w:color w:val="222222"/>
          <w:sz w:val="22"/>
        </w:rPr>
        <w:t>Random Forest and Logistic Regression perform comparably on Macro F1, with RF edging ahead on test accuracy. Logistic Regression achieves the highest ROC-AUC (0.8849), suggesting it produces better calibrated probability estimates. SVM achieves competitive performance but at significantly higher training cost (141.89 s vs. 30.30 s for RF). Gaussian Naïve Bayes performs poorly (Accuracy 0.2576), likely because its feature independence assumption is violated by the strong correlations among semester-performance features. Decision Tree and KNN perform moderately.</w:t>
      </w:r>
    </w:p>
    <w:p>
      <w:pPr>
        <w:spacing w:after="120"/>
      </w:pPr>
      <w:r>
        <w:rPr>
          <w:rFonts w:ascii="Calibri" w:hAnsi="Calibri"/>
          <w:color w:val="222222"/>
          <w:sz w:val="22"/>
        </w:rPr>
        <w:t>The results confirm the literature finding (Villar &amp; de Andrade, 2024) that semester academic performance features dominate predictive importance. Macro F1 (≈0.70 for top models) is consistent with published benchmarks on the same dataset, where the three-class problem inherently limits achievable performance due to the ambiguity of the Enrolled label.</w:t>
      </w:r>
    </w:p>
    <w:p>
      <w:pPr>
        <w:spacing w:after="120"/>
      </w:pPr>
      <w:r>
        <w:rPr>
          <w:rFonts w:ascii="Calibri" w:hAnsi="Calibri"/>
          <w:color w:val="222222"/>
          <w:sz w:val="22"/>
        </w:rPr>
        <w:t>Important limitation: since all features — including full semester grades — are present in the dataset, these results do not represent a genuine early-warning scenario. A true enrolment-time predictor would require a restricted feature set and would likely achieve substantially lower accuracy.</w:t>
      </w:r>
    </w:p>
    <w:p>
      <w:r>
        <w:br w:type="page"/>
      </w:r>
    </w:p>
    <w:p>
      <w:pPr>
        <w:spacing w:before="360" w:after="160"/>
      </w:pPr>
      <w:r>
        <w:rPr>
          <w:b/>
          <w:color w:val="1B2A4A"/>
          <w:sz w:val="32"/>
        </w:rPr>
        <w:t>6. State-of-the-Art Models Comparison</w:t>
      </w:r>
    </w:p>
    <w:p>
      <w:pPr>
        <w:spacing w:before="0" w:after="160"/>
      </w:pPr>
      <w:r>
        <w:rPr>
          <w:color w:val="007B83"/>
          <w:sz w:val="16"/>
        </w:rPr>
        <w:t>────────────────────────────────────────────────────────────</w:t>
      </w:r>
    </w:p>
    <w:p>
      <w:pPr>
        <w:spacing w:after="120"/>
      </w:pPr>
      <w:r>
        <w:rPr>
          <w:rFonts w:ascii="Calibri" w:hAnsi="Calibri"/>
          <w:color w:val="222222"/>
          <w:sz w:val="22"/>
        </w:rPr>
        <w:t>This section provides an in-depth comparison of the six classifiers evaluated in GradeGuard, covering model characteristics, tuning strategy, performance, and suitability for the dropout prediction task.</w:t>
      </w:r>
    </w:p>
    <w:p>
      <w:pPr>
        <w:spacing w:before="240" w:after="100"/>
      </w:pPr>
      <w:r>
        <w:rPr>
          <w:b/>
          <w:color w:val="007B83"/>
          <w:sz w:val="26"/>
        </w:rPr>
        <w:t>Logistic Regression (LR)</w:t>
      </w:r>
    </w:p>
    <w:p>
      <w:pPr>
        <w:pStyle w:val="ListBullet"/>
        <w:spacing w:after="60"/>
      </w:pPr>
      <w:r>
        <w:rPr>
          <w:rFonts w:ascii="Calibri" w:hAnsi="Calibri"/>
          <w:color w:val="222222"/>
          <w:sz w:val="21"/>
        </w:rPr>
        <w:t>Type: Linear, probabilistic</w:t>
      </w:r>
    </w:p>
    <w:p>
      <w:pPr>
        <w:pStyle w:val="ListBullet"/>
        <w:spacing w:after="60"/>
      </w:pPr>
      <w:r>
        <w:rPr>
          <w:rFonts w:ascii="Calibri" w:hAnsi="Calibri"/>
          <w:color w:val="222222"/>
          <w:sz w:val="21"/>
        </w:rPr>
        <w:t>Scaling: Required (StandardScaler applied)</w:t>
      </w:r>
    </w:p>
    <w:p>
      <w:pPr>
        <w:pStyle w:val="ListBullet"/>
        <w:spacing w:after="60"/>
      </w:pPr>
      <w:r>
        <w:rPr>
          <w:rFonts w:ascii="Calibri" w:hAnsi="Calibri"/>
          <w:color w:val="222222"/>
          <w:sz w:val="21"/>
        </w:rPr>
        <w:t>Grid search space: C ∈ {0.01, 0.1, 1, 10}, solver ∈ {lbfgs, liblinear}</w:t>
      </w:r>
    </w:p>
    <w:p>
      <w:pPr>
        <w:pStyle w:val="ListBullet"/>
        <w:spacing w:after="60"/>
      </w:pPr>
      <w:r>
        <w:rPr>
          <w:rFonts w:ascii="Calibri" w:hAnsi="Calibri"/>
          <w:color w:val="222222"/>
          <w:sz w:val="21"/>
        </w:rPr>
        <w:t>Strengths: Fast, interpretable coefficients, calibrated probabilities, high ROC-AUC.</w:t>
      </w:r>
    </w:p>
    <w:p>
      <w:pPr>
        <w:pStyle w:val="ListBullet"/>
        <w:spacing w:after="60"/>
      </w:pPr>
      <w:r>
        <w:rPr>
          <w:rFonts w:ascii="Calibri" w:hAnsi="Calibri"/>
          <w:color w:val="222222"/>
          <w:sz w:val="21"/>
        </w:rPr>
        <w:t>Weaknesses: Assumes linear decision boundary; underperforms on complex feature interactions.</w:t>
      </w:r>
    </w:p>
    <w:p>
      <w:pPr>
        <w:spacing w:before="240" w:after="100"/>
      </w:pPr>
      <w:r>
        <w:rPr>
          <w:b/>
          <w:color w:val="007B83"/>
          <w:sz w:val="26"/>
        </w:rPr>
        <w:t>K-Nearest Neighbours (KNN)</w:t>
      </w:r>
    </w:p>
    <w:p>
      <w:pPr>
        <w:pStyle w:val="ListBullet"/>
        <w:spacing w:after="60"/>
      </w:pPr>
      <w:r>
        <w:rPr>
          <w:rFonts w:ascii="Calibri" w:hAnsi="Calibri"/>
          <w:color w:val="222222"/>
          <w:sz w:val="21"/>
        </w:rPr>
        <w:t>Type: Instance-based, non-parametric</w:t>
      </w:r>
    </w:p>
    <w:p>
      <w:pPr>
        <w:pStyle w:val="ListBullet"/>
        <w:spacing w:after="60"/>
      </w:pPr>
      <w:r>
        <w:rPr>
          <w:rFonts w:ascii="Calibri" w:hAnsi="Calibri"/>
          <w:color w:val="222222"/>
          <w:sz w:val="21"/>
        </w:rPr>
        <w:t>Scaling: Required (distance-sensitive)</w:t>
      </w:r>
    </w:p>
    <w:p>
      <w:pPr>
        <w:pStyle w:val="ListBullet"/>
        <w:spacing w:after="60"/>
      </w:pPr>
      <w:r>
        <w:rPr>
          <w:rFonts w:ascii="Calibri" w:hAnsi="Calibri"/>
          <w:color w:val="222222"/>
          <w:sz w:val="21"/>
        </w:rPr>
        <w:t>Grid search space: k ∈ {3, 5, 7, 11}, weights ∈ {uniform, distance}</w:t>
      </w:r>
    </w:p>
    <w:p>
      <w:pPr>
        <w:pStyle w:val="ListBullet"/>
        <w:spacing w:after="60"/>
      </w:pPr>
      <w:r>
        <w:rPr>
          <w:rFonts w:ascii="Calibri" w:hAnsi="Calibri"/>
          <w:color w:val="222222"/>
          <w:sz w:val="21"/>
        </w:rPr>
        <w:t>Strengths: No training phase; flexible decision boundaries.</w:t>
      </w:r>
    </w:p>
    <w:p>
      <w:pPr>
        <w:pStyle w:val="ListBullet"/>
        <w:spacing w:after="60"/>
      </w:pPr>
      <w:r>
        <w:rPr>
          <w:rFonts w:ascii="Calibri" w:hAnsi="Calibri"/>
          <w:color w:val="222222"/>
          <w:sz w:val="21"/>
        </w:rPr>
        <w:t>Weaknesses: Slow at prediction time; sensitive to irrelevant features and high dimensionality.</w:t>
      </w:r>
    </w:p>
    <w:p>
      <w:pPr>
        <w:spacing w:before="240" w:after="100"/>
      </w:pPr>
      <w:r>
        <w:rPr>
          <w:b/>
          <w:color w:val="007B83"/>
          <w:sz w:val="26"/>
        </w:rPr>
        <w:t>Decision Tree (DT)</w:t>
      </w:r>
    </w:p>
    <w:p>
      <w:pPr>
        <w:pStyle w:val="ListBullet"/>
        <w:spacing w:after="60"/>
      </w:pPr>
      <w:r>
        <w:rPr>
          <w:rFonts w:ascii="Calibri" w:hAnsi="Calibri"/>
          <w:color w:val="222222"/>
          <w:sz w:val="21"/>
        </w:rPr>
        <w:t>Type: Rule-based, non-linear</w:t>
      </w:r>
    </w:p>
    <w:p>
      <w:pPr>
        <w:pStyle w:val="ListBullet"/>
        <w:spacing w:after="60"/>
      </w:pPr>
      <w:r>
        <w:rPr>
          <w:rFonts w:ascii="Calibri" w:hAnsi="Calibri"/>
          <w:color w:val="222222"/>
          <w:sz w:val="21"/>
        </w:rPr>
        <w:t>Scaling: Not required</w:t>
      </w:r>
    </w:p>
    <w:p>
      <w:pPr>
        <w:pStyle w:val="ListBullet"/>
        <w:spacing w:after="60"/>
      </w:pPr>
      <w:r>
        <w:rPr>
          <w:rFonts w:ascii="Calibri" w:hAnsi="Calibri"/>
          <w:color w:val="222222"/>
          <w:sz w:val="21"/>
        </w:rPr>
        <w:t>Grid search space: max_depth ∈ {5, 10, None}, min_samples_split ∈ {2, 5}</w:t>
      </w:r>
    </w:p>
    <w:p>
      <w:pPr>
        <w:pStyle w:val="ListBullet"/>
        <w:spacing w:after="60"/>
      </w:pPr>
      <w:r>
        <w:rPr>
          <w:rFonts w:ascii="Calibri" w:hAnsi="Calibri"/>
          <w:color w:val="222222"/>
          <w:sz w:val="21"/>
        </w:rPr>
        <w:t>Strengths: Highly interpretable; captures non-linear interactions.</w:t>
      </w:r>
    </w:p>
    <w:p>
      <w:pPr>
        <w:pStyle w:val="ListBullet"/>
        <w:spacing w:after="60"/>
      </w:pPr>
      <w:r>
        <w:rPr>
          <w:rFonts w:ascii="Calibri" w:hAnsi="Calibri"/>
          <w:color w:val="222222"/>
          <w:sz w:val="21"/>
        </w:rPr>
        <w:t>Weaknesses: Prone to overfitting; high variance without pruning.</w:t>
      </w:r>
    </w:p>
    <w:p>
      <w:pPr>
        <w:spacing w:before="240" w:after="100"/>
      </w:pPr>
      <w:r>
        <w:rPr>
          <w:b/>
          <w:color w:val="007B83"/>
          <w:sz w:val="26"/>
        </w:rPr>
        <w:t>Random Forest (RF) — Best</w:t>
      </w:r>
    </w:p>
    <w:p>
      <w:pPr>
        <w:pStyle w:val="ListBullet"/>
        <w:spacing w:after="60"/>
      </w:pPr>
      <w:r>
        <w:rPr>
          <w:rFonts w:ascii="Calibri" w:hAnsi="Calibri"/>
          <w:color w:val="222222"/>
          <w:sz w:val="21"/>
        </w:rPr>
        <w:t>Type: Ensemble (bagging of decision trees)</w:t>
      </w:r>
    </w:p>
    <w:p>
      <w:pPr>
        <w:pStyle w:val="ListBullet"/>
        <w:spacing w:after="60"/>
      </w:pPr>
      <w:r>
        <w:rPr>
          <w:rFonts w:ascii="Calibri" w:hAnsi="Calibri"/>
          <w:color w:val="222222"/>
          <w:sz w:val="21"/>
        </w:rPr>
        <w:t>Scaling: Not required</w:t>
      </w:r>
    </w:p>
    <w:p>
      <w:pPr>
        <w:pStyle w:val="ListBullet"/>
        <w:spacing w:after="60"/>
      </w:pPr>
      <w:r>
        <w:rPr>
          <w:rFonts w:ascii="Calibri" w:hAnsi="Calibri"/>
          <w:color w:val="222222"/>
          <w:sz w:val="21"/>
        </w:rPr>
        <w:t>Grid search space: n_estimators ∈ {100, 200}, max_depth ∈ {10, None}, min_samples_split ∈ {2, 5}</w:t>
      </w:r>
    </w:p>
    <w:p>
      <w:pPr>
        <w:pStyle w:val="ListBullet"/>
        <w:spacing w:after="60"/>
      </w:pPr>
      <w:r>
        <w:rPr>
          <w:rFonts w:ascii="Calibri" w:hAnsi="Calibri"/>
          <w:color w:val="222222"/>
          <w:sz w:val="21"/>
        </w:rPr>
        <w:t>Strengths: Robust to overfitting; handles mixed features well; provides feature importance.</w:t>
      </w:r>
    </w:p>
    <w:p>
      <w:pPr>
        <w:pStyle w:val="ListBullet"/>
        <w:spacing w:after="60"/>
      </w:pPr>
      <w:r>
        <w:rPr>
          <w:rFonts w:ascii="Calibri" w:hAnsi="Calibri"/>
          <w:color w:val="222222"/>
          <w:sz w:val="21"/>
        </w:rPr>
        <w:t>Weaknesses: Less interpretable than single DT; slower than LR.</w:t>
      </w:r>
    </w:p>
    <w:p>
      <w:pPr>
        <w:spacing w:before="240" w:after="100"/>
      </w:pPr>
      <w:r>
        <w:rPr>
          <w:b/>
          <w:color w:val="007B83"/>
          <w:sz w:val="26"/>
        </w:rPr>
        <w:t>Support Vector Machine (SVM)</w:t>
      </w:r>
    </w:p>
    <w:p>
      <w:pPr>
        <w:pStyle w:val="ListBullet"/>
        <w:spacing w:after="60"/>
      </w:pPr>
      <w:r>
        <w:rPr>
          <w:rFonts w:ascii="Calibri" w:hAnsi="Calibri"/>
          <w:color w:val="222222"/>
          <w:sz w:val="21"/>
        </w:rPr>
        <w:t>Type: Kernel-based, margin maximisation</w:t>
      </w:r>
    </w:p>
    <w:p>
      <w:pPr>
        <w:pStyle w:val="ListBullet"/>
        <w:spacing w:after="60"/>
      </w:pPr>
      <w:r>
        <w:rPr>
          <w:rFonts w:ascii="Calibri" w:hAnsi="Calibri"/>
          <w:color w:val="222222"/>
          <w:sz w:val="21"/>
        </w:rPr>
        <w:t>Scaling: Required</w:t>
      </w:r>
    </w:p>
    <w:p>
      <w:pPr>
        <w:pStyle w:val="ListBullet"/>
        <w:spacing w:after="60"/>
      </w:pPr>
      <w:r>
        <w:rPr>
          <w:rFonts w:ascii="Calibri" w:hAnsi="Calibri"/>
          <w:color w:val="222222"/>
          <w:sz w:val="21"/>
        </w:rPr>
        <w:t>Grid search space: C ∈ {0.1, 1, 10}, kernel ∈ {rbf, linear}</w:t>
      </w:r>
    </w:p>
    <w:p>
      <w:pPr>
        <w:pStyle w:val="ListBullet"/>
        <w:spacing w:after="60"/>
      </w:pPr>
      <w:r>
        <w:rPr>
          <w:rFonts w:ascii="Calibri" w:hAnsi="Calibri"/>
          <w:color w:val="222222"/>
          <w:sz w:val="21"/>
        </w:rPr>
        <w:t>Strengths: Effective in high-dimensional spaces; strong generalisation.</w:t>
      </w:r>
    </w:p>
    <w:p>
      <w:pPr>
        <w:pStyle w:val="ListBullet"/>
        <w:spacing w:after="60"/>
      </w:pPr>
      <w:r>
        <w:rPr>
          <w:rFonts w:ascii="Calibri" w:hAnsi="Calibri"/>
          <w:color w:val="222222"/>
          <w:sz w:val="21"/>
        </w:rPr>
        <w:t>Weaknesses: Very slow to train at scale (141.89 s); no native probability output.</w:t>
      </w:r>
    </w:p>
    <w:p>
      <w:pPr>
        <w:spacing w:before="240" w:after="100"/>
      </w:pPr>
      <w:r>
        <w:rPr>
          <w:b/>
          <w:color w:val="007B83"/>
          <w:sz w:val="26"/>
        </w:rPr>
        <w:t>Gaussian Naïve Bayes (GNB)</w:t>
      </w:r>
    </w:p>
    <w:p>
      <w:pPr>
        <w:pStyle w:val="ListBullet"/>
        <w:spacing w:after="60"/>
      </w:pPr>
      <w:r>
        <w:rPr>
          <w:rFonts w:ascii="Calibri" w:hAnsi="Calibri"/>
          <w:color w:val="222222"/>
          <w:sz w:val="21"/>
        </w:rPr>
        <w:t>Type: Probabilistic, generative</w:t>
      </w:r>
    </w:p>
    <w:p>
      <w:pPr>
        <w:pStyle w:val="ListBullet"/>
        <w:spacing w:after="60"/>
      </w:pPr>
      <w:r>
        <w:rPr>
          <w:rFonts w:ascii="Calibri" w:hAnsi="Calibri"/>
          <w:color w:val="222222"/>
          <w:sz w:val="21"/>
        </w:rPr>
        <w:t>Scaling: Not required</w:t>
      </w:r>
    </w:p>
    <w:p>
      <w:pPr>
        <w:pStyle w:val="ListBullet"/>
        <w:spacing w:after="60"/>
      </w:pPr>
      <w:r>
        <w:rPr>
          <w:rFonts w:ascii="Calibri" w:hAnsi="Calibri"/>
          <w:color w:val="222222"/>
          <w:sz w:val="21"/>
        </w:rPr>
        <w:t>Grid search space: var_smoothing ∈ {1e-9, 1e-8, 1e-7}</w:t>
      </w:r>
    </w:p>
    <w:p>
      <w:pPr>
        <w:pStyle w:val="ListBullet"/>
        <w:spacing w:after="60"/>
      </w:pPr>
      <w:r>
        <w:rPr>
          <w:rFonts w:ascii="Calibri" w:hAnsi="Calibri"/>
          <w:color w:val="222222"/>
          <w:sz w:val="21"/>
        </w:rPr>
        <w:t>Strengths: Extremely fast; handles small datasets well.</w:t>
      </w:r>
    </w:p>
    <w:p>
      <w:pPr>
        <w:pStyle w:val="ListBullet"/>
        <w:spacing w:after="60"/>
      </w:pPr>
      <w:r>
        <w:rPr>
          <w:rFonts w:ascii="Calibri" w:hAnsi="Calibri"/>
          <w:color w:val="222222"/>
          <w:sz w:val="21"/>
        </w:rPr>
        <w:t>Weaknesses: Feature independence assumption violated here; poor performance (Acc 0.2576).</w:t>
      </w:r>
    </w:p>
    <w:p>
      <w:pPr>
        <w:spacing w:before="240" w:after="100"/>
      </w:pPr>
      <w:r>
        <w:rPr>
          <w:b/>
          <w:color w:val="007B83"/>
          <w:sz w:val="26"/>
        </w:rPr>
        <w:t>6.1 Model Comparison Summary Table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448"/>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Model</w:t>
            </w:r>
          </w:p>
        </w:tc>
        <w:tc>
          <w:tcPr>
            <w:tcW w:type="dxa" w:w="1152"/>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Test Acc.</w:t>
            </w:r>
          </w:p>
        </w:tc>
        <w:tc>
          <w:tcPr>
            <w:tcW w:type="dxa" w:w="1152"/>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Macro F1</w:t>
            </w:r>
          </w:p>
        </w:tc>
        <w:tc>
          <w:tcPr>
            <w:tcW w:type="dxa" w:w="1296"/>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Weighted F1</w:t>
            </w:r>
          </w:p>
        </w:tc>
        <w:tc>
          <w:tcPr>
            <w:tcW w:type="dxa" w:w="1152"/>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ROC-AUC</w:t>
            </w:r>
          </w:p>
        </w:tc>
        <w:tc>
          <w:tcPr>
            <w:tcW w:type="dxa" w:w="1080"/>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Fit Time</w:t>
            </w:r>
          </w:p>
        </w:tc>
        <w:tc>
          <w:tcPr>
            <w:tcW w:type="dxa" w:w="936"/>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Selected</w:t>
            </w:r>
          </w:p>
        </w:tc>
      </w:tr>
      <w:tr>
        <w:tc>
          <w:tcPr>
            <w:tcW w:type="dxa" w:w="244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Random Forest</w:t>
            </w:r>
          </w:p>
        </w:tc>
        <w:tc>
          <w:tcPr>
            <w:tcW w:type="dxa" w:w="115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0.7593</w:t>
            </w:r>
          </w:p>
        </w:tc>
        <w:tc>
          <w:tcPr>
            <w:tcW w:type="dxa" w:w="115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0.7028</w:t>
            </w:r>
          </w:p>
        </w:tc>
        <w:tc>
          <w:tcPr>
            <w:tcW w:type="dxa" w:w="1296"/>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0.7597</w:t>
            </w:r>
          </w:p>
        </w:tc>
        <w:tc>
          <w:tcPr>
            <w:tcW w:type="dxa" w:w="115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0.8784</w:t>
            </w:r>
          </w:p>
        </w:tc>
        <w:tc>
          <w:tcPr>
            <w:tcW w:type="dxa" w:w="108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w:t>
            </w:r>
          </w:p>
        </w:tc>
        <w:tc>
          <w:tcPr>
            <w:tcW w:type="dxa" w:w="936"/>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 Best</w:t>
            </w:r>
          </w:p>
        </w:tc>
      </w:tr>
      <w:tr>
        <w:tc>
          <w:tcPr>
            <w:tcW w:type="dxa" w:w="244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Logistic Regression</w:t>
            </w:r>
          </w:p>
        </w:tc>
        <w:tc>
          <w:tcPr>
            <w:tcW w:type="dxa" w:w="115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0.7367</w:t>
            </w:r>
          </w:p>
        </w:tc>
        <w:tc>
          <w:tcPr>
            <w:tcW w:type="dxa" w:w="115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0.7001</w:t>
            </w:r>
          </w:p>
        </w:tc>
        <w:tc>
          <w:tcPr>
            <w:tcW w:type="dxa" w:w="1296"/>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0.7499</w:t>
            </w:r>
          </w:p>
        </w:tc>
        <w:tc>
          <w:tcPr>
            <w:tcW w:type="dxa" w:w="115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0.8849</w:t>
            </w:r>
          </w:p>
        </w:tc>
        <w:tc>
          <w:tcPr>
            <w:tcW w:type="dxa" w:w="108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w:t>
            </w:r>
          </w:p>
        </w:tc>
        <w:tc>
          <w:tcPr>
            <w:tcW w:type="dxa" w:w="936"/>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r>
          </w:p>
        </w:tc>
      </w:tr>
      <w:tr>
        <w:tc>
          <w:tcPr>
            <w:tcW w:type="dxa" w:w="244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Support Vector Machine</w:t>
            </w:r>
          </w:p>
        </w:tc>
        <w:tc>
          <w:tcPr>
            <w:tcW w:type="dxa" w:w="115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0.7277</w:t>
            </w:r>
          </w:p>
        </w:tc>
        <w:tc>
          <w:tcPr>
            <w:tcW w:type="dxa" w:w="115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0.6874</w:t>
            </w:r>
          </w:p>
        </w:tc>
        <w:tc>
          <w:tcPr>
            <w:tcW w:type="dxa" w:w="1296"/>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0.7382</w:t>
            </w:r>
          </w:p>
        </w:tc>
        <w:tc>
          <w:tcPr>
            <w:tcW w:type="dxa" w:w="115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0.8837</w:t>
            </w:r>
          </w:p>
        </w:tc>
        <w:tc>
          <w:tcPr>
            <w:tcW w:type="dxa" w:w="108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w:t>
            </w:r>
          </w:p>
        </w:tc>
        <w:tc>
          <w:tcPr>
            <w:tcW w:type="dxa" w:w="936"/>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r>
          </w:p>
        </w:tc>
      </w:tr>
      <w:tr>
        <w:tc>
          <w:tcPr>
            <w:tcW w:type="dxa" w:w="244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Decision Tree</w:t>
            </w:r>
          </w:p>
        </w:tc>
        <w:tc>
          <w:tcPr>
            <w:tcW w:type="dxa" w:w="115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0.6768</w:t>
            </w:r>
          </w:p>
        </w:tc>
        <w:tc>
          <w:tcPr>
            <w:tcW w:type="dxa" w:w="115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0.6480</w:t>
            </w:r>
          </w:p>
        </w:tc>
        <w:tc>
          <w:tcPr>
            <w:tcW w:type="dxa" w:w="1296"/>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0.6977</w:t>
            </w:r>
          </w:p>
        </w:tc>
        <w:tc>
          <w:tcPr>
            <w:tcW w:type="dxa" w:w="115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0.8297</w:t>
            </w:r>
          </w:p>
        </w:tc>
        <w:tc>
          <w:tcPr>
            <w:tcW w:type="dxa" w:w="108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w:t>
            </w:r>
          </w:p>
        </w:tc>
        <w:tc>
          <w:tcPr>
            <w:tcW w:type="dxa" w:w="936"/>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r>
          </w:p>
        </w:tc>
      </w:tr>
      <w:tr>
        <w:tc>
          <w:tcPr>
            <w:tcW w:type="dxa" w:w="2448"/>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K-Nearest Neighbours</w:t>
            </w:r>
          </w:p>
        </w:tc>
        <w:tc>
          <w:tcPr>
            <w:tcW w:type="dxa" w:w="115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0.6938</w:t>
            </w:r>
          </w:p>
        </w:tc>
        <w:tc>
          <w:tcPr>
            <w:tcW w:type="dxa" w:w="115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0.6050</w:t>
            </w:r>
          </w:p>
        </w:tc>
        <w:tc>
          <w:tcPr>
            <w:tcW w:type="dxa" w:w="1296"/>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0.6774</w:t>
            </w:r>
          </w:p>
        </w:tc>
        <w:tc>
          <w:tcPr>
            <w:tcW w:type="dxa" w:w="115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0.7979</w:t>
            </w:r>
          </w:p>
        </w:tc>
        <w:tc>
          <w:tcPr>
            <w:tcW w:type="dxa" w:w="1080"/>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w:t>
            </w:r>
          </w:p>
        </w:tc>
        <w:tc>
          <w:tcPr>
            <w:tcW w:type="dxa" w:w="936"/>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r>
          </w:p>
        </w:tc>
      </w:tr>
      <w:tr>
        <w:tc>
          <w:tcPr>
            <w:tcW w:type="dxa" w:w="2448"/>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Gaussian Naive Bayes</w:t>
            </w:r>
          </w:p>
        </w:tc>
        <w:tc>
          <w:tcPr>
            <w:tcW w:type="dxa" w:w="115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0.2576</w:t>
            </w:r>
          </w:p>
        </w:tc>
        <w:tc>
          <w:tcPr>
            <w:tcW w:type="dxa" w:w="115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0.2350</w:t>
            </w:r>
          </w:p>
        </w:tc>
        <w:tc>
          <w:tcPr>
            <w:tcW w:type="dxa" w:w="1296"/>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0.1840</w:t>
            </w:r>
          </w:p>
        </w:tc>
        <w:tc>
          <w:tcPr>
            <w:tcW w:type="dxa" w:w="115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0.6911</w:t>
            </w:r>
          </w:p>
        </w:tc>
        <w:tc>
          <w:tcPr>
            <w:tcW w:type="dxa" w:w="1080"/>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w:t>
            </w:r>
          </w:p>
        </w:tc>
        <w:tc>
          <w:tcPr>
            <w:tcW w:type="dxa" w:w="936"/>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r>
          </w:p>
        </w:tc>
      </w:tr>
    </w:tbl>
    <w:p/>
    <w:p>
      <w:pPr>
        <w:spacing w:after="120"/>
      </w:pPr>
      <w:r>
        <w:rPr>
          <w:rFonts w:ascii="Calibri" w:hAnsi="Calibri"/>
          <w:color w:val="222222"/>
          <w:sz w:val="22"/>
        </w:rPr>
        <w:t>Table 9: Full model comparison on held-out test set with model selection indicator.</w:t>
      </w:r>
    </w:p>
    <w:p>
      <w:pPr>
        <w:spacing w:before="240" w:after="100"/>
      </w:pPr>
      <w:r>
        <w:rPr>
          <w:b/>
          <w:color w:val="007B83"/>
          <w:sz w:val="26"/>
        </w:rPr>
        <w:t>6.2 Feature Importance</w:t>
      </w:r>
    </w:p>
    <w:p>
      <w:pPr>
        <w:spacing w:after="120"/>
      </w:pPr>
      <w:r>
        <w:rPr>
          <w:rFonts w:ascii="Calibri" w:hAnsi="Calibri"/>
          <w:color w:val="222222"/>
          <w:sz w:val="22"/>
        </w:rPr>
        <w:t>Random Forest provides native feature importance scores based on mean impurity decrease across all trees. The top five most influential features are:</w:t>
      </w:r>
    </w:p>
    <w:p>
      <w:pPr>
        <w:pStyle w:val="ListBullet"/>
        <w:spacing w:after="60"/>
      </w:pPr>
      <w:r>
        <w:rPr>
          <w:rFonts w:ascii="Calibri" w:hAnsi="Calibri"/>
          <w:color w:val="222222"/>
          <w:sz w:val="21"/>
        </w:rPr>
        <w:t>Curricular units 2nd semester (approved) — strongest single predictor</w:t>
      </w:r>
    </w:p>
    <w:p>
      <w:pPr>
        <w:pStyle w:val="ListBullet"/>
        <w:spacing w:after="60"/>
      </w:pPr>
      <w:r>
        <w:rPr>
          <w:rFonts w:ascii="Calibri" w:hAnsi="Calibri"/>
          <w:color w:val="222222"/>
          <w:sz w:val="21"/>
        </w:rPr>
        <w:t>Curricular units 2nd semester (grade)</w:t>
      </w:r>
    </w:p>
    <w:p>
      <w:pPr>
        <w:pStyle w:val="ListBullet"/>
        <w:spacing w:after="60"/>
      </w:pPr>
      <w:r>
        <w:rPr>
          <w:rFonts w:ascii="Calibri" w:hAnsi="Calibri"/>
          <w:color w:val="222222"/>
          <w:sz w:val="21"/>
        </w:rPr>
        <w:t>Curricular units 1st semester (approved)</w:t>
      </w:r>
    </w:p>
    <w:p>
      <w:pPr>
        <w:pStyle w:val="ListBullet"/>
        <w:spacing w:after="60"/>
      </w:pPr>
      <w:r>
        <w:rPr>
          <w:rFonts w:ascii="Calibri" w:hAnsi="Calibri"/>
          <w:color w:val="222222"/>
          <w:sz w:val="21"/>
        </w:rPr>
        <w:t>Curricular units 1st semester (grade)</w:t>
      </w:r>
    </w:p>
    <w:p>
      <w:pPr>
        <w:pStyle w:val="ListBullet"/>
        <w:spacing w:after="60"/>
      </w:pPr>
      <w:r>
        <w:rPr>
          <w:rFonts w:ascii="Calibri" w:hAnsi="Calibri"/>
          <w:color w:val="222222"/>
          <w:sz w:val="21"/>
        </w:rPr>
        <w:t>Admission grade — most important demographic/entry feature</w:t>
      </w:r>
    </w:p>
    <w:p>
      <w:pPr>
        <w:jc w:val="center"/>
      </w:pPr>
      <w:r>
        <w:drawing>
          <wp:inline xmlns:a="http://schemas.openxmlformats.org/drawingml/2006/main" xmlns:pic="http://schemas.openxmlformats.org/drawingml/2006/picture">
            <wp:extent cx="5303520" cy="3712464"/>
            <wp:docPr id="6" name="Picture 6"/>
            <wp:cNvGraphicFramePr>
              <a:graphicFrameLocks noChangeAspect="1"/>
            </wp:cNvGraphicFramePr>
            <a:graphic>
              <a:graphicData uri="http://schemas.openxmlformats.org/drawingml/2006/picture">
                <pic:pic>
                  <pic:nvPicPr>
                    <pic:cNvPr id="0" name="feature_importance.png"/>
                    <pic:cNvPicPr/>
                  </pic:nvPicPr>
                  <pic:blipFill>
                    <a:blip r:embed="rId14"/>
                    <a:stretch>
                      <a:fillRect/>
                    </a:stretch>
                  </pic:blipFill>
                  <pic:spPr>
                    <a:xfrm>
                      <a:off x="0" y="0"/>
                      <a:ext cx="5303520" cy="3712464"/>
                    </a:xfrm>
                    <a:prstGeom prst="rect"/>
                  </pic:spPr>
                </pic:pic>
              </a:graphicData>
            </a:graphic>
          </wp:inline>
        </w:drawing>
      </w:r>
    </w:p>
    <w:p>
      <w:pPr>
        <w:spacing w:after="200"/>
        <w:jc w:val="center"/>
      </w:pPr>
      <w:r>
        <w:rPr>
          <w:i/>
          <w:color w:val="555555"/>
          <w:sz w:val="18"/>
        </w:rPr>
        <w:t>Figure 6: Top-20 feature importances from the Random Forest classifier.</w:t>
      </w:r>
    </w:p>
    <w:p>
      <w:pPr>
        <w:spacing w:after="120"/>
      </w:pPr>
      <w:r>
        <w:rPr>
          <w:rFonts w:ascii="Calibri" w:hAnsi="Calibri"/>
          <w:color w:val="222222"/>
          <w:sz w:val="22"/>
        </w:rPr>
        <w:t>The dominance of semester performance metrics is consistent with prior literature (Villar &amp; de Andrade, 2024; Christou et al., 2023) and reflects the fact that students who have accumulated approved credit units are significantly more likely to graduate than those who have not.</w:t>
      </w:r>
    </w:p>
    <w:p>
      <w:r>
        <w:br w:type="page"/>
      </w:r>
    </w:p>
    <w:p>
      <w:pPr>
        <w:spacing w:before="360" w:after="160"/>
      </w:pPr>
      <w:r>
        <w:rPr>
          <w:b/>
          <w:color w:val="1B2A4A"/>
          <w:sz w:val="32"/>
        </w:rPr>
        <w:t>7. User Interface Development and Deployment</w:t>
      </w:r>
    </w:p>
    <w:p>
      <w:pPr>
        <w:spacing w:before="0" w:after="160"/>
      </w:pPr>
      <w:r>
        <w:rPr>
          <w:color w:val="007B83"/>
          <w:sz w:val="16"/>
        </w:rPr>
        <w:t>────────────────────────────────────────────────────────────</w:t>
      </w:r>
    </w:p>
    <w:p>
      <w:pPr>
        <w:spacing w:before="240" w:after="100"/>
      </w:pPr>
      <w:r>
        <w:rPr>
          <w:b/>
          <w:color w:val="007B83"/>
          <w:sz w:val="26"/>
        </w:rPr>
        <w:t>7.1 Application Overview</w:t>
      </w:r>
    </w:p>
    <w:p>
      <w:pPr>
        <w:spacing w:after="120"/>
      </w:pPr>
      <w:r>
        <w:rPr>
          <w:rFonts w:ascii="Calibri" w:hAnsi="Calibri"/>
          <w:color w:val="222222"/>
          <w:sz w:val="22"/>
        </w:rPr>
        <w:t>GradeGuard includes a multi-page Streamlit web application providing an interactive interface for prediction, model exploration, and dataset analysis. The app is designed with a restrained navy/teal/neutral colour palette, readable typography, appropriate whitespace, and clean native Streamlit components.</w:t>
      </w:r>
    </w:p>
    <w:p>
      <w:pPr>
        <w:spacing w:before="240" w:after="100"/>
      </w:pPr>
      <w:r>
        <w:rPr>
          <w:b/>
          <w:color w:val="007B83"/>
          <w:sz w:val="26"/>
        </w:rPr>
        <w:t>7.2 Application Pages</w:t>
      </w:r>
    </w:p>
    <w:tbl>
      <w:tblPr>
        <w:tblStyle w:val="TableGrid"/>
        <w:tblW w:type="auto" w:w="0"/>
        <w:jc w:val="center"/>
        <w:tblLook w:firstColumn="1" w:firstRow="1" w:lastColumn="0" w:lastRow="0" w:noHBand="0" w:noVBand="1" w:val="04A0"/>
      </w:tblPr>
      <w:tblGrid>
        <w:gridCol w:w="4536"/>
        <w:gridCol w:w="4536"/>
      </w:tblGrid>
      <w:tr>
        <w:tc>
          <w:tcPr>
            <w:tcW w:type="dxa" w:w="2592"/>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Page</w:t>
            </w:r>
          </w:p>
        </w:tc>
        <w:tc>
          <w:tcPr>
            <w:tcW w:type="dxa" w:w="6624"/>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Key Content</w:t>
            </w:r>
          </w:p>
        </w:tc>
      </w:tr>
      <w:tr>
        <w:tc>
          <w:tcPr>
            <w:tcW w:type="dxa" w:w="259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Home</w:t>
            </w:r>
          </w:p>
        </w:tc>
        <w:tc>
          <w:tcPr>
            <w:tcW w:type="dxa" w:w="6624"/>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Project overview, key metrics, ethical disclaimer, navigation guide.</w:t>
            </w:r>
          </w:p>
        </w:tc>
      </w:tr>
      <w:tr>
        <w:tc>
          <w:tcPr>
            <w:tcW w:type="dxa" w:w="259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Predict Student Outcome</w:t>
            </w:r>
          </w:p>
        </w:tc>
        <w:tc>
          <w:tcPr>
            <w:tcW w:type="dxa" w:w="6624"/>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Human-readable input form (simplified &amp; advanced modes), CSV upload, predicted class, probability bar chart, feature influence summary, cautious advisory message.</w:t>
            </w:r>
          </w:p>
        </w:tc>
      </w:tr>
      <w:tr>
        <w:tc>
          <w:tcPr>
            <w:tcW w:type="dxa" w:w="259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Model Comparison</w:t>
            </w:r>
          </w:p>
        </w:tc>
        <w:tc>
          <w:tcPr>
            <w:tcW w:type="dxa" w:w="6624"/>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Sortable metrics table loaded from CSV artifacts, confusion matrix selector, ROC curve display, model selection rationale, downloadable CSV report.</w:t>
            </w:r>
          </w:p>
        </w:tc>
      </w:tr>
      <w:tr>
        <w:tc>
          <w:tcPr>
            <w:tcW w:type="dxa" w:w="259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Dataset Explorer</w:t>
            </w:r>
          </w:p>
        </w:tc>
        <w:tc>
          <w:tcPr>
            <w:tcW w:type="dxa" w:w="6624"/>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Row/column count, class distribution chart, feature type breakdown, descriptive statistics, missingness confirmation.</w:t>
            </w:r>
          </w:p>
        </w:tc>
      </w:tr>
      <w:tr>
        <w:tc>
          <w:tcPr>
            <w:tcW w:type="dxa" w:w="259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About / Limitations</w:t>
            </w:r>
          </w:p>
        </w:tc>
        <w:tc>
          <w:tcPr>
            <w:tcW w:type="dxa" w:w="6624"/>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Full project methodology, ethical statement, limitations, references, and citation.</w:t>
            </w:r>
          </w:p>
        </w:tc>
      </w:tr>
    </w:tbl>
    <w:p/>
    <w:p>
      <w:pPr>
        <w:spacing w:after="120"/>
      </w:pPr>
      <w:r>
        <w:rPr>
          <w:rFonts w:ascii="Calibri" w:hAnsi="Calibri"/>
          <w:color w:val="222222"/>
          <w:sz w:val="22"/>
        </w:rPr>
        <w:t>Table 10: GradeGuard Streamlit application pages.</w:t>
      </w:r>
    </w:p>
    <w:p>
      <w:pPr>
        <w:spacing w:before="240" w:after="100"/>
      </w:pPr>
      <w:r>
        <w:rPr>
          <w:b/>
          <w:color w:val="007B83"/>
          <w:sz w:val="26"/>
        </w:rPr>
        <w:t>7.3 Prediction Interface Design</w:t>
      </w:r>
    </w:p>
    <w:p>
      <w:pPr>
        <w:spacing w:after="120"/>
      </w:pPr>
      <w:r>
        <w:rPr>
          <w:rFonts w:ascii="Calibri" w:hAnsi="Calibri"/>
          <w:color w:val="222222"/>
          <w:sz w:val="22"/>
        </w:rPr>
        <w:t>The prediction page offers two input modes:</w:t>
      </w:r>
    </w:p>
    <w:p>
      <w:pPr>
        <w:pStyle w:val="ListBullet"/>
        <w:spacing w:after="60"/>
      </w:pPr>
      <w:r>
        <w:rPr>
          <w:rFonts w:ascii="Calibri" w:hAnsi="Calibri"/>
          <w:color w:val="222222"/>
          <w:sz w:val="21"/>
        </w:rPr>
        <w:t>Quick Mode: simplified form with human-readable labels covering the most influential features (curricular unit performance, admission grade, scholarship status, etc.).</w:t>
      </w:r>
    </w:p>
    <w:p>
      <w:pPr>
        <w:pStyle w:val="ListBullet"/>
        <w:spacing w:after="60"/>
      </w:pPr>
      <w:r>
        <w:rPr>
          <w:rFonts w:ascii="Calibri" w:hAnsi="Calibri"/>
          <w:color w:val="222222"/>
          <w:sz w:val="21"/>
        </w:rPr>
        <w:t>Advanced Mode: full 36-feature form or one-row CSV upload with exact training schema.</w:t>
      </w:r>
    </w:p>
    <w:p>
      <w:pPr>
        <w:spacing w:after="120"/>
      </w:pPr>
      <w:r>
        <w:rPr>
          <w:rFonts w:ascii="Calibri" w:hAnsi="Calibri"/>
          <w:color w:val="222222"/>
          <w:sz w:val="22"/>
        </w:rPr>
        <w:t>All inputs are validated with actionable error messages. Predictions include: predicted class label, model-derived class probabilities (via predict_proba), a probability bar chart, and a cautious feature influence explanation. A prominent disclaimer states that this is an educational prototype and human review is required.</w:t>
      </w:r>
    </w:p>
    <w:p>
      <w:pPr>
        <w:spacing w:before="240" w:after="100"/>
      </w:pPr>
      <w:r>
        <w:rPr>
          <w:b/>
          <w:color w:val="007B83"/>
          <w:sz w:val="26"/>
        </w:rPr>
        <w:t>7.4 Technical Implementation</w:t>
      </w:r>
    </w:p>
    <w:tbl>
      <w:tblPr>
        <w:tblStyle w:val="TableGrid"/>
        <w:tblW w:type="auto" w:w="0"/>
        <w:jc w:val="center"/>
        <w:tblLook w:firstColumn="1" w:firstRow="1" w:lastColumn="0" w:lastRow="0" w:noHBand="0" w:noVBand="1" w:val="04A0"/>
      </w:tblPr>
      <w:tblGrid>
        <w:gridCol w:w="4536"/>
        <w:gridCol w:w="4536"/>
      </w:tblGrid>
      <w:tr>
        <w:tc>
          <w:tcPr>
            <w:tcW w:type="dxa" w:w="2592"/>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Component</w:t>
            </w:r>
          </w:p>
        </w:tc>
        <w:tc>
          <w:tcPr>
            <w:tcW w:type="dxa" w:w="6624"/>
            <w:shd w:val="clear" w:color="auto" w:fill="007B83"/>
            <w:vAlign w:val="center"/>
            <w:tcBorders>
              <w:top w:val="single" w:sz="4" w:space="0" w:color="AAAAAA"/>
              <w:left w:val="single" w:sz="4" w:space="0" w:color="AAAAAA"/>
              <w:bottom w:val="single" w:sz="4" w:space="0" w:color="AAAAAA"/>
              <w:right w:val="single" w:sz="4" w:space="0" w:color="AAAAAA"/>
            </w:tcBorders>
          </w:tcPr>
          <w:p>
            <w:pPr>
              <w:jc w:val="center"/>
            </w:pPr>
            <w:r>
              <w:rPr>
                <w:b/>
                <w:color w:val="FFFFFF"/>
                <w:sz w:val="20"/>
              </w:rPr>
              <w:t>Implementation</w:t>
            </w:r>
          </w:p>
        </w:tc>
      </w:tr>
      <w:tr>
        <w:tc>
          <w:tcPr>
            <w:tcW w:type="dxa" w:w="259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Framework</w:t>
            </w:r>
          </w:p>
        </w:tc>
        <w:tc>
          <w:tcPr>
            <w:tcW w:type="dxa" w:w="6624"/>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Streamlit 1.x — native components only, no external paid APIs</w:t>
            </w:r>
          </w:p>
        </w:tc>
      </w:tr>
      <w:tr>
        <w:tc>
          <w:tcPr>
            <w:tcW w:type="dxa" w:w="259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Model Loading</w:t>
            </w:r>
          </w:p>
        </w:tc>
        <w:tc>
          <w:tcPr>
            <w:tcW w:type="dxa" w:w="6624"/>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joblib-persisted sklearn Pipeline loaded at session start</w:t>
            </w:r>
          </w:p>
        </w:tc>
      </w:tr>
      <w:tr>
        <w:tc>
          <w:tcPr>
            <w:tcW w:type="dxa" w:w="259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State Management</w:t>
            </w:r>
          </w:p>
        </w:tc>
        <w:tc>
          <w:tcPr>
            <w:tcW w:type="dxa" w:w="6624"/>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st.session_state for navigation and prediction caching</w:t>
            </w:r>
          </w:p>
        </w:tc>
      </w:tr>
      <w:tr>
        <w:tc>
          <w:tcPr>
            <w:tcW w:type="dxa" w:w="259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Charts</w:t>
            </w:r>
          </w:p>
        </w:tc>
        <w:tc>
          <w:tcPr>
            <w:tcW w:type="dxa" w:w="6624"/>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Streamlit native charts + matplotlib for confusion matrices and ROC curves</w:t>
            </w:r>
          </w:p>
        </w:tc>
      </w:tr>
      <w:tr>
        <w:tc>
          <w:tcPr>
            <w:tcW w:type="dxa" w:w="259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Input Validation</w:t>
            </w:r>
          </w:p>
        </w:tc>
        <w:tc>
          <w:tcPr>
            <w:tcW w:type="dxa" w:w="6624"/>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Python-side type checking and range validation with user-facing error messages</w:t>
            </w:r>
          </w:p>
        </w:tc>
      </w:tr>
      <w:tr>
        <w:tc>
          <w:tcPr>
            <w:tcW w:type="dxa" w:w="2592"/>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Deployment</w:t>
            </w:r>
          </w:p>
        </w:tc>
        <w:tc>
          <w:tcPr>
            <w:tcW w:type="dxa" w:w="6624"/>
            <w:shd w:val="clear" w:color="auto" w:fill="FFFFFF"/>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Runnable locally with: streamlit run app/app.py</w:t>
            </w:r>
          </w:p>
        </w:tc>
      </w:tr>
      <w:tr>
        <w:tc>
          <w:tcPr>
            <w:tcW w:type="dxa" w:w="2592"/>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Responsiveness</w:t>
            </w:r>
          </w:p>
        </w:tc>
        <w:tc>
          <w:tcPr>
            <w:tcW w:type="dxa" w:w="6624"/>
            <w:shd w:val="clear" w:color="auto" w:fill="E8F4F5"/>
            <w:tcBorders>
              <w:top w:val="single" w:sz="4" w:space="0" w:color="AAAAAA"/>
              <w:left w:val="single" w:sz="4" w:space="0" w:color="AAAAAA"/>
              <w:bottom w:val="single" w:sz="4" w:space="0" w:color="AAAAAA"/>
              <w:right w:val="single" w:sz="4" w:space="0" w:color="AAAAAA"/>
            </w:tcBorders>
          </w:tcPr>
          <w:p>
            <w:pPr>
              <w:jc w:val="center"/>
            </w:pPr>
            <w:r>
              <w:rPr>
                <w:rFonts w:ascii="Calibri" w:hAnsi="Calibri"/>
                <w:sz w:val="20"/>
              </w:rPr>
              <w:t>Native Streamlit layout (columns, expanders) renders correctly on desktop and mobile</w:t>
            </w:r>
          </w:p>
        </w:tc>
      </w:tr>
    </w:tbl>
    <w:p/>
    <w:p>
      <w:pPr>
        <w:spacing w:after="120"/>
      </w:pPr>
      <w:r>
        <w:rPr>
          <w:rFonts w:ascii="Calibri" w:hAnsi="Calibri"/>
          <w:color w:val="222222"/>
          <w:sz w:val="22"/>
        </w:rPr>
        <w:t>Table 11: Technical implementation details of the Streamlit application.</w:t>
      </w:r>
    </w:p>
    <w:p>
      <w:pPr>
        <w:spacing w:before="240" w:after="100"/>
      </w:pPr>
      <w:r>
        <w:rPr>
          <w:b/>
          <w:color w:val="007B83"/>
          <w:sz w:val="26"/>
        </w:rPr>
        <w:t>7.5 Design Principles</w:t>
      </w:r>
    </w:p>
    <w:p>
      <w:pPr>
        <w:pStyle w:val="ListBullet"/>
        <w:spacing w:after="60"/>
      </w:pPr>
      <w:r>
        <w:rPr>
          <w:rFonts w:ascii="Calibri" w:hAnsi="Calibri"/>
          <w:color w:val="222222"/>
          <w:sz w:val="21"/>
        </w:rPr>
        <w:t>Restrained colour palette: navy (#1B2A4A) headings, teal (#007B83) accents, neutral backgrounds.</w:t>
      </w:r>
    </w:p>
    <w:p>
      <w:pPr>
        <w:pStyle w:val="ListBullet"/>
        <w:spacing w:after="60"/>
      </w:pPr>
      <w:r>
        <w:rPr>
          <w:rFonts w:ascii="Calibri" w:hAnsi="Calibri"/>
          <w:color w:val="222222"/>
          <w:sz w:val="21"/>
        </w:rPr>
        <w:t>Typography: Streamlit default sans-serif with explicit size hierarchy; no decorative fonts.</w:t>
      </w:r>
    </w:p>
    <w:p>
      <w:pPr>
        <w:pStyle w:val="ListBullet"/>
        <w:spacing w:after="60"/>
      </w:pPr>
      <w:r>
        <w:rPr>
          <w:rFonts w:ascii="Calibri" w:hAnsi="Calibri"/>
          <w:color w:val="222222"/>
          <w:sz w:val="21"/>
        </w:rPr>
        <w:t>Whitespace and visual hierarchy: section dividers, padding, and consistent label alignment.</w:t>
      </w:r>
    </w:p>
    <w:p>
      <w:pPr>
        <w:pStyle w:val="ListBullet"/>
        <w:spacing w:after="60"/>
      </w:pPr>
      <w:r>
        <w:rPr>
          <w:rFonts w:ascii="Calibri" w:hAnsi="Calibri"/>
          <w:color w:val="222222"/>
          <w:sz w:val="21"/>
        </w:rPr>
        <w:t>No glassmorphism, excessive gradients, neon colours, fake counters, or decorative emojis.</w:t>
      </w:r>
    </w:p>
    <w:p>
      <w:pPr>
        <w:pStyle w:val="ListBullet"/>
        <w:spacing w:after="60"/>
      </w:pPr>
      <w:r>
        <w:rPr>
          <w:rFonts w:ascii="Calibri" w:hAnsi="Calibri"/>
          <w:color w:val="222222"/>
          <w:sz w:val="21"/>
        </w:rPr>
        <w:t>Metric cards use native st.metric() with genuine held-out test values.</w:t>
      </w:r>
    </w:p>
    <w:p>
      <w:pPr>
        <w:pStyle w:val="ListBullet"/>
        <w:spacing w:after="60"/>
      </w:pPr>
      <w:r>
        <w:rPr>
          <w:rFonts w:ascii="Calibri" w:hAnsi="Calibri"/>
          <w:color w:val="222222"/>
          <w:sz w:val="21"/>
        </w:rPr>
        <w:t>All charts are generated from real model outputs — no placeholder or hardcoded data.</w:t>
      </w:r>
    </w:p>
    <w:p>
      <w:pPr>
        <w:spacing w:before="240" w:after="100"/>
      </w:pPr>
      <w:r>
        <w:rPr>
          <w:b/>
          <w:color w:val="007B83"/>
          <w:sz w:val="26"/>
        </w:rPr>
        <w:t>7.6 Ethical Safeguards in the UI</w:t>
      </w:r>
    </w:p>
    <w:p>
      <w:pPr>
        <w:spacing w:after="120"/>
      </w:pPr>
      <w:r>
        <w:rPr>
          <w:rFonts w:ascii="Calibri" w:hAnsi="Calibri"/>
          <w:color w:val="222222"/>
          <w:sz w:val="22"/>
        </w:rPr>
        <w:t>The application prominently displays the following ethical safeguards on every page where predictions are shown:</w:t>
      </w:r>
    </w:p>
    <w:p>
      <w:pPr>
        <w:pStyle w:val="ListBullet"/>
        <w:spacing w:after="60"/>
      </w:pPr>
      <w:r>
        <w:rPr>
          <w:rFonts w:ascii="Calibri" w:hAnsi="Calibri"/>
          <w:color w:val="222222"/>
          <w:sz w:val="21"/>
        </w:rPr>
        <w:t>This tool is an educational decision-support prototype, not a definitive judgement.</w:t>
      </w:r>
    </w:p>
    <w:p>
      <w:pPr>
        <w:pStyle w:val="ListBullet"/>
        <w:spacing w:after="60"/>
      </w:pPr>
      <w:r>
        <w:rPr>
          <w:rFonts w:ascii="Calibri" w:hAnsi="Calibri"/>
          <w:color w:val="222222"/>
          <w:sz w:val="21"/>
        </w:rPr>
        <w:t>Predictions carry inherent uncertainty and must not be the sole basis for decisions.</w:t>
      </w:r>
    </w:p>
    <w:p>
      <w:pPr>
        <w:pStyle w:val="ListBullet"/>
        <w:spacing w:after="60"/>
      </w:pPr>
      <w:r>
        <w:rPr>
          <w:rFonts w:ascii="Calibri" w:hAnsi="Calibri"/>
          <w:color w:val="222222"/>
          <w:sz w:val="21"/>
        </w:rPr>
        <w:t>Human review by qualified academic staff is always necessary.</w:t>
      </w:r>
    </w:p>
    <w:p>
      <w:pPr>
        <w:pStyle w:val="ListBullet"/>
        <w:spacing w:after="60"/>
      </w:pPr>
      <w:r>
        <w:rPr>
          <w:rFonts w:ascii="Calibri" w:hAnsi="Calibri"/>
          <w:color w:val="222222"/>
          <w:sz w:val="21"/>
        </w:rPr>
        <w:t>The tool does not discover causal reasons for student outcomes.</w:t>
      </w:r>
    </w:p>
    <w:p>
      <w:pPr>
        <w:pStyle w:val="ListBullet"/>
        <w:spacing w:after="60"/>
      </w:pPr>
      <w:r>
        <w:rPr>
          <w:rFonts w:ascii="Calibri" w:hAnsi="Calibri"/>
          <w:color w:val="222222"/>
          <w:sz w:val="21"/>
        </w:rPr>
        <w:t>Features available at the end of semesters mean this is not a genuine first-day predictor.</w:t>
      </w:r>
    </w:p>
    <w:p>
      <w:pPr>
        <w:pStyle w:val="ListBullet"/>
        <w:spacing w:after="60"/>
      </w:pPr>
      <w:r>
        <w:rPr>
          <w:rFonts w:ascii="Calibri" w:hAnsi="Calibri"/>
          <w:color w:val="222222"/>
          <w:sz w:val="21"/>
        </w:rPr>
        <w:t>No personally identifiable student data is collected or stored.</w:t>
      </w:r>
    </w:p>
    <w:p>
      <w:pPr>
        <w:spacing w:before="240" w:after="100"/>
      </w:pPr>
      <w:r>
        <w:rPr>
          <w:b/>
          <w:color w:val="007B83"/>
          <w:sz w:val="26"/>
        </w:rPr>
        <w:t>7.7 Testing and Quality Assurance</w:t>
      </w:r>
    </w:p>
    <w:p>
      <w:pPr>
        <w:spacing w:after="120"/>
      </w:pPr>
      <w:r>
        <w:rPr>
          <w:rFonts w:ascii="Calibri" w:hAnsi="Calibri"/>
          <w:color w:val="222222"/>
          <w:sz w:val="22"/>
        </w:rPr>
        <w:t>A comprehensive pytest test suite (58 tests, all passing in &lt; 6 seconds) covers: dataset loading and integrity, preprocessing pipeline correctness, model persistence and loading, prediction output shapes and probability validity, per-class metric sanity checks, and Streamlit app import and session state handling. The test suite is version-controlled alongside the main codebase.</w:t>
      </w:r>
    </w:p>
    <w:p>
      <w:pPr>
        <w:spacing w:before="240" w:after="100"/>
      </w:pPr>
      <w:r>
        <w:rPr>
          <w:b/>
          <w:color w:val="007B83"/>
          <w:sz w:val="26"/>
        </w:rPr>
        <w:t>7.8 Limitations</w:t>
      </w:r>
    </w:p>
    <w:p>
      <w:pPr>
        <w:pStyle w:val="ListBullet"/>
        <w:spacing w:after="60"/>
      </w:pPr>
      <w:r>
        <w:rPr>
          <w:rFonts w:ascii="Calibri" w:hAnsi="Calibri"/>
          <w:color w:val="222222"/>
          <w:sz w:val="21"/>
        </w:rPr>
        <w:t>Outcome label applies to end-of-normal-duration assessment: not a real-time early warning.</w:t>
      </w:r>
    </w:p>
    <w:p>
      <w:pPr>
        <w:pStyle w:val="ListBullet"/>
        <w:spacing w:after="60"/>
      </w:pPr>
      <w:r>
        <w:rPr>
          <w:rFonts w:ascii="Calibri" w:hAnsi="Calibri"/>
          <w:color w:val="222222"/>
          <w:sz w:val="21"/>
        </w:rPr>
        <w:t>Dataset is from a single Portuguese institution; results may not generalise across systems.</w:t>
      </w:r>
    </w:p>
    <w:p>
      <w:pPr>
        <w:pStyle w:val="ListBullet"/>
        <w:spacing w:after="60"/>
      </w:pPr>
      <w:r>
        <w:rPr>
          <w:rFonts w:ascii="Calibri" w:hAnsi="Calibri"/>
          <w:color w:val="222222"/>
          <w:sz w:val="21"/>
        </w:rPr>
        <w:t>Enrolled class remains the most difficult to classify (F1 ≈ 0.49) due to ambiguity.</w:t>
      </w:r>
    </w:p>
    <w:p>
      <w:pPr>
        <w:pStyle w:val="ListBullet"/>
        <w:spacing w:after="60"/>
      </w:pPr>
      <w:r>
        <w:rPr>
          <w:rFonts w:ascii="Calibri" w:hAnsi="Calibri"/>
          <w:color w:val="222222"/>
          <w:sz w:val="21"/>
        </w:rPr>
        <w:t>Probability calibration was not formally tested; reported probabilities should be treated as relative likelihoods.</w:t>
      </w:r>
    </w:p>
    <w:p>
      <w:pPr>
        <w:pStyle w:val="ListBullet"/>
        <w:spacing w:after="60"/>
      </w:pPr>
      <w:r>
        <w:rPr>
          <w:rFonts w:ascii="Calibri" w:hAnsi="Calibri"/>
          <w:color w:val="222222"/>
          <w:sz w:val="21"/>
        </w:rPr>
        <w:t>No deep learning or gradient boosting (XGBoost/LightGBM) models were evaluated in this project.</w:t>
      </w:r>
    </w:p>
    <w:p>
      <w:pPr>
        <w:pStyle w:val="ListBullet"/>
        <w:spacing w:after="60"/>
      </w:pPr>
      <w:r>
        <w:rPr>
          <w:rFonts w:ascii="Calibri" w:hAnsi="Calibri"/>
          <w:color w:val="222222"/>
          <w:sz w:val="21"/>
        </w:rPr>
        <w:t>Feature importance reflects correlation, not causation.</w:t>
      </w:r>
    </w:p>
    <w:p>
      <w:pPr>
        <w:pStyle w:val="ListBullet"/>
        <w:spacing w:after="60"/>
      </w:pPr>
      <w:r>
        <w:rPr>
          <w:rFonts w:ascii="Calibri" w:hAnsi="Calibri"/>
          <w:color w:val="222222"/>
          <w:sz w:val="21"/>
        </w:rPr>
        <w:t>The application is a local prototype and has not undergone security review for production deployment.</w:t>
      </w:r>
    </w:p>
    <w:p>
      <w:r>
        <w:br w:type="page"/>
      </w:r>
    </w:p>
    <w:p>
      <w:pPr>
        <w:spacing w:before="360" w:after="160"/>
      </w:pPr>
      <w:r>
        <w:rPr>
          <w:b/>
          <w:color w:val="1B2A4A"/>
          <w:sz w:val="32"/>
        </w:rPr>
        <w:t>8. References</w:t>
      </w:r>
    </w:p>
    <w:p>
      <w:pPr>
        <w:spacing w:before="0" w:after="160"/>
      </w:pPr>
      <w:r>
        <w:rPr>
          <w:color w:val="007B83"/>
          <w:sz w:val="16"/>
        </w:rPr>
        <w:t>────────────────────────────────────────────────────────────</w:t>
      </w:r>
    </w:p>
    <w:p>
      <w:pPr>
        <w:spacing w:after="120"/>
        <w:ind w:left="576" w:hanging="576"/>
      </w:pPr>
      <w:r>
        <w:rPr>
          <w:rFonts w:ascii="Calibri" w:hAnsi="Calibri"/>
          <w:color w:val="222222"/>
          <w:sz w:val="20"/>
        </w:rPr>
        <w:t>[1] Realinho, V., Machado, J., Baptista, L., &amp; Martins, M. V. (2021). Predicting student dropout and academic success. Data, 7(11), 146. https://doi.org/10.3390/data6110110. UCI Dataset DOI: https://doi.org/10.24432/C5MC89</w:t>
      </w:r>
    </w:p>
    <w:p>
      <w:pPr>
        <w:spacing w:after="120"/>
        <w:ind w:left="576" w:hanging="576"/>
      </w:pPr>
      <w:r>
        <w:rPr>
          <w:rFonts w:ascii="Calibri" w:hAnsi="Calibri"/>
          <w:color w:val="222222"/>
          <w:sz w:val="20"/>
        </w:rPr>
        <w:t>[2] Villar, A. S., &amp; de Andrade, C. R. V. (2024). Supervised machine learning algorithms for predicting student dropout and academic success: A comparative study. Discover Artificial Intelligence, 4(1), 2. https://doi.org/10.1007/s44163-023-00079-z</w:t>
      </w:r>
    </w:p>
    <w:p>
      <w:pPr>
        <w:spacing w:after="120"/>
        <w:ind w:left="576" w:hanging="576"/>
      </w:pPr>
      <w:r>
        <w:rPr>
          <w:rFonts w:ascii="Calibri" w:hAnsi="Calibri"/>
          <w:color w:val="222222"/>
          <w:sz w:val="20"/>
        </w:rPr>
        <w:t>[3] Vaarma, M., &amp; Li, H. (2024). Predicting student dropouts with machine learning: An empirical study in Finnish higher education. Technology in Society, 77, 102474. https://doi.org/10.1016/j.techsoc.2024.102474</w:t>
      </w:r>
    </w:p>
    <w:p>
      <w:pPr>
        <w:spacing w:after="120"/>
        <w:ind w:left="576" w:hanging="576"/>
      </w:pPr>
      <w:r>
        <w:rPr>
          <w:rFonts w:ascii="Calibri" w:hAnsi="Calibri"/>
          <w:color w:val="222222"/>
          <w:sz w:val="20"/>
        </w:rPr>
        <w:t>[4] Christou, P., Mouskos, E., Anastasiadis, S., &amp; Theodoridis, G. (2023). Performance and early drop prediction for higher education students using machine learning. Expert Systems with Applications, 234, 120079. https://doi.org/10.1016/j.eswa.2023.120079</w:t>
      </w:r>
    </w:p>
    <w:p>
      <w:pPr>
        <w:spacing w:after="120"/>
        <w:ind w:left="576" w:hanging="576"/>
      </w:pPr>
      <w:r>
        <w:rPr>
          <w:rFonts w:ascii="Calibri" w:hAnsi="Calibri"/>
          <w:color w:val="222222"/>
          <w:sz w:val="20"/>
        </w:rPr>
        <w:t>[5] Krüger, J., Britto Jr., A. S., &amp; Barddal, J. P. (2023). An explainable machine learning approach for student dropout prediction. Expert Systems with Applications, 233, 120933. https://doi.org/10.1016/j.eswa.2023.120933</w:t>
      </w:r>
    </w:p>
    <w:p>
      <w:pPr>
        <w:spacing w:after="120"/>
        <w:ind w:left="576" w:hanging="576"/>
      </w:pPr>
      <w:r>
        <w:rPr>
          <w:rFonts w:ascii="Calibri" w:hAnsi="Calibri"/>
          <w:color w:val="222222"/>
          <w:sz w:val="20"/>
        </w:rPr>
        <w:t>[6] Cho, S., Yu, H., &amp; Kim, J. (2023). A study on dropout prediction for university students using machine learning. Applied Sciences, 13(21), 12004. https://doi.org/10.3390/app132112004</w:t>
      </w:r>
    </w:p>
    <w:p>
      <w:pPr>
        <w:spacing w:after="120"/>
        <w:ind w:left="576" w:hanging="576"/>
      </w:pPr>
      <w:r>
        <w:rPr>
          <w:rFonts w:ascii="Calibri" w:hAnsi="Calibri"/>
          <w:color w:val="222222"/>
          <w:sz w:val="20"/>
        </w:rPr>
        <w:t>[7] Pedregosa, F., Varoquaux, G., Gramfort, A., et al. (2011). Scikit-learn: Machine learning in Python. Journal of Machine Learning Research, 12, 2825–2830.</w:t>
      </w:r>
    </w:p>
    <w:p>
      <w:pPr>
        <w:spacing w:after="120"/>
        <w:ind w:left="576" w:hanging="576"/>
      </w:pPr>
      <w:r>
        <w:rPr>
          <w:rFonts w:ascii="Calibri" w:hAnsi="Calibri"/>
          <w:color w:val="222222"/>
          <w:sz w:val="20"/>
        </w:rPr>
        <w:t>[8] Streamlit Inc. (2024). Streamlit — The fastest way to build data apps. Retrieved from https://streamlit.io</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