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44"/>
        </w:rPr>
        <w:t>Bharat Infotech Solutions Limited</w:t>
      </w:r>
    </w:p>
    <w:p>
      <w:pPr>
        <w:spacing w:after="240"/>
      </w:pPr>
      <w:r>
        <w:rPr>
          <w:rFonts w:ascii="Calibri" w:hAnsi="Calibri"/>
          <w:i/>
          <w:color w:val="287465"/>
          <w:sz w:val="24"/>
        </w:rPr>
        <w:t>Audited Annual Financial Results (FY 2023-24) &amp; Q2 FY 2024-25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02C57"/>
              </w:rPr>
              <w:t xml:space="preserve">Regulatory Profile: </w:t>
            </w:r>
            <w:r>
              <w:t xml:space="preserve">SEBI Listing Disclosures (LODR) | NSE/BSE: </w:t>
            </w:r>
            <w:r>
              <w:rPr>
                <w:b/>
              </w:rPr>
              <w:t>BHARATINFO.NS / 543999</w:t>
            </w:r>
            <w:r>
              <w:t xml:space="preserve"> | Denomination: Indian Rupee (INR) in ₹ Crores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02C57"/>
          <w:sz w:val="26"/>
        </w:rPr>
        <w:t>1. Corporate Overview &amp; Operating Highlights</w:t>
      </w:r>
    </w:p>
    <w:p>
      <w:pPr>
        <w:spacing w:after="120"/>
      </w:pPr>
      <w:r>
        <w:t>Bharat Infotech Solutions Limited is an India-headquartered digital engineering, enterprise cloud solutions, and AI transformation consultancy provider. For the financial year ended March 31, 2024 (FY 2023-24), consolidated revenue from operations stood at ₹18,450.00 Crores, registering an 11.2% year-on-year growth compared to ₹16,590.00 Crores in FY 2022-23. Operating margins remained resilient amidst macroeconomic headwinds, supported by productivity improvements in automation and digital platforms.</w:t>
      </w:r>
    </w:p>
    <w:p>
      <w:pPr>
        <w:spacing w:after="200"/>
      </w:pPr>
      <w:r>
        <w:t>For the quarter ended September 30, 2024 (Q2 FY 2024-25), consolidated revenue from operations reached ₹4,920.00 Crores, an increase of 8.5% YoY. Net profit after tax (PAT) for Q2 FY25 was ₹812.50 Crores, delivering diluted EPS of ₹19.40 per share (face value ₹2 per equity share).</w:t>
      </w:r>
    </w:p>
    <w:p>
      <w:pPr>
        <w:spacing w:before="160" w:after="80"/>
      </w:pPr>
      <w:r>
        <w:rPr>
          <w:rFonts w:ascii="Calibri" w:hAnsi="Calibri"/>
          <w:b/>
          <w:color w:val="102C57"/>
          <w:sz w:val="26"/>
        </w:rPr>
        <w:t>2. Consolidated Financial Results (₹ in Crores)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102C5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Financial Indicator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102C5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FY 2022-23 (₹ Cr)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102C5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FY 2023-24 (₹ Cr)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102C5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Q2 FY25 (₹ Cr)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102C5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YoY Growth (%)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Revenue from Operations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₹16,590.00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₹18,450.00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₹4,920.00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+11.2%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Employee Benefit Expenses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₹9,290.00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₹10,332.00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₹2,750.00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+11.2%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Operating Profit (EBITDA)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₹3,980.00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₹4,612.00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₹1,230.00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+15.9%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Depreciation &amp; Amortisation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₹580.00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₹640.00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₹165.00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+10.3%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Finance Costs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₹110.00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₹95.00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₹22.00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-13.6%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Profit Before Tax (PBT)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₹3,540.00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₹4,120.00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₹1,095.00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+16.4%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Tax Expense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₹885.00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₹1,030.00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₹282.50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+16.4%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Profit After Tax (PAT / Net Profit)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₹2,655.00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₹3,090.00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₹812.50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+16.4%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Diluted Earnings Per Share (EPS)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₹63.40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₹73.80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₹19.40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+16.4%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Free Cash Flow (FCF)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₹2,210.00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₹2,750.00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₹710.00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212529"/>
                <w:sz w:val="19"/>
              </w:rPr>
              <w:t>+24.4%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color w:val="102C57"/>
          <w:sz w:val="26"/>
        </w:rPr>
        <w:t>3. Industry Segment Revenue Breakdown</w:t>
      </w:r>
    </w:p>
    <w:p>
      <w:pPr>
        <w:spacing w:after="160"/>
      </w:pPr>
      <w:r>
        <w:t>Segment-wise performance for FY 2023-24:</w:t>
        <w:br/>
        <w:t>• Banking, Financial Services &amp; Insurance (BFSI): ₹6,457.50 Crores (35.0% of revenue).</w:t>
        <w:br/>
        <w:t>• Manufacturing &amp; Supply Chain Systems: ₹4,612.50 Crores (25.0% of revenue).</w:t>
        <w:br/>
        <w:t>• Retail, E-Commerce &amp; CPG: ₹3,690.00 Crores (20.0% of revenue).</w:t>
        <w:br/>
        <w:t>• Telecom &amp; Emerging Media Tech: ₹3,690.00 Crores (20.0% of revenue).</w:t>
      </w:r>
    </w:p>
    <w:p>
      <w:pPr>
        <w:spacing w:before="160" w:after="80"/>
      </w:pPr>
      <w:r>
        <w:rPr>
          <w:rFonts w:ascii="Calibri" w:hAnsi="Calibri"/>
          <w:b/>
          <w:color w:val="102C57"/>
          <w:sz w:val="26"/>
        </w:rPr>
        <w:t>4. Capital Allocation, Cash Position &amp; Dividend</w:t>
      </w:r>
    </w:p>
    <w:p>
      <w:pPr>
        <w:spacing w:after="160"/>
      </w:pPr>
      <w:r>
        <w:t>Key balance sheet indicators as on March 31, 2024:</w:t>
        <w:br/>
        <w:t>• Total Cash, Bank Balances &amp; Liquid Mutual Funds: ₹5,850.00 Crores.</w:t>
        <w:br/>
        <w:t>• Net Debt: Zero (The Company continues to be completely debt-free).</w:t>
        <w:br/>
        <w:t>• Dividend Declaration: The Board recommended a final dividend of ₹28.00 per share, taking total dividend payout for FY 2023-24 to ₹42.00 per equity share, representing an aggregate capital return of ₹1,758.00 Crores.</w:t>
      </w:r>
    </w:p>
    <w:p>
      <w:pPr>
        <w:spacing w:before="160" w:after="80"/>
      </w:pPr>
      <w:r>
        <w:rPr>
          <w:rFonts w:ascii="Calibri" w:hAnsi="Calibri"/>
          <w:b/>
          <w:color w:val="102C57"/>
          <w:sz w:val="26"/>
        </w:rPr>
        <w:t>5. Management Outlook &amp; FY 2024-25 Guidance</w:t>
      </w:r>
    </w:p>
    <w:p>
      <w:pPr>
        <w:spacing w:after="200"/>
      </w:pPr>
      <w:r>
        <w:t>For FY 2024-25, Management projects constant-currency revenue growth in the range of 10.0% to 12.5% in INR terms. Operating EBITDA margin is guided between 24.5% and 26.0%. Total order book and contract pipeline stand at ₹22,400.00 Crores as of the end of Q2 FY25.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