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Kimai Usability and Accessibility Assessment</w:t>
      </w:r>
    </w:p>
    <w:p>
      <w:r>
        <w:rPr>
          <w:b/>
          <w:color w:val="4E5D6F"/>
          <w:sz w:val="18"/>
        </w:rPr>
        <w:t>Task 1 Submission  |  Prepared by HarshRaj  |  30 September 2026</w:t>
      </w:r>
    </w:p>
    <w:p>
      <w:r>
        <w:rPr>
          <w:b/>
        </w:rPr>
        <w:t>I identified five reproducible usability and accessibility issues during testing of Kimai 2.67.0.</w:t>
      </w:r>
      <w:r>
        <w:rPr>
          <w:b w:val="0"/>
        </w:rPr>
        <w:t xml:space="preserve"> I reviewed the public demo’s login, logout, timesheet creation, editing and deletion, profile preferences, and calendar. The public demo does not offer registration, so I could not test new-user signup. For locale checks, I temporarily set the account to Spanish (Colombia).</w:t>
      </w:r>
    </w:p>
    <w:p>
      <w:pPr>
        <w:pStyle w:val="Heading1"/>
      </w:pPr>
      <w:r>
        <w:t>Findings</w:t>
      </w:r>
    </w:p>
    <w:tbl>
      <w:tblPr>
        <w:tblW w:type="auto" w:w="0"/>
        <w:jc w:val="center"/>
        <w:tblLayout w:type="fixed"/>
        <w:tblLook w:firstColumn="1" w:firstRow="1" w:lastColumn="0" w:lastRow="0" w:noHBand="0" w:noVBand="1" w:val="04A0"/>
      </w:tblPr>
      <w:tblGrid>
        <w:gridCol w:w="2091"/>
        <w:gridCol w:w="2091"/>
        <w:gridCol w:w="2091"/>
        <w:gridCol w:w="2091"/>
        <w:gridCol w:w="2091"/>
      </w:tblGrid>
      <w:tr>
        <w:tc>
          <w:tcPr>
            <w:tcW w:type="dxa" w:w="518"/>
            <w:shd w:fill="1F3652"/>
          </w:tcPr>
          <w:p>
            <w:r>
              <w:rPr>
                <w:b/>
                <w:color w:val="FFFFFF"/>
                <w:sz w:val="16"/>
              </w:rPr>
              <w:t>#</w:t>
            </w:r>
          </w:p>
        </w:tc>
        <w:tc>
          <w:tcPr>
            <w:tcW w:type="dxa" w:w="1699"/>
            <w:shd w:fill="1F3652"/>
          </w:tcPr>
          <w:p>
            <w:r>
              <w:rPr>
                <w:b/>
                <w:color w:val="FFFFFF"/>
                <w:sz w:val="16"/>
              </w:rPr>
              <w:t>Issue</w:t>
            </w:r>
          </w:p>
        </w:tc>
        <w:tc>
          <w:tcPr>
            <w:tcW w:type="dxa" w:w="2563"/>
            <w:shd w:fill="1F3652"/>
          </w:tcPr>
          <w:p>
            <w:r>
              <w:rPr>
                <w:b/>
                <w:color w:val="FFFFFF"/>
                <w:sz w:val="16"/>
              </w:rPr>
              <w:t>Steps and actual result</w:t>
            </w:r>
          </w:p>
        </w:tc>
        <w:tc>
          <w:tcPr>
            <w:tcW w:type="dxa" w:w="2563"/>
            <w:shd w:fill="1F3652"/>
          </w:tcPr>
          <w:p>
            <w:r>
              <w:rPr>
                <w:b/>
                <w:color w:val="FFFFFF"/>
                <w:sz w:val="16"/>
              </w:rPr>
              <w:t>Expected result</w:t>
            </w:r>
          </w:p>
        </w:tc>
        <w:tc>
          <w:tcPr>
            <w:tcW w:type="dxa" w:w="835"/>
            <w:shd w:fill="1F3652"/>
          </w:tcPr>
          <w:p>
            <w:r>
              <w:rPr>
                <w:b/>
                <w:color w:val="FFFFFF"/>
                <w:sz w:val="16"/>
              </w:rPr>
              <w:t>Severity</w:t>
            </w:r>
          </w:p>
        </w:tc>
      </w:tr>
      <w:tr>
        <w:tc>
          <w:tcPr>
            <w:tcW w:type="dxa" w:w="518"/>
            <w:vAlign w:val="top"/>
            <w:shd w:fill="F1F5F9"/>
          </w:tcPr>
          <w:p>
            <w:pPr>
              <w:spacing w:after="20"/>
            </w:pPr>
            <w:r>
              <w:rPr>
                <w:sz w:val="15"/>
              </w:rPr>
              <w:t>1</w:t>
            </w:r>
          </w:p>
        </w:tc>
        <w:tc>
          <w:tcPr>
            <w:tcW w:type="dxa" w:w="1699"/>
            <w:vAlign w:val="top"/>
            <w:shd w:fill="F1F5F9"/>
          </w:tcPr>
          <w:p>
            <w:pPr>
              <w:spacing w:after="20"/>
            </w:pPr>
            <w:r>
              <w:rPr>
                <w:sz w:val="15"/>
              </w:rPr>
              <w:t>Required-field validation message stays in English</w:t>
            </w:r>
          </w:p>
        </w:tc>
        <w:tc>
          <w:tcPr>
            <w:tcW w:type="dxa" w:w="2563"/>
            <w:vAlign w:val="top"/>
            <w:shd w:fill="F1F5F9"/>
          </w:tcPr>
          <w:p>
            <w:pPr>
              <w:spacing w:after="20"/>
            </w:pPr>
            <w:r>
              <w:rPr>
                <w:sz w:val="15"/>
              </w:rPr>
              <w:t>Set the profile language to Spanish and locale to Colombia. Open /es/timesheet/create, leave Proyecto and Actividad blank, and select Guardar. Submission is blocked, but the browser shows “Please select an item in the list.” in English.</w:t>
            </w:r>
          </w:p>
        </w:tc>
        <w:tc>
          <w:tcPr>
            <w:tcW w:type="dxa" w:w="2563"/>
            <w:vAlign w:val="top"/>
            <w:shd w:fill="F1F5F9"/>
          </w:tcPr>
          <w:p>
            <w:pPr>
              <w:spacing w:after="20"/>
            </w:pPr>
            <w:r>
              <w:rPr>
                <w:sz w:val="15"/>
              </w:rPr>
              <w:t>Validation feedback should match the Spanish interface.</w:t>
            </w:r>
          </w:p>
        </w:tc>
        <w:tc>
          <w:tcPr>
            <w:tcW w:type="dxa" w:w="835"/>
            <w:vAlign w:val="top"/>
            <w:shd w:fill="F1F5F9"/>
          </w:tcPr>
          <w:p>
            <w:pPr>
              <w:spacing w:after="20"/>
            </w:pPr>
            <w:r>
              <w:rPr>
                <w:sz w:val="15"/>
              </w:rPr>
              <w:t>Low</w:t>
            </w:r>
          </w:p>
        </w:tc>
      </w:tr>
      <w:tr>
        <w:tc>
          <w:tcPr>
            <w:tcW w:type="dxa" w:w="518"/>
            <w:vAlign w:val="top"/>
            <w:shd w:fill="FFFFFF"/>
            <w:shd w:fill="FFFFFF"/>
          </w:tcPr>
          <w:p>
            <w:pPr>
              <w:spacing w:after="20"/>
            </w:pPr>
            <w:r>
              <w:rPr>
                <w:sz w:val="15"/>
              </w:rPr>
              <w:t>2</w:t>
            </w:r>
          </w:p>
        </w:tc>
        <w:tc>
          <w:tcPr>
            <w:tcW w:type="dxa" w:w="1699"/>
            <w:vAlign w:val="top"/>
            <w:shd w:fill="FFFFFF"/>
            <w:shd w:fill="FFFFFF"/>
          </w:tcPr>
          <w:p>
            <w:pPr>
              <w:spacing w:after="20"/>
            </w:pPr>
            <w:r>
              <w:rPr>
                <w:sz w:val="15"/>
              </w:rPr>
              <w:t>Time preset buttons have no accessible names</w:t>
            </w:r>
          </w:p>
        </w:tc>
        <w:tc>
          <w:tcPr>
            <w:tcW w:type="dxa" w:w="2563"/>
            <w:vAlign w:val="top"/>
            <w:shd w:fill="FFFFFF"/>
            <w:shd w:fill="FFFFFF"/>
          </w:tcPr>
          <w:p>
            <w:pPr>
              <w:spacing w:after="20"/>
            </w:pPr>
            <w:r>
              <w:rPr>
                <w:sz w:val="15"/>
              </w:rPr>
              <w:t>Open /es/timesheet/create and inspect the icon-only controls beside the start-time, duration, and end-time fields. They have no visible text, aria-label, or title, so assistive technology cannot identify their purpose.</w:t>
            </w:r>
          </w:p>
        </w:tc>
        <w:tc>
          <w:tcPr>
            <w:tcW w:type="dxa" w:w="2563"/>
            <w:vAlign w:val="top"/>
            <w:shd w:fill="FFFFFF"/>
            <w:shd w:fill="FFFFFF"/>
          </w:tcPr>
          <w:p>
            <w:pPr>
              <w:spacing w:after="20"/>
            </w:pPr>
            <w:r>
              <w:rPr>
                <w:sz w:val="15"/>
              </w:rPr>
              <w:t>Each preset control should expose a localized accessible name.</w:t>
            </w:r>
          </w:p>
        </w:tc>
        <w:tc>
          <w:tcPr>
            <w:tcW w:type="dxa" w:w="835"/>
            <w:vAlign w:val="top"/>
            <w:shd w:fill="FFFFFF"/>
            <w:shd w:fill="FFFFFF"/>
          </w:tcPr>
          <w:p>
            <w:pPr>
              <w:spacing w:after="20"/>
            </w:pPr>
            <w:r>
              <w:rPr>
                <w:sz w:val="15"/>
              </w:rPr>
              <w:t>Medium</w:t>
            </w:r>
          </w:p>
        </w:tc>
      </w:tr>
      <w:tr>
        <w:tc>
          <w:tcPr>
            <w:tcW w:type="dxa" w:w="2091"/>
            <w:shd w:fill="FFFFFF"/>
            <w:shd w:fill="F1F5F9"/>
          </w:tcPr>
          <w:p>
            <w:pPr>
              <w:spacing w:after="20"/>
            </w:pPr>
            <w:r>
              <w:rPr>
                <w:sz w:val="15"/>
              </w:rPr>
              <w:t>3</w:t>
            </w:r>
          </w:p>
        </w:tc>
        <w:tc>
          <w:tcPr>
            <w:tcW w:type="dxa" w:w="2091"/>
            <w:shd w:fill="FFFFFF"/>
            <w:shd w:fill="F1F5F9"/>
          </w:tcPr>
          <w:p>
            <w:pPr>
              <w:spacing w:after="20"/>
            </w:pPr>
            <w:r>
              <w:rPr>
                <w:sz w:val="15"/>
              </w:rPr>
              <w:t>Time fields use an English format for Spanish Colombia</w:t>
            </w:r>
          </w:p>
        </w:tc>
        <w:tc>
          <w:tcPr>
            <w:tcW w:type="dxa" w:w="2091"/>
            <w:shd w:fill="FFFFFF"/>
            <w:shd w:fill="F1F5F9"/>
          </w:tcPr>
          <w:p>
            <w:pPr>
              <w:spacing w:after="20"/>
            </w:pPr>
            <w:r>
              <w:rPr>
                <w:sz w:val="15"/>
              </w:rPr>
              <w:t>With locale set to es_CO, open /es/timesheet/create. The start-time field shows “1:23 PM” and the format hint is “h:mm a”; Kimai’s locale reference gives Spanish (Colombia) as “1:24 p. m.”</w:t>
            </w:r>
          </w:p>
        </w:tc>
        <w:tc>
          <w:tcPr>
            <w:tcW w:type="dxa" w:w="2091"/>
            <w:shd w:fill="FFFFFF"/>
            <w:shd w:fill="F1F5F9"/>
          </w:tcPr>
          <w:p>
            <w:pPr>
              <w:spacing w:after="20"/>
            </w:pPr>
            <w:r>
              <w:rPr>
                <w:sz w:val="15"/>
              </w:rPr>
              <w:t>Time values and format hints should follow the selected locale.</w:t>
            </w:r>
          </w:p>
        </w:tc>
        <w:tc>
          <w:tcPr>
            <w:tcW w:type="dxa" w:w="2091"/>
            <w:shd w:fill="FFFFFF"/>
            <w:shd w:fill="F1F5F9"/>
          </w:tcPr>
          <w:p>
            <w:pPr>
              <w:spacing w:after="20"/>
            </w:pPr>
            <w:r>
              <w:rPr>
                <w:sz w:val="15"/>
              </w:rPr>
              <w:t>Low</w:t>
            </w:r>
          </w:p>
        </w:tc>
      </w:tr>
      <w:tr>
        <w:tc>
          <w:tcPr>
            <w:tcW w:type="dxa" w:w="2091"/>
            <w:shd w:fill="FFFFFF"/>
          </w:tcPr>
          <w:p>
            <w:pPr>
              <w:spacing w:after="20"/>
            </w:pPr>
            <w:r>
              <w:rPr>
                <w:sz w:val="15"/>
              </w:rPr>
              <w:t>4</w:t>
            </w:r>
          </w:p>
        </w:tc>
        <w:tc>
          <w:tcPr>
            <w:tcW w:type="dxa" w:w="2091"/>
            <w:shd w:fill="FFFFFF"/>
          </w:tcPr>
          <w:p>
            <w:pPr>
              <w:spacing w:after="20"/>
            </w:pPr>
            <w:r>
              <w:rPr>
                <w:sz w:val="15"/>
              </w:rPr>
              <w:t>Password field name includes the password-reset link</w:t>
            </w:r>
          </w:p>
        </w:tc>
        <w:tc>
          <w:tcPr>
            <w:tcW w:type="dxa" w:w="2091"/>
            <w:shd w:fill="FFFFFF"/>
          </w:tcPr>
          <w:p>
            <w:pPr>
              <w:spacing w:after="20"/>
            </w:pPr>
            <w:r>
              <w:rPr>
                <w:sz w:val="15"/>
              </w:rPr>
              <w:t>Open /es/login and inspect the password field’s accessible name. It is announced as “Contraseña He olvidado mi contraseña”, combining the field label and adjacent reset link.</w:t>
            </w:r>
          </w:p>
        </w:tc>
        <w:tc>
          <w:tcPr>
            <w:tcW w:type="dxa" w:w="2091"/>
            <w:shd w:fill="FFFFFF"/>
          </w:tcPr>
          <w:p>
            <w:pPr>
              <w:spacing w:after="20"/>
            </w:pPr>
            <w:r>
              <w:rPr>
                <w:sz w:val="15"/>
              </w:rPr>
              <w:t>The input should be named “Contraseña”; the reset link should remain a separate control.</w:t>
            </w:r>
          </w:p>
        </w:tc>
        <w:tc>
          <w:tcPr>
            <w:tcW w:type="dxa" w:w="2091"/>
            <w:shd w:fill="FFFFFF"/>
          </w:tcPr>
          <w:p>
            <w:pPr>
              <w:spacing w:after="20"/>
            </w:pPr>
            <w:r>
              <w:rPr>
                <w:sz w:val="15"/>
              </w:rPr>
              <w:t>Low</w:t>
            </w:r>
          </w:p>
        </w:tc>
      </w:tr>
      <w:tr>
        <w:tc>
          <w:tcPr>
            <w:tcW w:type="dxa" w:w="2091"/>
            <w:shd w:fill="F1F5F9"/>
          </w:tcPr>
          <w:p>
            <w:pPr>
              <w:spacing w:after="20"/>
            </w:pPr>
            <w:r>
              <w:rPr>
                <w:sz w:val="15"/>
              </w:rPr>
              <w:t>5</w:t>
            </w:r>
          </w:p>
        </w:tc>
        <w:tc>
          <w:tcPr>
            <w:tcW w:type="dxa" w:w="2091"/>
            <w:shd w:fill="F1F5F9"/>
          </w:tcPr>
          <w:p>
            <w:pPr>
              <w:spacing w:after="20"/>
            </w:pPr>
            <w:r>
              <w:rPr>
                <w:sz w:val="15"/>
              </w:rPr>
              <w:t>Date and time picker triggers have no accessible names</w:t>
            </w:r>
          </w:p>
        </w:tc>
        <w:tc>
          <w:tcPr>
            <w:tcW w:type="dxa" w:w="2091"/>
            <w:shd w:fill="F1F5F9"/>
          </w:tcPr>
          <w:p>
            <w:pPr>
              <w:spacing w:after="20"/>
            </w:pPr>
            <w:r>
              <w:rPr>
                <w:sz w:val="15"/>
              </w:rPr>
              <w:t>Open /es/timesheet/create and inspect the calendar and clock icon links beside the date and time inputs. They have no visible text, aria-label, or title; the accessibility tree exposes only the icon glyph.</w:t>
            </w:r>
          </w:p>
        </w:tc>
        <w:tc>
          <w:tcPr>
            <w:tcW w:type="dxa" w:w="2091"/>
            <w:shd w:fill="F1F5F9"/>
          </w:tcPr>
          <w:p>
            <w:pPr>
              <w:spacing w:after="20"/>
            </w:pPr>
            <w:r>
              <w:rPr>
                <w:sz w:val="15"/>
              </w:rPr>
              <w:t>Each picker trigger should expose a localized name such as “Open date picker” or “Open time picker”.</w:t>
            </w:r>
          </w:p>
        </w:tc>
        <w:tc>
          <w:tcPr>
            <w:tcW w:type="dxa" w:w="2091"/>
            <w:shd w:fill="F1F5F9"/>
          </w:tcPr>
          <w:p>
            <w:pPr>
              <w:spacing w:after="20"/>
            </w:pPr>
            <w:r>
              <w:rPr>
                <w:sz w:val="15"/>
              </w:rPr>
              <w:t>Medium</w:t>
            </w:r>
          </w:p>
        </w:tc>
      </w:tr>
    </w:tbl>
    <w:p>
      <w:pPr>
        <w:pStyle w:val="Heading1"/>
      </w:pPr>
      <w:r>
        <w:t>Root-cause analysis</w:t>
      </w:r>
    </w:p>
    <w:p>
      <w:r>
        <w:t>The time-entry start field displayed “1:23 PM” with the placeholder “h:mm a” while the profile used the Spanish (Colombia) locale. Kimai’s locale reference shows the corresponding time as “1:24 p. m.”, so the form does not follow its selected locale. The date field used day/month order, which narrows the problem to time formatting. The time widget appears to use a fixed English format token instead of the user’s locale-specific format. Pass the selected locale into the time widget and its parser/formatter, then check morning, afternoon, and midnight values.</w:t>
      </w:r>
    </w:p>
    <w:p>
      <w:r>
        <w:t>The remaining findings have separate causes: the required-field message comes from native browser validation, while the time preset and picker controls lack accessible names in their rendered markup. On the login page, the password label also includes the adjacent reset-link text in its accessible name. Replace browser-only validation with localized feedback and give each interactive control a concise accessible name.</w:t>
      </w:r>
    </w:p>
    <w:p>
      <w:r>
        <w:t>Test scope covered the public demo’s login/logout and time-entry flows. The demo does not offer public signup, so registration could not be exercised.</w:t>
      </w:r>
    </w:p>
    <w:sectPr w:rsidR="00FC693F" w:rsidRPr="0006063C" w:rsidSect="00034616">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F365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65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ascii="Aptos Display" w:hAnsi="Aptos Display"/>
      <w:b/>
      <w:color w:val="1F3652"/>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