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PhishNet: Adversarial Robustness for Phishing Detection as an Economic Problem</w:t>
      </w:r>
    </w:p>
    <w:p>
      <w:pPr>
        <w:jc w:val="center"/>
      </w:pPr>
      <w:r>
        <w:t>Harsh Raj, Aryan Kumar, Ayush Prajapati, Ujjawal Jain</w:t>
      </w:r>
    </w:p>
    <w:p>
      <w:pPr>
        <w:jc w:val="center"/>
      </w:pPr>
      <w:r>
        <w:t>School of Computer Science, University of Petroleum and Energy Studies, Dehradun, India</w:t>
      </w:r>
    </w:p>
    <w:p>
      <w:pPr>
        <w:jc w:val="center"/>
      </w:pPr>
      <w:r>
        <w:t>Mentor: Dr. Swati Rastogi</w:t>
      </w:r>
    </w:p>
    <w:p>
      <w:pPr>
        <w:pStyle w:val="Heading1"/>
      </w:pPr>
      <w:r>
        <w:t>Abstract</w:t>
      </w:r>
    </w:p>
    <w:p>
      <w:pPr>
        <w:jc w:val="both"/>
      </w:pPr>
      <w:r>
        <w:t>Adversarial robustness for phishing detection is usually posed geometrically, as invariance inside an Lp ball; we argue it is better posed economically. A phishing kit's manipulations are semantic, not norm-bounded, and some evasions defeat the attacker along with the detector: removing the brand token from a URL beats brand matching for free, and removes the cue the victim needs to be deceived. We price 30 lexical and 8 visual manipulations on three axes - money, effort, and victim conversion - and evaluate defences by cost-to-evade. Ablating the conversion axis moves the three deception-bearing features from ranks 3-5 to 27-29 of 30, separating what an attacker can do from what an attacker will do.</w:t>
      </w:r>
    </w:p>
    <w:p>
      <w:pPr>
        <w:jc w:val="both"/>
      </w:pPr>
      <w:r>
        <w:t>Our results are corrective. Reliance alone barely predicts exploitability (r = +0.201), whereas reliance priced by cost predicts it strongly (r = +0.774). The intuitive defence, penalising gradient mass on cheap features, relocates the model as instructed, costs 12.4% of clean F1, and buys less robustness than cost-weighted stochastic dropout, which barely perturbs reliance and yields +457% cost-to-evade for 0.88% F1; at a gentler setting, +0.01% for +265%. Robustness comes from redundancy, not abstinence.</w:t>
      </w:r>
    </w:p>
    <w:p>
      <w:pPr>
        <w:jc w:val="both"/>
      </w:pPr>
      <w:r>
        <w:t>Visually, metric learning over-indexes on colour, leaving an encoder less robust on unseen brands than its untrained initialisation (grayscale -0.242, 13 paired seeds). Semantic augmentation repairs this (+0.069); pricing it adds +0.014 (p = 0.006) while spending nothing on attacks that blind the victim. Validity gates reject two of our own experiments, including a corpus where 37.3% of crops duplicated gallery items.</w:t>
      </w:r>
    </w:p>
    <w:p>
      <w:pPr>
        <w:pStyle w:val="Heading1"/>
      </w:pPr>
      <w:r>
        <w:t>1. Introduction</w:t>
      </w:r>
    </w:p>
    <w:p>
      <w:pPr>
        <w:jc w:val="both"/>
      </w:pPr>
      <w:r>
        <w:t>A phishing detector is not evaluated by an adversary with a perturbation budget. It is evaluated by one with a business model. That distinction is the subject of this paper.</w:t>
      </w:r>
    </w:p>
    <w:p>
      <w:pPr>
        <w:pStyle w:val="Heading2"/>
      </w:pPr>
      <w:r>
        <w:t>1.1 The problem: brittleness to manipulations that cost nothing</w:t>
      </w:r>
    </w:p>
    <w:p>
      <w:pPr>
        <w:jc w:val="both"/>
      </w:pPr>
      <w:r>
        <w:t xml:space="preserve">Visual and lexical phishing detectors are structurally brittle to changes an attacker can make for free. Recompressing a screenshot, shifting a page's palette, lengthening a URL path, or adding a subdomain requires no money, no engineering time, and no infrastructure, the attacker already owns the DNS zone and the document. We show this brittleness is not incidental. Trained with a standard metric-learning objective on brand logos, an encoder scores </w:t>
      </w:r>
      <w:r>
        <w:rPr>
          <w:b/>
        </w:rPr>
        <w:t>0.377</w:t>
      </w:r>
      <w:r>
        <w:t xml:space="preserve"> top-1 retrieval on grayscale inputs from unseen brands while </w:t>
      </w:r>
      <w:r>
        <w:rPr>
          <w:i/>
        </w:rPr>
        <w:t>untrained</w:t>
      </w:r>
      <w:r>
        <w:t xml:space="preserve"> ImageNet features score </w:t>
      </w:r>
      <w:r>
        <w:rPr>
          <w:b/>
        </w:rPr>
        <w:t>0.619</w:t>
      </w:r>
      <w:r>
        <w:t xml:space="preserve"> (13 paired seeds, p &lt; 10⁻⁵). Training did not fail to acquire colour-invariance; it destroyed robustness the initialisation already possessed, because colour is the cheapest brand-discriminative signal available and the objective had no reason to look past it.</w:t>
      </w:r>
    </w:p>
    <w:p>
      <w:pPr>
        <w:pStyle w:val="Heading2"/>
      </w:pPr>
      <w:r>
        <w:t>1.2 The gap: Lp balls do not describe semantic attacks</w:t>
      </w:r>
    </w:p>
    <w:p>
      <w:pPr>
        <w:jc w:val="both"/>
      </w:pPr>
      <w:r>
        <w:t>The standard robustness toolkit, adversarial training, TRADES, gradient penalties, defines the threat as a norm ball around an input. That framing is a poor fit here for two reasons.</w:t>
      </w:r>
    </w:p>
    <w:p>
      <w:pPr>
        <w:jc w:val="both"/>
      </w:pPr>
      <w:r>
        <w:t xml:space="preserve">First, the operations a phishing kit actually performs are </w:t>
      </w:r>
      <w:r>
        <w:rPr>
          <w:i/>
        </w:rPr>
        <w:t>semantic</w:t>
      </w:r>
      <w:r>
        <w:t>, not Lp-bounded. Swapping a TLD, dropping a brand token, or re-rendering a page in a different font can be enormous in pixel or feature distance while being trivial for the attacker; conversely a large-Lp perturbation may be impossible to deploy in a real kit. Distance in representation space is uncorrelated with difficulty in the attacker's world.</w:t>
      </w:r>
    </w:p>
    <w:p>
      <w:pPr>
        <w:jc w:val="both"/>
      </w:pPr>
      <w:r>
        <w:t xml:space="preserve">Second, and less obviously, the norm-ball framing has no way to express that </w:t>
      </w:r>
      <w:r>
        <w:rPr>
          <w:b/>
        </w:rPr>
        <w:t>some evasions defeat the attacker along with the detector</w:t>
      </w:r>
      <w:r>
        <w:t>. Removing the brand name from a URL beats brand-matching for free; and removes the cue the victim relies on to be deceived. An attacker who strips every deceptive signal has evaded detection by ceasing to phish. No Lp budget can represent that, because the constraint is not on the perturbation's size but on its effect on a third party.</w:t>
      </w:r>
    </w:p>
    <w:p>
      <w:pPr>
        <w:pStyle w:val="Heading2"/>
      </w:pPr>
      <w:r>
        <w:t>1.3 The contribution: robustness as an economic problem</w:t>
      </w:r>
    </w:p>
    <w:p>
      <w:pPr>
        <w:jc w:val="both"/>
      </w:pPr>
      <w:r>
        <w:t xml:space="preserve">We argue that adversarial robustness in phishing is an economic problem before it is a geometric one, and we make that operational. We price each manipulation on three axes, money, engineering effort, and </w:t>
      </w:r>
      <w:r>
        <w:rPr>
          <w:i/>
        </w:rPr>
        <w:t>victim conversion</w:t>
      </w:r>
      <w:r>
        <w:t xml:space="preserve">, and evaluate defences by </w:t>
      </w:r>
      <w:r>
        <w:rPr>
          <w:b/>
        </w:rPr>
        <w:t>cost-to-evade (CTE)</w:t>
      </w:r>
      <w:r>
        <w:t>: the cheapest bundle of manipulations that flips a detected phish to benign. The third axis is the one the literature omits and the one that does the work. It is what makes an evasion self-defeating, and without it a cost-aware defence spends its capacity in exactly the wrong place (§2.2).</w:t>
      </w:r>
    </w:p>
    <w:p>
      <w:pPr>
        <w:jc w:val="both"/>
      </w:pPr>
      <w:r>
        <w:t>Our claims are deliberately bounded. We do not claim a universal defence, and we report two results that cut against our own framing: the coupling between attack cost and feature destructiveness (§4.3.6), which limits what cost-weighting can demonstrate, and a modality contrast in which cost weighting is a necessity in one setting and only a second-order refinement in the other (§4.3.4).</w:t>
      </w:r>
    </w:p>
    <w:p>
      <w:pPr>
        <w:pStyle w:val="Heading2"/>
      </w:pPr>
      <w:r>
        <w:t>1.4 Key findings</w:t>
      </w:r>
    </w:p>
    <w:p>
      <w:pPr>
        <w:pStyle w:val="ListBullet"/>
      </w:pPr>
      <w:r>
        <w:rPr>
          <w:b/>
        </w:rPr>
        <w:t>Pricing reliance predicts evasion; reliance alone does not.</w:t>
      </w:r>
      <w:r>
        <w:t xml:space="preserve"> Input-gradient</w:t>
      </w:r>
    </w:p>
    <w:p>
      <w:pPr>
        <w:jc w:val="both"/>
      </w:pPr>
      <w:r>
        <w:t xml:space="preserve">reliance correlates only weakly with feature cheapness (+0.201 ± 0.031), while per-feature evasion success correlates strongly with reliance </w:t>
      </w:r>
      <w:r>
        <w:rPr>
          <w:i/>
        </w:rPr>
        <w:t>divided by</w:t>
      </w:r>
      <w:r>
        <w:t xml:space="preserve"> cost (+0.774 ± 0.045). Auditing a model on reliance alone is a blind spot.</w:t>
      </w:r>
    </w:p>
    <w:p>
      <w:pPr>
        <w:pStyle w:val="ListBullet"/>
      </w:pPr>
      <w:r>
        <w:t>**The intuitive defence is the wrong one, and there is an operating point with</w:t>
      </w:r>
    </w:p>
    <w:p>
      <w:pPr>
        <w:jc w:val="both"/>
      </w:pPr>
      <w:r>
        <w:t>no accuracy tax.</w:t>
      </w:r>
      <w:r>
        <w:rPr>
          <w:b/>
        </w:rPr>
        <w:t xml:space="preserve"> Penalising gradient mass on cheap features relocates the model onto expensive ones and costs </w:t>
      </w:r>
      <w:r>
        <w:t xml:space="preserve">12.4%** of clean F1 to buy less robustness than cost-weighted </w:t>
      </w:r>
      <w:r>
        <w:rPr>
          <w:i/>
        </w:rPr>
        <w:t>stochastic dropout</w:t>
      </w:r>
      <w:r>
        <w:t xml:space="preserve">, which barely changes reliance. At a drop scale of 0.15 the change in clean F1 is +0.01%, indistinguishable from baseline and positive in sign, while cost-to-evade rises </w:t>
      </w:r>
      <w:r>
        <w:rPr>
          <w:b/>
        </w:rPr>
        <w:t>265%</w:t>
      </w:r>
      <w:r>
        <w:t>.</w:t>
      </w:r>
    </w:p>
    <w:p>
      <w:pPr>
        <w:pStyle w:val="ListBullet"/>
      </w:pPr>
      <w:r>
        <w:t>**Standard metric learning is a lazy learner, and logo matching cannot stand</w:t>
      </w:r>
    </w:p>
    <w:p>
      <w:pPr>
        <w:jc w:val="both"/>
      </w:pPr>
      <w:r>
        <w:t xml:space="preserve">alone.** The encoder over-indexes on colour, which explains both a grayscale vulnerability below the untrained control and a near-total failure to transfer: unseen brands gain only +0.029 clean and are -0.033 </w:t>
      </w:r>
      <w:r>
        <w:rPr>
          <w:i/>
        </w:rPr>
        <w:t>worse</w:t>
      </w:r>
      <w:r>
        <w:t xml:space="preserve"> under attack. Separately, 14.27% of the Phishpedia benchmark yields no logo region at all, capping any logo-dependent method at </w:t>
      </w:r>
      <w:r>
        <w:rPr>
          <w:b/>
        </w:rPr>
        <w:t>85.7% recall</w:t>
      </w:r>
      <w:r>
        <w:t>.</w:t>
      </w:r>
    </w:p>
    <w:p>
      <w:pPr>
        <w:pStyle w:val="Heading1"/>
      </w:pPr>
      <w:r>
        <w:t>2. Threat Model and the Economics of Evasion</w:t>
      </w:r>
    </w:p>
    <w:p>
      <w:pPr>
        <w:pStyle w:val="Heading2"/>
      </w:pPr>
      <w:r>
        <w:t>2.1 The attacker's dilemma</w:t>
      </w:r>
    </w:p>
    <w:p>
      <w:pPr>
        <w:jc w:val="both"/>
      </w:pPr>
      <w:r>
        <w:t>We model an attacker who controls the URL, the hosting, and the rendered page, and who is subject to one constraint the detection literature rarely encodes: the campaign must still deceive a human. Every manipulation is therefore charged against two budgets simultaneously, what it costs to perform, and what it costs in victim conversion.</w:t>
      </w:r>
    </w:p>
    <w:p>
      <w:pPr>
        <w:jc w:val="both"/>
      </w:pPr>
      <w:r>
        <w:t xml:space="preserve">These budgets are not independent, and their coupling is structural. A manipulation that leaves the victim's recognition intact necessarily leaves structural signal for a detector to read; a manipulation that destroys the victim's cue destroys the detector's evidence in the same stroke. JPEG recompression is cheap on both budgets </w:t>
      </w:r>
      <w:r>
        <w:rPr>
          <w:i/>
        </w:rPr>
        <w:t>because</w:t>
      </w:r>
      <w:r>
        <w:t xml:space="preserve"> the logo remains recognisable. Deleting the wordmark is expensive on the conversion budget </w:t>
      </w:r>
      <w:r>
        <w:rPr>
          <w:i/>
        </w:rPr>
        <w:t>because</w:t>
      </w:r>
      <w:r>
        <w:t xml:space="preserve"> nothing remains to recognise. We quantify this coupling in §4.3.6 and treat it as a limit on what any cost-weighted defence can claim, rather than as evidence for one.</w:t>
      </w:r>
    </w:p>
    <w:p>
      <w:pPr>
        <w:jc w:val="both"/>
      </w:pPr>
      <w:r>
        <w:t xml:space="preserve">The defender's objective follows. It is </w:t>
      </w:r>
      <w:r>
        <w:rPr>
          <w:b/>
        </w:rPr>
        <w:t>not</w:t>
      </w:r>
      <w:r>
        <w:t xml:space="preserve"> to be robust to every semantic manipulation. Robustness to </w:t>
      </w:r>
      <w:r>
        <w:rPr>
          <w:rFonts w:ascii="Consolas" w:hAnsi="Consolas"/>
          <w:sz w:val="19"/>
        </w:rPr>
        <w:t>logo_delete</w:t>
      </w:r>
      <w:r>
        <w:t xml:space="preserve"> protects against an adversary who has already abandoned the campaign's purpose. The objective is to </w:t>
      </w:r>
      <w:r>
        <w:rPr>
          <w:b/>
        </w:rPr>
        <w:t>maximise the cost an attacker must pay to evade, subject to preserving clean accuracy</w:t>
      </w:r>
      <w:r>
        <w:t>: which means deliberately declining to spend capacity on manipulations a rational adversary will not choose.</w:t>
      </w:r>
    </w:p>
    <w:p>
      <w:pPr>
        <w:pStyle w:val="Heading2"/>
      </w:pPr>
      <w:r>
        <w:t>2.2 The cost vector</w:t>
      </w:r>
    </w:p>
    <w:p>
      <w:pPr>
        <w:jc w:val="both"/>
      </w:pPr>
      <w:r>
        <w:t>Each of the 30 lexical features is priced on three axes in [0,1]:</w:t>
      </w:r>
    </w:p>
    <w:p>
      <w:pPr>
        <w:jc w:val="both"/>
      </w:pPr>
      <w:r>
        <w:t>cᵢ = w^⊤ (c^moneyᵢ,  c^effortᵢ,  c^conversionᵢ),     w = (0.45,  0.20,  0.35)</w:t>
      </w:r>
    </w:p>
    <w:p>
      <w:pPr>
        <w:jc w:val="both"/>
      </w:pPr>
      <w:r>
        <w:t>with a floor of 0.02 so that 1/cᵢ stays finite for manipulations that are free. Prices are grounded in what a 2026 attacker faces: TLS certificates are free, subdomains are free because the attacker owns the zone, a fresh domain on a cheap TLD is roughly $1–10, and abandoning free hosting for reputable infrastructure costs both money and an abuse-resistant identity. The resulting scale runs from 0.020 (path edits) to 0.423 (leaving free hosting).</w:t>
      </w:r>
    </w:p>
    <w:p>
      <w:pPr>
        <w:jc w:val="both"/>
      </w:pPr>
      <w:r>
        <w:rPr>
          <w:b/>
        </w:rPr>
        <w:t>The conversion axis is load-bearing, and we can show it by removing it.</w:t>
      </w:r>
      <w:r>
        <w:t xml:space="preserve"> Setting c^conversion to zero and renormalising re-prices the three features that carry the deception itself:</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FF1F4"/>
          </w:tcPr>
          <w:p>
            <w:r>
              <w:rPr>
                <w:sz w:val="18"/>
              </w:rPr>
            </w:r>
            <w:r>
              <w:rPr>
                <w:b/>
              </w:rPr>
              <w:t>Feature</w:t>
            </w:r>
          </w:p>
        </w:tc>
        <w:tc>
          <w:tcPr>
            <w:tcW w:type="dxa" w:w="1930"/>
            <w:shd w:val="clear" w:fill="EFF1F4"/>
          </w:tcPr>
          <w:p>
            <w:r>
              <w:rPr>
                <w:sz w:val="18"/>
              </w:rPr>
            </w:r>
            <w:r>
              <w:rPr>
                <w:b/>
              </w:rPr>
              <w:t>cᵢ with conversion</w:t>
            </w:r>
          </w:p>
        </w:tc>
        <w:tc>
          <w:tcPr>
            <w:tcW w:type="dxa" w:w="1930"/>
            <w:shd w:val="clear" w:fill="EFF1F4"/>
          </w:tcPr>
          <w:p>
            <w:r>
              <w:rPr>
                <w:sz w:val="18"/>
              </w:rPr>
            </w:r>
            <w:r>
              <w:rPr>
                <w:b/>
              </w:rPr>
              <w:t>without</w:t>
            </w:r>
          </w:p>
        </w:tc>
        <w:tc>
          <w:tcPr>
            <w:tcW w:type="dxa" w:w="1930"/>
            <w:shd w:val="clear" w:fill="EFF1F4"/>
          </w:tcPr>
          <w:p>
            <w:r>
              <w:rPr>
                <w:sz w:val="18"/>
              </w:rPr>
            </w:r>
            <w:r>
              <w:rPr>
                <w:b/>
              </w:rPr>
              <w:t>rank with</w:t>
            </w:r>
          </w:p>
        </w:tc>
        <w:tc>
          <w:tcPr>
            <w:tcW w:type="dxa" w:w="1930"/>
            <w:shd w:val="clear" w:fill="EFF1F4"/>
          </w:tcPr>
          <w:p>
            <w:r>
              <w:rPr>
                <w:sz w:val="18"/>
              </w:rPr>
            </w:r>
            <w:r>
              <w:rPr>
                <w:b/>
              </w:rPr>
              <w:t>rank without</w:t>
            </w:r>
          </w:p>
        </w:tc>
      </w:tr>
      <w:tr>
        <w:tc>
          <w:tcPr>
            <w:tcW w:type="dxa" w:w="1930"/>
          </w:tcPr>
          <w:p>
            <w:r>
              <w:rPr>
                <w:sz w:val="18"/>
              </w:rPr>
            </w:r>
            <w:r>
              <w:rPr>
                <w:rFonts w:ascii="Consolas" w:hAnsi="Consolas"/>
                <w:sz w:val="18"/>
              </w:rPr>
              <w:t>brand_outside_domain</w:t>
            </w:r>
          </w:p>
        </w:tc>
        <w:tc>
          <w:tcPr>
            <w:tcW w:type="dxa" w:w="1930"/>
          </w:tcPr>
          <w:p>
            <w:r>
              <w:rPr>
                <w:sz w:val="18"/>
              </w:rPr>
            </w:r>
            <w:r>
              <w:rPr>
                <w:sz w:val="18"/>
              </w:rPr>
              <w:t>0.325</w:t>
            </w:r>
          </w:p>
        </w:tc>
        <w:tc>
          <w:tcPr>
            <w:tcW w:type="dxa" w:w="1930"/>
          </w:tcPr>
          <w:p>
            <w:r>
              <w:rPr>
                <w:sz w:val="18"/>
              </w:rPr>
            </w:r>
            <w:r>
              <w:rPr>
                <w:sz w:val="18"/>
              </w:rPr>
              <w:t>0.020</w:t>
            </w:r>
          </w:p>
        </w:tc>
        <w:tc>
          <w:tcPr>
            <w:tcW w:type="dxa" w:w="1930"/>
          </w:tcPr>
          <w:p>
            <w:r>
              <w:rPr>
                <w:sz w:val="18"/>
              </w:rPr>
            </w:r>
            <w:r>
              <w:rPr>
                <w:sz w:val="18"/>
              </w:rPr>
              <w:t>29 / 30</w:t>
            </w:r>
          </w:p>
        </w:tc>
        <w:tc>
          <w:tcPr>
            <w:tcW w:type="dxa" w:w="1930"/>
          </w:tcPr>
          <w:p>
            <w:r>
              <w:rPr>
                <w:sz w:val="18"/>
              </w:rPr>
            </w:r>
            <w:r>
              <w:rPr>
                <w:sz w:val="18"/>
              </w:rPr>
              <w:t>5 / 30</w:t>
            </w:r>
          </w:p>
        </w:tc>
      </w:tr>
      <w:tr>
        <w:tc>
          <w:tcPr>
            <w:tcW w:type="dxa" w:w="1930"/>
          </w:tcPr>
          <w:p>
            <w:r>
              <w:rPr>
                <w:sz w:val="18"/>
              </w:rPr>
            </w:r>
            <w:r>
              <w:rPr>
                <w:rFonts w:ascii="Consolas" w:hAnsi="Consolas"/>
                <w:sz w:val="18"/>
              </w:rPr>
              <w:t>num_suspicious_tokens</w:t>
            </w:r>
          </w:p>
        </w:tc>
        <w:tc>
          <w:tcPr>
            <w:tcW w:type="dxa" w:w="1930"/>
          </w:tcPr>
          <w:p>
            <w:r>
              <w:rPr>
                <w:sz w:val="18"/>
              </w:rPr>
            </w:r>
            <w:r>
              <w:rPr>
                <w:sz w:val="18"/>
              </w:rPr>
              <w:t>0.272</w:t>
            </w:r>
          </w:p>
        </w:tc>
        <w:tc>
          <w:tcPr>
            <w:tcW w:type="dxa" w:w="1930"/>
          </w:tcPr>
          <w:p>
            <w:r>
              <w:rPr>
                <w:sz w:val="18"/>
              </w:rPr>
            </w:r>
            <w:r>
              <w:rPr>
                <w:sz w:val="18"/>
              </w:rPr>
              <w:t>0.020</w:t>
            </w:r>
          </w:p>
        </w:tc>
        <w:tc>
          <w:tcPr>
            <w:tcW w:type="dxa" w:w="1930"/>
          </w:tcPr>
          <w:p>
            <w:r>
              <w:rPr>
                <w:sz w:val="18"/>
              </w:rPr>
            </w:r>
            <w:r>
              <w:rPr>
                <w:sz w:val="18"/>
              </w:rPr>
              <w:t>28 / 30</w:t>
            </w:r>
          </w:p>
        </w:tc>
        <w:tc>
          <w:tcPr>
            <w:tcW w:type="dxa" w:w="1930"/>
          </w:tcPr>
          <w:p>
            <w:r>
              <w:rPr>
                <w:sz w:val="18"/>
              </w:rPr>
            </w:r>
            <w:r>
              <w:rPr>
                <w:sz w:val="18"/>
              </w:rPr>
              <w:t>3 / 30</w:t>
            </w:r>
          </w:p>
        </w:tc>
      </w:tr>
      <w:tr>
        <w:tc>
          <w:tcPr>
            <w:tcW w:type="dxa" w:w="1930"/>
          </w:tcPr>
          <w:p>
            <w:r>
              <w:rPr>
                <w:sz w:val="18"/>
              </w:rPr>
            </w:r>
            <w:r>
              <w:rPr>
                <w:rFonts w:ascii="Consolas" w:hAnsi="Consolas"/>
                <w:sz w:val="18"/>
              </w:rPr>
              <w:t>brand_in_path</w:t>
            </w:r>
          </w:p>
        </w:tc>
        <w:tc>
          <w:tcPr>
            <w:tcW w:type="dxa" w:w="1930"/>
          </w:tcPr>
          <w:p>
            <w:r>
              <w:rPr>
                <w:sz w:val="18"/>
              </w:rPr>
            </w:r>
            <w:r>
              <w:rPr>
                <w:sz w:val="18"/>
              </w:rPr>
              <w:t>0.255</w:t>
            </w:r>
          </w:p>
        </w:tc>
        <w:tc>
          <w:tcPr>
            <w:tcW w:type="dxa" w:w="1930"/>
          </w:tcPr>
          <w:p>
            <w:r>
              <w:rPr>
                <w:sz w:val="18"/>
              </w:rPr>
            </w:r>
            <w:r>
              <w:rPr>
                <w:sz w:val="18"/>
              </w:rPr>
              <w:t>0.020</w:t>
            </w:r>
          </w:p>
        </w:tc>
        <w:tc>
          <w:tcPr>
            <w:tcW w:type="dxa" w:w="1930"/>
          </w:tcPr>
          <w:p>
            <w:r>
              <w:rPr>
                <w:sz w:val="18"/>
              </w:rPr>
            </w:r>
            <w:r>
              <w:rPr>
                <w:sz w:val="18"/>
              </w:rPr>
              <w:t>27 / 30</w:t>
            </w:r>
          </w:p>
        </w:tc>
        <w:tc>
          <w:tcPr>
            <w:tcW w:type="dxa" w:w="1930"/>
          </w:tcPr>
          <w:p>
            <w:r>
              <w:rPr>
                <w:sz w:val="18"/>
              </w:rPr>
            </w:r>
            <w:r>
              <w:rPr>
                <w:sz w:val="18"/>
              </w:rPr>
              <w:t>4 / 30</w:t>
            </w:r>
          </w:p>
        </w:tc>
      </w:tr>
    </w:tbl>
    <w:p/>
    <w:p>
      <w:pPr>
        <w:jc w:val="both"/>
      </w:pPr>
      <w:r>
        <w:t xml:space="preserve">(rank 1 = cheapest). Without the third axis, dropping the brand name from the URL prices as among the </w:t>
      </w:r>
      <w:r>
        <w:rPr>
          <w:i/>
        </w:rPr>
        <w:t>cheapest</w:t>
      </w:r>
      <w:r>
        <w:t xml:space="preserve"> evasions available, and a cost-aware defence would correctly conclude it should spend most of its capacity defending against it, against an attack that ends the campaign. The conversion axis moves these three from ranks 3–5 to ranks 27–29. This is the difference between pricing what an attacker </w:t>
      </w:r>
      <w:r>
        <w:rPr>
          <w:i/>
        </w:rPr>
        <w:t>can</w:t>
      </w:r>
      <w:r>
        <w:t xml:space="preserve"> do and pricing what an attacker </w:t>
      </w:r>
      <w:r>
        <w:rPr>
          <w:i/>
        </w:rPr>
        <w:t>will</w:t>
      </w:r>
      <w:r>
        <w:t xml:space="preserve"> do.</w:t>
      </w:r>
    </w:p>
    <w:p>
      <w:pPr>
        <w:pStyle w:val="Heading2"/>
      </w:pPr>
      <w:r>
        <w:t>2.3 Rank-linear weighting</w:t>
      </w:r>
    </w:p>
    <w:p>
      <w:pPr>
        <w:jc w:val="both"/>
      </w:pPr>
      <w:r>
        <w:t xml:space="preserve">Defence mechanisms that weight features by cheapness cannot use 1/cᵢ directly. Across our price list 1/cᵢ spans 2.37 to 50.0, a </w:t>
      </w:r>
      <w:r>
        <w:rPr>
          <w:b/>
        </w:rPr>
        <w:t>21.1×</w:t>
      </w:r>
      <w:r>
        <w:t xml:space="preserve"> dynamic range, and that spread destabilises the loss landscape: a handful of free features dominate every gradient and training becomes high-variance.</w:t>
      </w:r>
    </w:p>
    <w:p>
      <w:pPr>
        <w:jc w:val="both"/>
      </w:pPr>
      <w:r>
        <w:t xml:space="preserve">We therefore weight by </w:t>
      </w:r>
      <w:r>
        <w:rPr>
          <w:i/>
        </w:rPr>
        <w:t>rank</w:t>
      </w:r>
      <w:r>
        <w:t xml:space="preserve"> rather than by reciprocal cost. With features ordered cheapest-first at normalised rank rᵢ ∈ [0,1],</w:t>
      </w:r>
    </w:p>
    <w:p>
      <w:pPr>
        <w:jc w:val="both"/>
      </w:pPr>
      <w:r>
        <w:t>ωᵢ = h - (h-1)  rᵢ,     h = 5</w:t>
      </w:r>
    </w:p>
    <w:p>
      <w:pPr>
        <w:jc w:val="both"/>
      </w:pPr>
      <w:r>
        <w:t xml:space="preserve">which preserves the cost ordering exactly while compressing the dynamic range from 21.1× to </w:t>
      </w:r>
      <w:r>
        <w:rPr>
          <w:b/>
        </w:rPr>
        <w:t>5×</w:t>
      </w:r>
      <w:r>
        <w:t>. The ordering is what the threat model asserts confidently; the precise ratios are not, and the defence should not be sensitive to them. It is not: perturbing w by ±10%, ±20% and ±30% moves median cost-to-evade only between 0.222 and 0.225 (§4.1.3), so the results depend on the ranking of manipulations by cost, not on the exact prices we assign.</w:t>
      </w:r>
    </w:p>
    <w:p>
      <w:pPr>
        <w:pStyle w:val="Heading2"/>
      </w:pPr>
      <w:r>
        <w:t>2.4 Cost-to-evade</w:t>
      </w:r>
    </w:p>
    <w:p>
      <w:pPr>
        <w:jc w:val="both"/>
      </w:pPr>
      <w:r>
        <w:t xml:space="preserve">We report CTE as the total price of the cheapest bundle of manipulations that moves a detected phishing sample below the operating threshold, searched greedily by score reduction per unit cost under a budget. Because evasion sometimes fails within budget, CTE is a right-censored time-to-event quantity and we estimate its median with a Kaplan–Meier curve. Censoring is both substantial and </w:t>
      </w:r>
      <w:r>
        <w:rPr>
          <w:i/>
        </w:rPr>
        <w:t>differential</w:t>
      </w:r>
      <w:r>
        <w:t>, 9.4% for the baseline against 38.3% for the defended model, so naive medians systematically understate the defence, whose entire mechanism is to make evasion fail more often (§4.1.4).</w:t>
      </w:r>
    </w:p>
    <w:p>
      <w:pPr>
        <w:pStyle w:val="Heading1"/>
      </w:pPr>
      <w:r>
        <w:t>3. System and Method</w:t>
      </w:r>
    </w:p>
    <w:p>
      <w:pPr>
        <w:pStyle w:val="Heading2"/>
      </w:pPr>
      <w:r>
        <w:t>3.1 Detectors and corpora</w:t>
      </w:r>
    </w:p>
    <w:p>
      <w:pPr>
        <w:jc w:val="both"/>
      </w:pPr>
      <w:r>
        <w:rPr>
          <w:b/>
        </w:rPr>
        <w:t>Lexical.</w:t>
      </w:r>
      <w:r>
        <w:t xml:space="preserve"> The lexical detector is a three-layer MLP (30 → 64 → 32 → 1, ReLU) over the hand-designed URL features of §2.2, trained with AdamW (η = 3×10⁻³, weight decay 10⁻⁴, batch 512, 30 epochs) on 84,082 URLs and evaluated on 20,337 held out under a </w:t>
      </w:r>
      <w:r>
        <w:rPr>
          <w:b/>
        </w:rPr>
        <w:t>domain-disjoint</w:t>
      </w:r>
      <w:r>
        <w:t xml:space="preserve"> split, so no registrable domain appears in both. The model is deliberately small and differentiable: input-gradient reliance and the cost-weighted penalties below are only well-defined on a differentiable detector, and the questions asked here are about </w:t>
      </w:r>
      <w:r>
        <w:rPr>
          <w:i/>
        </w:rPr>
        <w:t>mechanism</w:t>
      </w:r>
      <w:r>
        <w:t>, not about maximising absolute F1.</w:t>
      </w:r>
    </w:p>
    <w:p>
      <w:pPr>
        <w:jc w:val="both"/>
      </w:pPr>
      <w:r>
        <w:t>Operating thresholds are selected on validation at a 1% false-positive budget and frozen before test. All lexical gradient computations run on CPU (§4, protocol note).</w:t>
      </w:r>
    </w:p>
    <w:p>
      <w:pPr>
        <w:jc w:val="both"/>
      </w:pPr>
      <w:r>
        <w:rPr>
          <w:b/>
        </w:rPr>
        <w:t>Visual.</w:t>
      </w:r>
      <w:r>
        <w:t xml:space="preserve"> The visual detector is a ResNet-18 initialised from ImageNet with its classifier replaced by a linear projection to a 128-dimensional embedding, ℓ₂-normalised, trained with batch-hard triplet loss (Hermans et al.) using a softplus margin. Batches are P×K with P=8 brands and K=4 crops, 40 steps per epoch for 30 epochs, Adam at 10⁻⁴.</w:t>
      </w:r>
    </w:p>
    <w:p>
      <w:pPr>
        <w:jc w:val="both"/>
      </w:pPr>
      <w:r>
        <w:t xml:space="preserve">The corpus is built from the Phishpedia benchmark. Rather than downscaling a 1366px page: which renders a wordmark at roughly 23×21 px and destroys the signal (§4.2.1), we crop to the highest-confidence detected logo region, pad to a square to preserve aspect ratio, and resize to 128×128. After removing exact-duplicate crops (§3.4) this yields </w:t>
      </w:r>
      <w:r>
        <w:rPr>
          <w:b/>
        </w:rPr>
        <w:t>3,162 crops over 78 brands</w:t>
      </w:r>
      <w:r>
        <w:t xml:space="preserve">. Splits are </w:t>
      </w:r>
      <w:r>
        <w:rPr>
          <w:b/>
        </w:rPr>
        <w:t>family-disjoint</w:t>
      </w:r>
      <w:r>
        <w:t xml:space="preserve">: </w:t>
      </w:r>
      <w:r>
        <w:rPr>
          <w:rFonts w:ascii="Consolas" w:hAnsi="Consolas"/>
          <w:sz w:val="19"/>
        </w:rPr>
        <w:t>family_id</w:t>
      </w:r>
      <w:r>
        <w:t xml:space="preserve"> is a phishing-kit hash, so pages sharing one are near-duplicates, and brands held out for zero-shot evaluation contribute no training data at all.</w:t>
      </w:r>
    </w:p>
    <w:p>
      <w:pPr>
        <w:pStyle w:val="Heading2"/>
      </w:pPr>
      <w:r>
        <w:t>3.2 Defence mechanisms</w:t>
      </w:r>
    </w:p>
    <w:p>
      <w:pPr>
        <w:jc w:val="both"/>
      </w:pPr>
      <w:r>
        <w:t>All mechanisms weight features by the rank-linear ωᵢ ∈ [1,5] of §2.3 rather than by 1/cᵢ directly.</w:t>
      </w:r>
    </w:p>
    <w:p>
      <w:pPr>
        <w:pStyle w:val="Heading3"/>
      </w:pPr>
      <w:r>
        <w:t>3.2.1 Cost-weighted dropout (permissive)</w:t>
      </w:r>
    </w:p>
    <w:p>
      <w:pPr>
        <w:jc w:val="both"/>
      </w:pPr>
      <w:r>
        <w:t>Feature i is dropped independently per example with probability</w:t>
      </w:r>
    </w:p>
    <w:p>
      <w:pPr>
        <w:jc w:val="both"/>
      </w:pPr>
      <w:r>
        <w:t>pᵢ = ωᵢ - minⱼ ωⱼmaxⱼ ωⱼ - minⱼ ωⱼ· s,</w:t>
      </w:r>
    </w:p>
    <w:p>
      <w:pPr>
        <w:jc w:val="both"/>
      </w:pPr>
      <w:r>
        <w:t xml:space="preserve">so the cheapest feature is dropped with probability equal to the drop scale s and the most expensive is never dropped. Training minimises the ordinary cross-entropy on the masked input. Nothing is forbidden: a cheap feature remains fully available whenever it survives the mask, and the model is free to use it. What it cannot do is depend on it </w:t>
      </w:r>
      <w:r>
        <w:rPr>
          <w:i/>
        </w:rPr>
        <w:t>exclusively</w:t>
      </w:r>
      <w:r>
        <w:t xml:space="preserve">, because it is absent on a predictable fraction of steps. This is the sense in which the mechanism is </w:t>
      </w:r>
      <w:r>
        <w:rPr>
          <w:b/>
        </w:rPr>
        <w:t>permissive</w:t>
      </w:r>
      <w:r>
        <w:t xml:space="preserve"> rather than </w:t>
      </w:r>
      <w:r>
        <w:rPr>
          <w:b/>
        </w:rPr>
        <w:t>coercive</w:t>
      </w:r>
      <w:r>
        <w:t>, and §4.1.2 shows the distinction is the whole result.</w:t>
      </w:r>
    </w:p>
    <w:p>
      <w:pPr>
        <w:pStyle w:val="Heading3"/>
      </w:pPr>
      <w:r>
        <w:t>3.2.2 Cost-budgeted TRADES</w:t>
      </w:r>
    </w:p>
    <w:p>
      <w:pPr>
        <w:jc w:val="both"/>
      </w:pPr>
      <w:r>
        <w:t xml:space="preserve">Standard TRADES takes its inner maximum over an Lp ball, which §1.2 argues is the wrong feasible set. We replace it with the set of manipulations the attacker can </w:t>
      </w:r>
      <w:r>
        <w:rPr>
          <w:i/>
        </w:rPr>
        <w:t>afford</w:t>
      </w:r>
      <w:r>
        <w:t xml:space="preserve">: all feature subsets S with |S| ≤ 3 and ∑ᵢ∈ S cᵢ ≤ B. At B = 0.15 this is </w:t>
      </w:r>
      <w:r>
        <w:rPr>
          <w:b/>
        </w:rPr>
        <w:t>1,345 of the 4,525 subsets</w:t>
      </w:r>
      <w:r>
        <w:t xml:space="preserve"> with k ≤ 3. The inner step selects the affordable subset maximising the KL divergence between the clean and perturbed predictive distributions, a stochastic argmax over 16 sampled candidates per batch; and the outer objective adds β · KL to the classification loss. Perturbed features are moved to the benign centroid (zero in standardised space), which is where an attacker aims.</w:t>
      </w:r>
    </w:p>
    <w:p>
      <w:pPr>
        <w:pStyle w:val="Heading3"/>
      </w:pPr>
      <w:r>
        <w:t>3.2.3 Coercive baselines</w:t>
      </w:r>
    </w:p>
    <w:p>
      <w:pPr>
        <w:jc w:val="both"/>
      </w:pPr>
      <w:r>
        <w:t xml:space="preserve">Two comparators implement the intuitive alternative. The </w:t>
      </w:r>
      <w:r>
        <w:rPr>
          <w:b/>
        </w:rPr>
        <w:t>gradient penalty</w:t>
      </w:r>
      <w:r>
        <w:t xml:space="preserve"> adds λ ∑ᵢ ωᵢ (∂ f/∂ xᵢ)² to the loss, directly suppressing gradient mass on cheap features. The </w:t>
      </w:r>
      <w:r>
        <w:rPr>
          <w:b/>
        </w:rPr>
        <w:t>two-stage</w:t>
      </w:r>
      <w:r>
        <w:t xml:space="preserve"> variant trains normally for half the epochs and then applies the same penalty, testing whether the accuracy cost is an optimisation artefact rather than intrinsic. It is not (§4.1.2).</w:t>
      </w:r>
    </w:p>
    <w:p>
      <w:pPr>
        <w:pStyle w:val="Heading3"/>
      </w:pPr>
      <w:r>
        <w:t>3.2.4 Cost-weighted attack augmentation (visual)</w:t>
      </w:r>
    </w:p>
    <w:p>
      <w:pPr>
        <w:jc w:val="both"/>
      </w:pPr>
      <w:r>
        <w:t xml:space="preserve">In pixel space, features and attacks diverge: a patch has no economic value but the semantic operation altering it does. We therefore price </w:t>
      </w:r>
      <w:r>
        <w:rPr>
          <w:b/>
        </w:rPr>
        <w:t>attacks</w:t>
      </w:r>
      <w:r>
        <w:t xml:space="preserve"> rather than features, and sample them during training with</w:t>
      </w:r>
    </w:p>
    <w:p>
      <w:pPr>
        <w:jc w:val="both"/>
      </w:pPr>
      <w:r>
        <w:t>P(a) ∝ exp(-cost(a)/τ),</w:t>
      </w:r>
    </w:p>
    <w:p>
      <w:pPr>
        <w:jc w:val="both"/>
      </w:pPr>
      <w:r>
        <w:t xml:space="preserve">applying one sampled manipulation per training crop. The identity attack has cost zero and so retains the largest share; at τ = 0.06 roughly 37% of crops are left unmodified and the mass concentrates on cheap manipulations. The </w:t>
      </w:r>
      <w:r>
        <w:rPr>
          <w:b/>
        </w:rPr>
        <w:t>uniform</w:t>
      </w:r>
      <w:r>
        <w:t xml:space="preserve"> comparator samples the same eight manipulations with equal probability, which isolates the contribution of cost weighting from that of augmentation itself.</w:t>
      </w:r>
    </w:p>
    <w:p>
      <w:pPr>
        <w:pStyle w:val="Heading2"/>
      </w:pPr>
      <w:r>
        <w:t>3.3 Estimating cost-to-evade</w:t>
      </w:r>
    </w:p>
    <w:p>
      <w:pPr>
        <w:jc w:val="both"/>
      </w:pPr>
      <w:r>
        <w:t xml:space="preserve">Cost-to-evade is the total price of the cheapest bundle of manipulations that moves a detected phishing sample below the operating threshold. We search greedily by </w:t>
      </w:r>
      <w:r>
        <w:rPr>
          <w:i/>
        </w:rPr>
        <w:t>score reduction per unit cost</w:t>
      </w:r>
      <w:r>
        <w:t xml:space="preserve"> rather than cheapest-first, over up to 12 manipulations within a budget of 4.0, on the first 250 correctly-detected phishing samples. An earlier cheapest-first variant censored 85% of samples at the ceiling, pinning the median at the budget and rendering the metric blind to improvement.</w:t>
      </w:r>
    </w:p>
    <w:p>
      <w:pPr>
        <w:jc w:val="both"/>
      </w:pPr>
      <w:r>
        <w:t xml:space="preserve">Because evasion sometimes fails within budget, CTE is </w:t>
      </w:r>
      <w:r>
        <w:rPr>
          <w:b/>
        </w:rPr>
        <w:t>right-censored</w:t>
      </w:r>
      <w:r>
        <w:t xml:space="preserve"> and we estimate its median with a Kaplan–Meier curve. This is not a stylistic preference. Censoring is both substantial and </w:t>
      </w:r>
      <w:r>
        <w:rPr>
          <w:i/>
        </w:rPr>
        <w:t>differential</w:t>
      </w:r>
      <w:r>
        <w:t>. 9.4% for the baseline against 38.3% for the defended model: because the defence works precisely by making evasion fail. A naive median therefore truncates the defended model's most successful outcomes and systematically understates it (§4.1.4).</w:t>
      </w:r>
    </w:p>
    <w:p>
      <w:pPr>
        <w:pStyle w:val="Heading2"/>
      </w:pPr>
      <w:r>
        <w:t>3.4 Experiment-validity gates</w:t>
      </w:r>
    </w:p>
    <w:p>
      <w:pPr>
        <w:jc w:val="both"/>
      </w:pPr>
      <w:r>
        <w:t>A robustness result is meaningful only if the baseline could perform the task and the corpus and split can support the claim. We make these preconditions executable, run them before any defence is trained, and report that they reject two of our own experiments.</w:t>
      </w:r>
    </w:p>
    <w:p>
      <w:pPr>
        <w:jc w:val="both"/>
      </w:pPr>
      <w:r>
        <w:rPr>
          <w:b/>
        </w:rPr>
        <w:t>Competence gate.</w:t>
      </w:r>
      <w:r>
        <w:t xml:space="preserve"> Performance is normalised as skill above chance, skill(s) = (s - p_chance)/(1 - p_chance), so a balanced binary task (p=0.5) and an N-way retrieval task (p ≈ 0.02) are judged on one axis; a raw multiple-of-chance rule is not scale-invariant and is unsatisfiable for binary problems. We require skill ≥ 0.20 clean and ≥ 0.05 under cheap attack, below which no robustness signal remains for a defence to move. The decisive third condition compares against an </w:t>
      </w:r>
      <w:r>
        <w:rPr>
          <w:b/>
        </w:rPr>
        <w:t>untrained</w:t>
      </w:r>
      <w:r>
        <w:t xml:space="preserve"> reference: the trained baseline must beat raw ImageNet features </w:t>
      </w:r>
      <w:r>
        <w:rPr>
          <w:i/>
        </w:rPr>
        <w:t>under attack</w:t>
      </w:r>
      <w:r>
        <w:t>, not merely on clean data. This is the check that clean accuracy alone would have passed and that caught our full-page screenshot baseline (§4.2.1).</w:t>
      </w:r>
    </w:p>
    <w:p>
      <w:pPr>
        <w:jc w:val="both"/>
      </w:pPr>
      <w:r>
        <w:rPr>
          <w:b/>
        </w:rPr>
        <w:t>Corpus-validity gate.</w:t>
      </w:r>
      <w:r>
        <w:t xml:space="preserve"> A corpus can defeat a competent model in a way competence cannot detect. The gate asserts an </w:t>
      </w:r>
      <w:r>
        <w:rPr>
          <w:i/>
        </w:rPr>
        <w:t>ordering</w:t>
      </w:r>
      <w:r>
        <w:t>: removing the brand mark must degrade retrieval at least as much as a photometric perturbation, since logo matching rests on the premise that the wordmark carries identity. An inverted ordering means the model is a colour detector and any robustness number describes the renderer. Our synthetic corpus failed exactly this test while passing every competence check.</w:t>
      </w:r>
    </w:p>
    <w:p>
      <w:pPr>
        <w:jc w:val="both"/>
      </w:pPr>
      <w:r>
        <w:rPr>
          <w:b/>
        </w:rPr>
        <w:t>Split-leakage gate.</w:t>
      </w:r>
      <w:r>
        <w:t xml:space="preserve"> The first two gates both passed on a corpus in which 37.3% of query crops were pixel-identical to gallery crops, despite a </w:t>
      </w:r>
      <w:r>
        <w:rPr>
          <w:rFonts w:ascii="Consolas" w:hAnsi="Consolas"/>
          <w:sz w:val="19"/>
        </w:rPr>
        <w:t>family_id</w:t>
      </w:r>
      <w:r>
        <w:t xml:space="preserve"> split with zero violations across 75 brands. The gate fingerprints the tensors that reach the model, not the records they came from, and fails any split whose query set duplicates more than 2% of the gallery. It is applied to the train/gallery, train/query, gallery/query and zero-shot splits alike, since duplicate crops in a zero-shot set inflate precisely the generalisation claim that set exists to make.</w:t>
      </w:r>
    </w:p>
    <w:p>
      <w:pPr>
        <w:pStyle w:val="Heading1"/>
      </w:pPr>
      <w:r>
        <w:t>4. Evaluation and Results</w:t>
      </w:r>
    </w:p>
    <w:p>
      <w:pPr>
        <w:ind w:left="432"/>
      </w:pPr>
      <w:r>
        <w:rPr>
          <w:i/>
          <w:color w:val="555B66"/>
        </w:rPr>
        <w:t xml:space="preserve">Every figure below is reproducible from </w:t>
      </w:r>
      <w:r>
        <w:rPr>
          <w:rFonts w:ascii="Consolas" w:hAnsi="Consolas"/>
          <w:i/>
          <w:color w:val="555B66"/>
          <w:sz w:val="19"/>
        </w:rPr>
        <w:t>results/</w:t>
      </w:r>
      <w:r>
        <w:rPr>
          <w:i/>
          <w:color w:val="555B66"/>
        </w:rPr>
        <w:t xml:space="preserve">. §4.3 reports a completed </w:t>
      </w:r>
      <w:r>
        <w:rPr>
          <w:b/>
          <w:i/>
          <w:color w:val="555B66"/>
        </w:rPr>
        <w:t>thirteen-seed</w:t>
      </w:r>
      <w:r>
        <w:rPr>
          <w:i/>
          <w:color w:val="555B66"/>
        </w:rPr>
        <w:t xml:space="preserve"> paired replication (</w:t>
      </w:r>
      <w:r>
        <w:rPr>
          <w:rFonts w:ascii="Consolas" w:hAnsi="Consolas"/>
          <w:i/>
          <w:color w:val="555B66"/>
          <w:sz w:val="19"/>
        </w:rPr>
        <w:t>results/phishpedia_seeds_stats.json</w:t>
      </w:r>
      <w:r>
        <w:rPr>
          <w:i/>
          <w:color w:val="555B66"/>
        </w:rPr>
        <w:t xml:space="preserve">); all paired contrasts are two-sided paired </w:t>
      </w:r>
      <w:r>
        <w:rPr>
          <w:i/>
          <w:color w:val="555B66"/>
        </w:rPr>
        <w:t>t</w:t>
      </w:r>
      <w:r>
        <w:rPr>
          <w:i/>
          <w:color w:val="555B66"/>
        </w:rPr>
        <w:t>-tests over seeds, df=12.</w:t>
      </w:r>
    </w:p>
    <w:p>
      <w:pPr>
        <w:jc w:val="both"/>
      </w:pPr>
      <w:r>
        <w:rPr>
          <w:b/>
        </w:rPr>
        <w:t>Protocol note, stated once.</w:t>
      </w:r>
      <w:r>
        <w:t xml:space="preserve"> Three separate lexical runs exist with different baselines and configurations. Mixing them would produce inconsistencies a careful reader will catch, so each claim below cites one protocol and stays inside 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FF1F4"/>
          </w:tcPr>
          <w:p>
            <w:r>
              <w:rPr>
                <w:sz w:val="18"/>
              </w:rPr>
            </w:r>
            <w:r>
              <w:rPr>
                <w:b/>
              </w:rPr>
              <w:t>Protocol</w:t>
            </w:r>
          </w:p>
        </w:tc>
        <w:tc>
          <w:tcPr>
            <w:tcW w:type="dxa" w:w="2412"/>
            <w:shd w:val="clear" w:fill="EFF1F4"/>
          </w:tcPr>
          <w:p>
            <w:r>
              <w:rPr>
                <w:sz w:val="18"/>
              </w:rPr>
            </w:r>
            <w:r>
              <w:rPr>
                <w:b/>
              </w:rPr>
              <w:t>Baseline</w:t>
            </w:r>
          </w:p>
        </w:tc>
        <w:tc>
          <w:tcPr>
            <w:tcW w:type="dxa" w:w="2412"/>
            <w:shd w:val="clear" w:fill="EFF1F4"/>
          </w:tcPr>
          <w:p>
            <w:r>
              <w:rPr>
                <w:sz w:val="18"/>
              </w:rPr>
            </w:r>
            <w:r>
              <w:rPr>
                <w:b/>
              </w:rPr>
              <w:t>CTE estimator</w:t>
            </w:r>
          </w:p>
        </w:tc>
        <w:tc>
          <w:tcPr>
            <w:tcW w:type="dxa" w:w="2412"/>
            <w:shd w:val="clear" w:fill="EFF1F4"/>
          </w:tcPr>
          <w:p>
            <w:r>
              <w:rPr>
                <w:sz w:val="18"/>
              </w:rPr>
            </w:r>
            <w:r>
              <w:rPr>
                <w:b/>
              </w:rPr>
              <w:t>Used for</w:t>
            </w:r>
          </w:p>
        </w:tc>
      </w:tr>
      <w:tr>
        <w:tc>
          <w:tcPr>
            <w:tcW w:type="dxa" w:w="2412"/>
          </w:tcPr>
          <w:p>
            <w:r>
              <w:rPr>
                <w:sz w:val="18"/>
              </w:rPr>
            </w:r>
            <w:r>
              <w:rPr>
                <w:b/>
                <w:sz w:val="18"/>
              </w:rPr>
              <w:t>P1</w:t>
            </w:r>
            <w:r>
              <w:rPr>
                <w:sz w:val="18"/>
              </w:rPr>
              <w:t xml:space="preserve"> mechanism race, 5 seeds</w:t>
            </w:r>
          </w:p>
        </w:tc>
        <w:tc>
          <w:tcPr>
            <w:tcW w:type="dxa" w:w="2412"/>
          </w:tcPr>
          <w:p>
            <w:r>
              <w:rPr>
                <w:sz w:val="18"/>
              </w:rPr>
            </w:r>
            <w:r>
              <w:rPr>
                <w:sz w:val="18"/>
              </w:rPr>
              <w:t>F1 0.9358, CTE 0.0642</w:t>
            </w:r>
          </w:p>
        </w:tc>
        <w:tc>
          <w:tcPr>
            <w:tcW w:type="dxa" w:w="2412"/>
          </w:tcPr>
          <w:p>
            <w:r>
              <w:rPr>
                <w:sz w:val="18"/>
              </w:rPr>
            </w:r>
            <w:r>
              <w:rPr>
                <w:sz w:val="18"/>
              </w:rPr>
              <w:t>exhaustive k≤3</w:t>
            </w:r>
          </w:p>
        </w:tc>
        <w:tc>
          <w:tcPr>
            <w:tcW w:type="dxa" w:w="2412"/>
          </w:tcPr>
          <w:p>
            <w:r>
              <w:rPr>
                <w:sz w:val="18"/>
              </w:rPr>
            </w:r>
            <w:r>
              <w:rPr>
                <w:sz w:val="18"/>
              </w:rPr>
              <w:t>mechanism comparison (§4.1.2)</w:t>
            </w:r>
          </w:p>
        </w:tc>
      </w:tr>
      <w:tr>
        <w:tc>
          <w:tcPr>
            <w:tcW w:type="dxa" w:w="2412"/>
          </w:tcPr>
          <w:p>
            <w:r>
              <w:rPr>
                <w:sz w:val="18"/>
              </w:rPr>
            </w:r>
            <w:r>
              <w:rPr>
                <w:b/>
                <w:sz w:val="18"/>
              </w:rPr>
              <w:t>P2</w:t>
            </w:r>
            <w:r>
              <w:rPr>
                <w:sz w:val="18"/>
              </w:rPr>
              <w:t xml:space="preserve"> dropout sweep, 5 seeds</w:t>
            </w:r>
          </w:p>
        </w:tc>
        <w:tc>
          <w:tcPr>
            <w:tcW w:type="dxa" w:w="2412"/>
          </w:tcPr>
          <w:p>
            <w:r>
              <w:rPr>
                <w:sz w:val="18"/>
              </w:rPr>
            </w:r>
            <w:r>
              <w:rPr>
                <w:sz w:val="18"/>
              </w:rPr>
              <w:t>F1 0.9364, CTE 0.0595</w:t>
            </w:r>
          </w:p>
        </w:tc>
        <w:tc>
          <w:tcPr>
            <w:tcW w:type="dxa" w:w="2412"/>
          </w:tcPr>
          <w:p>
            <w:r>
              <w:rPr>
                <w:sz w:val="18"/>
              </w:rPr>
            </w:r>
            <w:r>
              <w:rPr>
                <w:sz w:val="18"/>
              </w:rPr>
              <w:t>exhaustive k≤3</w:t>
            </w:r>
          </w:p>
        </w:tc>
        <w:tc>
          <w:tcPr>
            <w:tcW w:type="dxa" w:w="2412"/>
          </w:tcPr>
          <w:p>
            <w:r>
              <w:rPr>
                <w:sz w:val="18"/>
              </w:rPr>
            </w:r>
            <w:r>
              <w:rPr>
                <w:sz w:val="18"/>
              </w:rPr>
              <w:t>Pareto frontier (§4.1.3)</w:t>
            </w:r>
          </w:p>
        </w:tc>
      </w:tr>
      <w:tr>
        <w:tc>
          <w:tcPr>
            <w:tcW w:type="dxa" w:w="2412"/>
          </w:tcPr>
          <w:p>
            <w:r>
              <w:rPr>
                <w:sz w:val="18"/>
              </w:rPr>
            </w:r>
            <w:r>
              <w:rPr>
                <w:b/>
                <w:sz w:val="18"/>
              </w:rPr>
              <w:t>P3</w:t>
            </w:r>
            <w:r>
              <w:rPr>
                <w:sz w:val="18"/>
              </w:rPr>
              <w:t xml:space="preserve"> censoring-aware</w:t>
            </w:r>
          </w:p>
        </w:tc>
        <w:tc>
          <w:tcPr>
            <w:tcW w:type="dxa" w:w="2412"/>
          </w:tcPr>
          <w:p>
            <w:r>
              <w:rPr>
                <w:sz w:val="18"/>
              </w:rPr>
            </w:r>
            <w:r>
              <w:rPr>
                <w:sz w:val="18"/>
              </w:rPr>
              <w:t>F1 0.9358, KM 0.0650</w:t>
            </w:r>
          </w:p>
        </w:tc>
        <w:tc>
          <w:tcPr>
            <w:tcW w:type="dxa" w:w="2412"/>
          </w:tcPr>
          <w:p>
            <w:r>
              <w:rPr>
                <w:sz w:val="18"/>
              </w:rPr>
            </w:r>
            <w:r>
              <w:rPr>
                <w:sz w:val="18"/>
              </w:rPr>
              <w:t>Kaplan–Meier</w:t>
            </w:r>
          </w:p>
        </w:tc>
        <w:tc>
          <w:tcPr>
            <w:tcW w:type="dxa" w:w="2412"/>
          </w:tcPr>
          <w:p>
            <w:r>
              <w:rPr>
                <w:sz w:val="18"/>
              </w:rPr>
            </w:r>
            <w:r>
              <w:rPr>
                <w:sz w:val="18"/>
              </w:rPr>
              <w:t>survival analysis (§4.1.4)</w:t>
            </w:r>
          </w:p>
        </w:tc>
      </w:tr>
    </w:tbl>
    <w:p/>
    <w:p>
      <w:pPr>
        <w:jc w:val="both"/>
      </w:pPr>
      <w:r>
        <w:t xml:space="preserve">All lexical gradient computations run on CPU. On MPS the baseline reliance gradient returned all-NaN while defended arms stayed finite, and averaging over seeds propagated that silently into a </w:t>
      </w:r>
      <w:r>
        <w:rPr>
          <w:i/>
        </w:rPr>
        <w:t>completed</w:t>
      </w:r>
      <w:r>
        <w:t xml:space="preserve"> run that reported H1 and H2 as </w:t>
      </w:r>
      <w:r>
        <w:rPr>
          <w:rFonts w:ascii="Consolas" w:hAnsi="Consolas"/>
          <w:sz w:val="19"/>
        </w:rPr>
        <w:t>nan</w:t>
      </w:r>
      <w:r>
        <w:t>. The evaluation harness now raises on non-finite reliance rather than averaging it.</w:t>
      </w:r>
    </w:p>
    <w:p>
      <w:pPr>
        <w:pStyle w:val="Heading2"/>
      </w:pPr>
      <w:r>
        <w:t>4.1 The accuracy tax and feature redundancy (lexical analysis)</w:t>
      </w:r>
    </w:p>
    <w:p>
      <w:pPr>
        <w:pStyle w:val="Heading3"/>
      </w:pPr>
      <w:r>
        <w:t>4.1.1 The attack surface is where reliance meets cheapness</w:t>
      </w:r>
    </w:p>
    <w:p>
      <w:pPr>
        <w:jc w:val="both"/>
      </w:pPr>
      <w:r>
        <w:t>A detector's exposure is not its reliance on a feature, nor that feature's manipulation cost, but the ratio. We test this directly. Input-gradient reliance is only weakly concentrated on cheap features, corr(reliance, 1/cost) = +0.201 ± 0.031 over five seeds, so an audit that stopped at "does the model use cheap features?" would find little. But per-feature evasion success tracks the ratio strongly: corr(evasion, reliance/cost) = +0.774 ± 0.045.</w:t>
      </w:r>
    </w:p>
    <w:p>
      <w:pPr>
        <w:jc w:val="both"/>
      </w:pPr>
      <w:r>
        <w:t>The gap between +0.201 and +0.774 is the contribution. Reliance alone is a weak predictor of exploitability; reliance priced by manipulation cost is a strong one.</w:t>
      </w:r>
    </w:p>
    <w:p>
      <w:pPr>
        <w:jc w:val="both"/>
      </w:pPr>
      <w:r>
        <w:rPr>
          <w:b/>
        </w:rPr>
        <w:t>Table 4.1. Most effective single-feature evasions (5 seeds, mean ± sd).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FF1F4"/>
          </w:tcPr>
          <w:p>
            <w:r>
              <w:rPr>
                <w:sz w:val="18"/>
              </w:rPr>
            </w:r>
            <w:r>
              <w:rPr>
                <w:b/>
              </w:rPr>
              <w:t>Feature</w:t>
            </w:r>
          </w:p>
        </w:tc>
        <w:tc>
          <w:tcPr>
            <w:tcW w:type="dxa" w:w="3216"/>
            <w:shd w:val="clear" w:fill="EFF1F4"/>
          </w:tcPr>
          <w:p>
            <w:r>
              <w:rPr>
                <w:sz w:val="18"/>
              </w:rPr>
            </w:r>
            <w:r>
              <w:rPr>
                <w:b/>
              </w:rPr>
              <w:t>Evasion</w:t>
            </w:r>
          </w:p>
        </w:tc>
        <w:tc>
          <w:tcPr>
            <w:tcW w:type="dxa" w:w="3216"/>
            <w:shd w:val="clear" w:fill="EFF1F4"/>
          </w:tcPr>
          <w:p>
            <w:r>
              <w:rPr>
                <w:sz w:val="18"/>
              </w:rPr>
            </w:r>
            <w:r>
              <w:rPr>
                <w:b/>
              </w:rPr>
              <w:t>Cost</w:t>
            </w:r>
          </w:p>
        </w:tc>
      </w:tr>
      <w:tr>
        <w:tc>
          <w:tcPr>
            <w:tcW w:type="dxa" w:w="3216"/>
          </w:tcPr>
          <w:p>
            <w:r>
              <w:rPr>
                <w:sz w:val="18"/>
              </w:rPr>
            </w:r>
            <w:r>
              <w:rPr>
                <w:rFonts w:ascii="Consolas" w:hAnsi="Consolas"/>
                <w:sz w:val="18"/>
              </w:rPr>
              <w:t>num_slashes</w:t>
            </w:r>
          </w:p>
        </w:tc>
        <w:tc>
          <w:tcPr>
            <w:tcW w:type="dxa" w:w="3216"/>
          </w:tcPr>
          <w:p>
            <w:r>
              <w:rPr>
                <w:sz w:val="18"/>
              </w:rPr>
            </w:r>
            <w:r>
              <w:rPr>
                <w:sz w:val="18"/>
              </w:rPr>
              <w:t>20.1% ± 1.9</w:t>
            </w:r>
          </w:p>
        </w:tc>
        <w:tc>
          <w:tcPr>
            <w:tcW w:type="dxa" w:w="3216"/>
          </w:tcPr>
          <w:p>
            <w:r>
              <w:rPr>
                <w:sz w:val="18"/>
              </w:rPr>
            </w:r>
            <w:r>
              <w:rPr>
                <w:sz w:val="18"/>
              </w:rPr>
              <w:t>0.020</w:t>
            </w:r>
          </w:p>
        </w:tc>
      </w:tr>
      <w:tr>
        <w:tc>
          <w:tcPr>
            <w:tcW w:type="dxa" w:w="3216"/>
          </w:tcPr>
          <w:p>
            <w:r>
              <w:rPr>
                <w:sz w:val="18"/>
              </w:rPr>
            </w:r>
            <w:r>
              <w:rPr>
                <w:rFonts w:ascii="Consolas" w:hAnsi="Consolas"/>
                <w:sz w:val="18"/>
              </w:rPr>
              <w:t>path_depth</w:t>
            </w:r>
          </w:p>
        </w:tc>
        <w:tc>
          <w:tcPr>
            <w:tcW w:type="dxa" w:w="3216"/>
          </w:tcPr>
          <w:p>
            <w:r>
              <w:rPr>
                <w:sz w:val="18"/>
              </w:rPr>
            </w:r>
            <w:r>
              <w:rPr>
                <w:sz w:val="18"/>
              </w:rPr>
              <w:t>8.9% ± 1.5</w:t>
            </w:r>
          </w:p>
        </w:tc>
        <w:tc>
          <w:tcPr>
            <w:tcW w:type="dxa" w:w="3216"/>
          </w:tcPr>
          <w:p>
            <w:r>
              <w:rPr>
                <w:sz w:val="18"/>
              </w:rPr>
            </w:r>
            <w:r>
              <w:rPr>
                <w:sz w:val="18"/>
              </w:rPr>
              <w:t>0.020</w:t>
            </w:r>
          </w:p>
        </w:tc>
      </w:tr>
      <w:tr>
        <w:tc>
          <w:tcPr>
            <w:tcW w:type="dxa" w:w="3216"/>
          </w:tcPr>
          <w:p>
            <w:r>
              <w:rPr>
                <w:sz w:val="18"/>
              </w:rPr>
            </w:r>
            <w:r>
              <w:rPr>
                <w:rFonts w:ascii="Consolas" w:hAnsi="Consolas"/>
                <w:sz w:val="18"/>
              </w:rPr>
              <w:t>hostname_length</w:t>
            </w:r>
          </w:p>
        </w:tc>
        <w:tc>
          <w:tcPr>
            <w:tcW w:type="dxa" w:w="3216"/>
          </w:tcPr>
          <w:p>
            <w:r>
              <w:rPr>
                <w:sz w:val="18"/>
              </w:rPr>
            </w:r>
            <w:r>
              <w:rPr>
                <w:sz w:val="18"/>
              </w:rPr>
              <w:t>7.5% ± 1.0</w:t>
            </w:r>
          </w:p>
        </w:tc>
        <w:tc>
          <w:tcPr>
            <w:tcW w:type="dxa" w:w="3216"/>
          </w:tcPr>
          <w:p>
            <w:r>
              <w:rPr>
                <w:sz w:val="18"/>
              </w:rPr>
            </w:r>
            <w:r>
              <w:rPr>
                <w:sz w:val="18"/>
              </w:rPr>
              <w:t>0.170</w:t>
            </w:r>
          </w:p>
        </w:tc>
      </w:tr>
      <w:tr>
        <w:tc>
          <w:tcPr>
            <w:tcW w:type="dxa" w:w="3216"/>
          </w:tcPr>
          <w:p>
            <w:r>
              <w:rPr>
                <w:sz w:val="18"/>
              </w:rPr>
            </w:r>
            <w:r>
              <w:rPr>
                <w:rFonts w:ascii="Consolas" w:hAnsi="Consolas"/>
                <w:sz w:val="18"/>
              </w:rPr>
              <w:t>special_ratio</w:t>
            </w:r>
          </w:p>
        </w:tc>
        <w:tc>
          <w:tcPr>
            <w:tcW w:type="dxa" w:w="3216"/>
          </w:tcPr>
          <w:p>
            <w:r>
              <w:rPr>
                <w:sz w:val="18"/>
              </w:rPr>
            </w:r>
            <w:r>
              <w:rPr>
                <w:sz w:val="18"/>
              </w:rPr>
              <w:t>5.4% ± 2.2</w:t>
            </w:r>
          </w:p>
        </w:tc>
        <w:tc>
          <w:tcPr>
            <w:tcW w:type="dxa" w:w="3216"/>
          </w:tcPr>
          <w:p>
            <w:r>
              <w:rPr>
                <w:sz w:val="18"/>
              </w:rPr>
            </w:r>
            <w:r>
              <w:rPr>
                <w:sz w:val="18"/>
              </w:rPr>
              <w:t>0.028</w:t>
            </w:r>
          </w:p>
        </w:tc>
      </w:tr>
      <w:tr>
        <w:tc>
          <w:tcPr>
            <w:tcW w:type="dxa" w:w="3216"/>
          </w:tcPr>
          <w:p>
            <w:r>
              <w:rPr>
                <w:sz w:val="18"/>
              </w:rPr>
            </w:r>
            <w:r>
              <w:rPr>
                <w:rFonts w:ascii="Consolas" w:hAnsi="Consolas"/>
                <w:sz w:val="18"/>
              </w:rPr>
              <w:t>hostname_entropy</w:t>
            </w:r>
          </w:p>
        </w:tc>
        <w:tc>
          <w:tcPr>
            <w:tcW w:type="dxa" w:w="3216"/>
          </w:tcPr>
          <w:p>
            <w:r>
              <w:rPr>
                <w:sz w:val="18"/>
              </w:rPr>
            </w:r>
            <w:r>
              <w:rPr>
                <w:sz w:val="18"/>
              </w:rPr>
              <w:t>5.2% ± 0.6</w:t>
            </w:r>
          </w:p>
        </w:tc>
        <w:tc>
          <w:tcPr>
            <w:tcW w:type="dxa" w:w="3216"/>
          </w:tcPr>
          <w:p>
            <w:r>
              <w:rPr>
                <w:sz w:val="18"/>
              </w:rPr>
            </w:r>
            <w:r>
              <w:rPr>
                <w:sz w:val="18"/>
              </w:rPr>
              <w:t>0.198</w:t>
            </w:r>
          </w:p>
        </w:tc>
      </w:tr>
      <w:tr>
        <w:tc>
          <w:tcPr>
            <w:tcW w:type="dxa" w:w="3216"/>
          </w:tcPr>
          <w:p>
            <w:r>
              <w:rPr>
                <w:sz w:val="18"/>
              </w:rPr>
            </w:r>
            <w:r>
              <w:rPr>
                <w:rFonts w:ascii="Consolas" w:hAnsi="Consolas"/>
                <w:sz w:val="18"/>
              </w:rPr>
              <w:t>num_subdomains</w:t>
            </w:r>
          </w:p>
        </w:tc>
        <w:tc>
          <w:tcPr>
            <w:tcW w:type="dxa" w:w="3216"/>
          </w:tcPr>
          <w:p>
            <w:r>
              <w:rPr>
                <w:sz w:val="18"/>
              </w:rPr>
            </w:r>
            <w:r>
              <w:rPr>
                <w:sz w:val="18"/>
              </w:rPr>
              <w:t>4.9% ± 1.1</w:t>
            </w:r>
          </w:p>
        </w:tc>
        <w:tc>
          <w:tcPr>
            <w:tcW w:type="dxa" w:w="3216"/>
          </w:tcPr>
          <w:p>
            <w:r>
              <w:rPr>
                <w:sz w:val="18"/>
              </w:rPr>
            </w:r>
            <w:r>
              <w:rPr>
                <w:sz w:val="18"/>
              </w:rPr>
              <w:t>0.038</w:t>
            </w:r>
          </w:p>
        </w:tc>
      </w:tr>
    </w:tbl>
    <w:p/>
    <w:p>
      <w:pPr>
        <w:jc w:val="both"/>
      </w:pPr>
      <w:r>
        <w:t>The two most damaging manipulations are also the two cheapest in the table.</w:t>
      </w:r>
    </w:p>
    <w:p>
      <w:pPr>
        <w:pStyle w:val="Heading3"/>
      </w:pPr>
      <w:r>
        <w:t>4.1.2 The coercive defence and its accuracy tax (P1)</w:t>
      </w:r>
    </w:p>
    <w:p>
      <w:pPr>
        <w:jc w:val="both"/>
      </w:pPr>
      <w:r>
        <w:t>The intuitive defence is coercive: penalise gradient mass on cheap features and force the model onto expensive ones. It works as designed and is unusable.</w:t>
      </w:r>
    </w:p>
    <w:p>
      <w:pPr>
        <w:jc w:val="both"/>
      </w:pPr>
      <w:r>
        <w:rPr>
          <w:b/>
        </w:rPr>
        <w:t>Table 4.2. Mechanism comparison, five seeds (P1).</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EFF1F4"/>
          </w:tcPr>
          <w:p>
            <w:r>
              <w:rPr>
                <w:sz w:val="18"/>
              </w:rPr>
            </w:r>
            <w:r>
              <w:rPr>
                <w:b/>
              </w:rPr>
              <w:t>Mechanism</w:t>
            </w:r>
          </w:p>
        </w:tc>
        <w:tc>
          <w:tcPr>
            <w:tcW w:type="dxa" w:w="1608"/>
            <w:shd w:val="clear" w:fill="EFF1F4"/>
          </w:tcPr>
          <w:p>
            <w:r>
              <w:rPr>
                <w:sz w:val="18"/>
              </w:rPr>
            </w:r>
            <w:r>
              <w:rPr>
                <w:b/>
              </w:rPr>
              <w:t>F1</w:t>
            </w:r>
          </w:p>
        </w:tc>
        <w:tc>
          <w:tcPr>
            <w:tcW w:type="dxa" w:w="1608"/>
            <w:shd w:val="clear" w:fill="EFF1F4"/>
          </w:tcPr>
          <w:p>
            <w:r>
              <w:rPr>
                <w:sz w:val="18"/>
              </w:rPr>
            </w:r>
            <w:r>
              <w:rPr>
                <w:b/>
              </w:rPr>
              <w:t>ΔF1</w:t>
            </w:r>
          </w:p>
        </w:tc>
        <w:tc>
          <w:tcPr>
            <w:tcW w:type="dxa" w:w="1608"/>
            <w:shd w:val="clear" w:fill="EFF1F4"/>
          </w:tcPr>
          <w:p>
            <w:r>
              <w:rPr>
                <w:sz w:val="18"/>
              </w:rPr>
            </w:r>
            <w:r>
              <w:rPr>
                <w:b/>
              </w:rPr>
              <w:t>CTE</w:t>
            </w:r>
          </w:p>
        </w:tc>
        <w:tc>
          <w:tcPr>
            <w:tcW w:type="dxa" w:w="1608"/>
            <w:shd w:val="clear" w:fill="EFF1F4"/>
          </w:tcPr>
          <w:p>
            <w:r>
              <w:rPr>
                <w:sz w:val="18"/>
              </w:rPr>
            </w:r>
            <w:r>
              <w:rPr>
                <w:b/>
              </w:rPr>
              <w:t>ΔCTE</w:t>
            </w:r>
          </w:p>
        </w:tc>
        <w:tc>
          <w:tcPr>
            <w:tcW w:type="dxa" w:w="1608"/>
            <w:shd w:val="clear" w:fill="EFF1F4"/>
          </w:tcPr>
          <w:p>
            <w:r>
              <w:rPr>
                <w:sz w:val="18"/>
              </w:rPr>
            </w:r>
            <w:r>
              <w:rPr>
                <w:b/>
              </w:rPr>
              <w:t>corr(reliance, 1/cost)</w:t>
            </w:r>
          </w:p>
        </w:tc>
      </w:tr>
      <w:tr>
        <w:tc>
          <w:tcPr>
            <w:tcW w:type="dxa" w:w="1608"/>
          </w:tcPr>
          <w:p>
            <w:r>
              <w:rPr>
                <w:sz w:val="18"/>
              </w:rPr>
            </w:r>
            <w:r>
              <w:rPr>
                <w:sz w:val="18"/>
              </w:rPr>
              <w:t>baseline</w:t>
            </w:r>
          </w:p>
        </w:tc>
        <w:tc>
          <w:tcPr>
            <w:tcW w:type="dxa" w:w="1608"/>
          </w:tcPr>
          <w:p>
            <w:r>
              <w:rPr>
                <w:sz w:val="18"/>
              </w:rPr>
            </w:r>
            <w:r>
              <w:rPr>
                <w:sz w:val="18"/>
              </w:rPr>
              <w:t>0.9358</w:t>
            </w:r>
          </w:p>
        </w:tc>
        <w:tc>
          <w:tcPr>
            <w:tcW w:type="dxa" w:w="1608"/>
          </w:tcPr>
          <w:p>
            <w:r>
              <w:rPr>
                <w:sz w:val="18"/>
              </w:rPr>
            </w:r>
            <w:r>
              <w:rPr>
                <w:sz w:val="18"/>
              </w:rPr>
              <w:t>,</w:t>
            </w:r>
          </w:p>
        </w:tc>
        <w:tc>
          <w:tcPr>
            <w:tcW w:type="dxa" w:w="1608"/>
          </w:tcPr>
          <w:p>
            <w:r>
              <w:rPr>
                <w:sz w:val="18"/>
              </w:rPr>
            </w:r>
            <w:r>
              <w:rPr>
                <w:sz w:val="18"/>
              </w:rPr>
              <w:t>0.064</w:t>
            </w:r>
          </w:p>
        </w:tc>
        <w:tc>
          <w:tcPr>
            <w:tcW w:type="dxa" w:w="1608"/>
          </w:tcPr>
          <w:p>
            <w:r>
              <w:rPr>
                <w:sz w:val="18"/>
              </w:rPr>
            </w:r>
            <w:r>
              <w:rPr>
                <w:sz w:val="18"/>
              </w:rPr>
              <w:t>,</w:t>
            </w:r>
          </w:p>
        </w:tc>
        <w:tc>
          <w:tcPr>
            <w:tcW w:type="dxa" w:w="1608"/>
          </w:tcPr>
          <w:p>
            <w:r>
              <w:rPr>
                <w:sz w:val="18"/>
              </w:rPr>
            </w:r>
            <w:r>
              <w:rPr>
                <w:sz w:val="18"/>
              </w:rPr>
              <w:t>+0.202</w:t>
            </w:r>
          </w:p>
        </w:tc>
      </w:tr>
      <w:tr>
        <w:tc>
          <w:tcPr>
            <w:tcW w:type="dxa" w:w="1608"/>
          </w:tcPr>
          <w:p>
            <w:r>
              <w:rPr>
                <w:sz w:val="18"/>
              </w:rPr>
            </w:r>
            <w:r>
              <w:rPr>
                <w:sz w:val="18"/>
              </w:rPr>
              <w:t>gradient penalty</w:t>
            </w:r>
          </w:p>
        </w:tc>
        <w:tc>
          <w:tcPr>
            <w:tcW w:type="dxa" w:w="1608"/>
          </w:tcPr>
          <w:p>
            <w:r>
              <w:rPr>
                <w:sz w:val="18"/>
              </w:rPr>
            </w:r>
            <w:r>
              <w:rPr>
                <w:sz w:val="18"/>
              </w:rPr>
              <w:t>0.8200</w:t>
            </w:r>
          </w:p>
        </w:tc>
        <w:tc>
          <w:tcPr>
            <w:tcW w:type="dxa" w:w="1608"/>
          </w:tcPr>
          <w:p>
            <w:r>
              <w:rPr>
                <w:sz w:val="18"/>
              </w:rPr>
            </w:r>
            <w:r>
              <w:rPr>
                <w:b/>
                <w:sz w:val="18"/>
              </w:rPr>
              <w:t>−12.37%</w:t>
            </w:r>
          </w:p>
        </w:tc>
        <w:tc>
          <w:tcPr>
            <w:tcW w:type="dxa" w:w="1608"/>
          </w:tcPr>
          <w:p>
            <w:r>
              <w:rPr>
                <w:sz w:val="18"/>
              </w:rPr>
            </w:r>
            <w:r>
              <w:rPr>
                <w:sz w:val="18"/>
              </w:rPr>
              <w:t>0.195</w:t>
            </w:r>
          </w:p>
        </w:tc>
        <w:tc>
          <w:tcPr>
            <w:tcW w:type="dxa" w:w="1608"/>
          </w:tcPr>
          <w:p>
            <w:r>
              <w:rPr>
                <w:sz w:val="18"/>
              </w:rPr>
            </w:r>
            <w:r>
              <w:rPr>
                <w:sz w:val="18"/>
              </w:rPr>
              <w:t>+203.9%</w:t>
            </w:r>
          </w:p>
        </w:tc>
        <w:tc>
          <w:tcPr>
            <w:tcW w:type="dxa" w:w="1608"/>
          </w:tcPr>
          <w:p>
            <w:r>
              <w:rPr>
                <w:sz w:val="18"/>
              </w:rPr>
            </w:r>
            <w:r>
              <w:rPr>
                <w:b/>
                <w:sz w:val="18"/>
              </w:rPr>
              <w:t>−0.498</w:t>
            </w:r>
          </w:p>
        </w:tc>
      </w:tr>
      <w:tr>
        <w:tc>
          <w:tcPr>
            <w:tcW w:type="dxa" w:w="1608"/>
          </w:tcPr>
          <w:p>
            <w:r>
              <w:rPr>
                <w:sz w:val="18"/>
              </w:rPr>
            </w:r>
            <w:r>
              <w:rPr>
                <w:sz w:val="18"/>
              </w:rPr>
              <w:t>two-stage</w:t>
            </w:r>
          </w:p>
        </w:tc>
        <w:tc>
          <w:tcPr>
            <w:tcW w:type="dxa" w:w="1608"/>
          </w:tcPr>
          <w:p>
            <w:r>
              <w:rPr>
                <w:sz w:val="18"/>
              </w:rPr>
            </w:r>
            <w:r>
              <w:rPr>
                <w:sz w:val="18"/>
              </w:rPr>
              <w:t>0.8167</w:t>
            </w:r>
          </w:p>
        </w:tc>
        <w:tc>
          <w:tcPr>
            <w:tcW w:type="dxa" w:w="1608"/>
          </w:tcPr>
          <w:p>
            <w:r>
              <w:rPr>
                <w:sz w:val="18"/>
              </w:rPr>
            </w:r>
            <w:r>
              <w:rPr>
                <w:sz w:val="18"/>
              </w:rPr>
              <w:t>−12.73%</w:t>
            </w:r>
          </w:p>
        </w:tc>
        <w:tc>
          <w:tcPr>
            <w:tcW w:type="dxa" w:w="1608"/>
          </w:tcPr>
          <w:p>
            <w:r>
              <w:rPr>
                <w:sz w:val="18"/>
              </w:rPr>
            </w:r>
            <w:r>
              <w:rPr>
                <w:sz w:val="18"/>
              </w:rPr>
              <w:t>0.190</w:t>
            </w:r>
          </w:p>
        </w:tc>
        <w:tc>
          <w:tcPr>
            <w:tcW w:type="dxa" w:w="1608"/>
          </w:tcPr>
          <w:p>
            <w:r>
              <w:rPr>
                <w:sz w:val="18"/>
              </w:rPr>
            </w:r>
            <w:r>
              <w:rPr>
                <w:sz w:val="18"/>
              </w:rPr>
              <w:t>+196.1%</w:t>
            </w:r>
          </w:p>
        </w:tc>
        <w:tc>
          <w:tcPr>
            <w:tcW w:type="dxa" w:w="1608"/>
          </w:tcPr>
          <w:p>
            <w:r>
              <w:rPr>
                <w:sz w:val="18"/>
              </w:rPr>
            </w:r>
            <w:r>
              <w:rPr>
                <w:sz w:val="18"/>
              </w:rPr>
              <w:t>−0.336</w:t>
            </w:r>
          </w:p>
        </w:tc>
      </w:tr>
      <w:tr>
        <w:tc>
          <w:tcPr>
            <w:tcW w:type="dxa" w:w="1608"/>
          </w:tcPr>
          <w:p>
            <w:r>
              <w:rPr>
                <w:sz w:val="18"/>
              </w:rPr>
            </w:r>
            <w:r>
              <w:rPr>
                <w:sz w:val="18"/>
              </w:rPr>
              <w:t>cost-budgeted TRADES</w:t>
            </w:r>
          </w:p>
        </w:tc>
        <w:tc>
          <w:tcPr>
            <w:tcW w:type="dxa" w:w="1608"/>
          </w:tcPr>
          <w:p>
            <w:r>
              <w:rPr>
                <w:sz w:val="18"/>
              </w:rPr>
            </w:r>
            <w:r>
              <w:rPr>
                <w:sz w:val="18"/>
              </w:rPr>
              <w:t>0.9287</w:t>
            </w:r>
          </w:p>
        </w:tc>
        <w:tc>
          <w:tcPr>
            <w:tcW w:type="dxa" w:w="1608"/>
          </w:tcPr>
          <w:p>
            <w:r>
              <w:rPr>
                <w:sz w:val="18"/>
              </w:rPr>
            </w:r>
            <w:r>
              <w:rPr>
                <w:sz w:val="18"/>
              </w:rPr>
              <w:t>−0.76%</w:t>
            </w:r>
          </w:p>
        </w:tc>
        <w:tc>
          <w:tcPr>
            <w:tcW w:type="dxa" w:w="1608"/>
          </w:tcPr>
          <w:p>
            <w:r>
              <w:rPr>
                <w:sz w:val="18"/>
              </w:rPr>
            </w:r>
            <w:r>
              <w:rPr>
                <w:sz w:val="18"/>
              </w:rPr>
              <w:t>0.101</w:t>
            </w:r>
          </w:p>
        </w:tc>
        <w:tc>
          <w:tcPr>
            <w:tcW w:type="dxa" w:w="1608"/>
          </w:tcPr>
          <w:p>
            <w:r>
              <w:rPr>
                <w:sz w:val="18"/>
              </w:rPr>
            </w:r>
            <w:r>
              <w:rPr>
                <w:sz w:val="18"/>
              </w:rPr>
              <w:t>+57.8%</w:t>
            </w:r>
          </w:p>
        </w:tc>
        <w:tc>
          <w:tcPr>
            <w:tcW w:type="dxa" w:w="1608"/>
          </w:tcPr>
          <w:p>
            <w:r>
              <w:rPr>
                <w:sz w:val="18"/>
              </w:rPr>
            </w:r>
            <w:r>
              <w:rPr>
                <w:sz w:val="18"/>
              </w:rPr>
              <w:t>+0.014</w:t>
            </w:r>
          </w:p>
        </w:tc>
      </w:tr>
      <w:tr>
        <w:tc>
          <w:tcPr>
            <w:tcW w:type="dxa" w:w="1608"/>
          </w:tcPr>
          <w:p>
            <w:r>
              <w:rPr>
                <w:sz w:val="18"/>
              </w:rPr>
            </w:r>
            <w:r>
              <w:rPr>
                <w:b/>
                <w:sz w:val="18"/>
              </w:rPr>
              <w:t>cost-weighted dropout</w:t>
            </w:r>
          </w:p>
        </w:tc>
        <w:tc>
          <w:tcPr>
            <w:tcW w:type="dxa" w:w="1608"/>
          </w:tcPr>
          <w:p>
            <w:r>
              <w:rPr>
                <w:sz w:val="18"/>
              </w:rPr>
            </w:r>
            <w:r>
              <w:rPr>
                <w:b/>
                <w:sz w:val="18"/>
              </w:rPr>
              <w:t>0.9305</w:t>
            </w:r>
          </w:p>
        </w:tc>
        <w:tc>
          <w:tcPr>
            <w:tcW w:type="dxa" w:w="1608"/>
          </w:tcPr>
          <w:p>
            <w:r>
              <w:rPr>
                <w:sz w:val="18"/>
              </w:rPr>
            </w:r>
            <w:r>
              <w:rPr>
                <w:b/>
                <w:sz w:val="18"/>
              </w:rPr>
              <w:t>−0.56%</w:t>
            </w:r>
          </w:p>
        </w:tc>
        <w:tc>
          <w:tcPr>
            <w:tcW w:type="dxa" w:w="1608"/>
          </w:tcPr>
          <w:p>
            <w:r>
              <w:rPr>
                <w:sz w:val="18"/>
              </w:rPr>
            </w:r>
            <w:r>
              <w:rPr>
                <w:b/>
                <w:sz w:val="18"/>
              </w:rPr>
              <w:t>0.313</w:t>
            </w:r>
          </w:p>
        </w:tc>
        <w:tc>
          <w:tcPr>
            <w:tcW w:type="dxa" w:w="1608"/>
          </w:tcPr>
          <w:p>
            <w:r>
              <w:rPr>
                <w:sz w:val="18"/>
              </w:rPr>
            </w:r>
            <w:r>
              <w:rPr>
                <w:b/>
                <w:sz w:val="18"/>
              </w:rPr>
              <w:t>+388.3%</w:t>
            </w:r>
          </w:p>
        </w:tc>
        <w:tc>
          <w:tcPr>
            <w:tcW w:type="dxa" w:w="1608"/>
          </w:tcPr>
          <w:p>
            <w:r>
              <w:rPr>
                <w:sz w:val="18"/>
              </w:rPr>
            </w:r>
            <w:r>
              <w:rPr>
                <w:b/>
                <w:sz w:val="18"/>
              </w:rPr>
              <w:t>+0.103</w:t>
            </w:r>
          </w:p>
        </w:tc>
      </w:tr>
    </w:tbl>
    <w:p/>
    <w:p>
      <w:pPr>
        <w:jc w:val="both"/>
      </w:pPr>
      <w:r>
        <w:t>The result inverts the intuition. The gradient penalty drove reliance strongly negative (-0.498): it genuinely relocated the model onto expensive features, as instructed. It also destroyed 12.4% of clean F1 and still bought less cost-to-evade than dropout. Cost-weighted dropout barely moved reliance at all (+0.202 → +0.103) and delivered nearly twice the robustness for a 0.56% accuracy cost.</w:t>
      </w:r>
    </w:p>
    <w:p>
      <w:pPr>
        <w:jc w:val="both"/>
      </w:pPr>
      <w:r>
        <w:rPr>
          <w:b/>
        </w:rPr>
        <w:t>Suppressing reliance is therefore not the mechanism.</w:t>
      </w:r>
      <w:r>
        <w:t xml:space="preserve"> Depriving a model of a cheap feature it needs is coercive: the feature was load-bearing, and removing its gradient removes accuracy with it. Dropping the feature </w:t>
      </w:r>
      <w:r>
        <w:rPr>
          <w:i/>
        </w:rPr>
        <w:t>stochastically</w:t>
      </w:r>
      <w:r>
        <w:t xml:space="preserve"> leaves it available when present while forcing the model to build redundant pathways that survive its absence. Robustness comes from redundancy, not from abstinence; and the two are separable only because we measured reliance directly and found the better mechanism barely changed it.</w:t>
      </w:r>
    </w:p>
    <w:p>
      <w:pPr>
        <w:pStyle w:val="Heading3"/>
      </w:pPr>
      <w:r>
        <w:t>4.1.3 The Pareto frontier (P2)</w:t>
      </w:r>
    </w:p>
    <w:p>
      <w:pPr>
        <w:jc w:val="both"/>
      </w:pPr>
      <w:r>
        <w:t>Sweeping the dropout scale traces the trade-off. The frontier is monotone in robustness and remarkably flat in accuracy at the low end.</w:t>
      </w:r>
    </w:p>
    <w:p>
      <w:pPr>
        <w:jc w:val="both"/>
      </w:pPr>
      <w:r>
        <w:rPr>
          <w:b/>
        </w:rPr>
        <w:t>Table 4.3. Cost-weighted dropout frontier (P2, baseline F1 0.9364, CTE 0.0595).</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FF1F4"/>
          </w:tcPr>
          <w:p>
            <w:r>
              <w:rPr>
                <w:sz w:val="18"/>
              </w:rPr>
            </w:r>
            <w:r>
              <w:rPr>
                <w:b/>
              </w:rPr>
              <w:t>Drop scale</w:t>
            </w:r>
          </w:p>
        </w:tc>
        <w:tc>
          <w:tcPr>
            <w:tcW w:type="dxa" w:w="3216"/>
            <w:shd w:val="clear" w:fill="EFF1F4"/>
          </w:tcPr>
          <w:p>
            <w:r>
              <w:rPr>
                <w:sz w:val="18"/>
              </w:rPr>
            </w:r>
            <w:r>
              <w:rPr>
                <w:b/>
              </w:rPr>
              <w:t>ΔF1</w:t>
            </w:r>
          </w:p>
        </w:tc>
        <w:tc>
          <w:tcPr>
            <w:tcW w:type="dxa" w:w="3216"/>
            <w:shd w:val="clear" w:fill="EFF1F4"/>
          </w:tcPr>
          <w:p>
            <w:r>
              <w:rPr>
                <w:sz w:val="18"/>
              </w:rPr>
            </w:r>
            <w:r>
              <w:rPr>
                <w:b/>
              </w:rPr>
              <w:t>ΔCTE</w:t>
            </w:r>
          </w:p>
        </w:tc>
      </w:tr>
      <w:tr>
        <w:tc>
          <w:tcPr>
            <w:tcW w:type="dxa" w:w="3216"/>
          </w:tcPr>
          <w:p>
            <w:r>
              <w:rPr>
                <w:sz w:val="18"/>
              </w:rPr>
            </w:r>
            <w:r>
              <w:rPr>
                <w:sz w:val="18"/>
              </w:rPr>
              <w:t>0.15</w:t>
            </w:r>
          </w:p>
        </w:tc>
        <w:tc>
          <w:tcPr>
            <w:tcW w:type="dxa" w:w="3216"/>
          </w:tcPr>
          <w:p>
            <w:r>
              <w:rPr>
                <w:sz w:val="18"/>
              </w:rPr>
            </w:r>
            <w:r>
              <w:rPr>
                <w:b/>
                <w:sz w:val="18"/>
              </w:rPr>
              <w:t>+0.01%</w:t>
            </w:r>
          </w:p>
        </w:tc>
        <w:tc>
          <w:tcPr>
            <w:tcW w:type="dxa" w:w="3216"/>
          </w:tcPr>
          <w:p>
            <w:r>
              <w:rPr>
                <w:sz w:val="18"/>
              </w:rPr>
            </w:r>
            <w:r>
              <w:rPr>
                <w:sz w:val="18"/>
              </w:rPr>
              <w:t>+265.1%</w:t>
            </w:r>
          </w:p>
        </w:tc>
      </w:tr>
      <w:tr>
        <w:tc>
          <w:tcPr>
            <w:tcW w:type="dxa" w:w="3216"/>
          </w:tcPr>
          <w:p>
            <w:r>
              <w:rPr>
                <w:sz w:val="18"/>
              </w:rPr>
            </w:r>
            <w:r>
              <w:rPr>
                <w:sz w:val="18"/>
              </w:rPr>
              <w:t>0.25</w:t>
            </w:r>
          </w:p>
        </w:tc>
        <w:tc>
          <w:tcPr>
            <w:tcW w:type="dxa" w:w="3216"/>
          </w:tcPr>
          <w:p>
            <w:r>
              <w:rPr>
                <w:sz w:val="18"/>
              </w:rPr>
            </w:r>
            <w:r>
              <w:rPr>
                <w:sz w:val="18"/>
              </w:rPr>
              <w:t>−0.10%</w:t>
            </w:r>
          </w:p>
        </w:tc>
        <w:tc>
          <w:tcPr>
            <w:tcW w:type="dxa" w:w="3216"/>
          </w:tcPr>
          <w:p>
            <w:r>
              <w:rPr>
                <w:sz w:val="18"/>
              </w:rPr>
            </w:r>
            <w:r>
              <w:rPr>
                <w:sz w:val="18"/>
              </w:rPr>
              <w:t>+305.5%</w:t>
            </w:r>
          </w:p>
        </w:tc>
      </w:tr>
      <w:tr>
        <w:tc>
          <w:tcPr>
            <w:tcW w:type="dxa" w:w="3216"/>
          </w:tcPr>
          <w:p>
            <w:r>
              <w:rPr>
                <w:sz w:val="18"/>
              </w:rPr>
            </w:r>
            <w:r>
              <w:rPr>
                <w:sz w:val="18"/>
              </w:rPr>
              <w:t>0.35</w:t>
            </w:r>
          </w:p>
        </w:tc>
        <w:tc>
          <w:tcPr>
            <w:tcW w:type="dxa" w:w="3216"/>
          </w:tcPr>
          <w:p>
            <w:r>
              <w:rPr>
                <w:sz w:val="18"/>
              </w:rPr>
            </w:r>
            <w:r>
              <w:rPr>
                <w:sz w:val="18"/>
              </w:rPr>
              <w:t>−0.55%</w:t>
            </w:r>
          </w:p>
        </w:tc>
        <w:tc>
          <w:tcPr>
            <w:tcW w:type="dxa" w:w="3216"/>
          </w:tcPr>
          <w:p>
            <w:r>
              <w:rPr>
                <w:sz w:val="18"/>
              </w:rPr>
            </w:r>
            <w:r>
              <w:rPr>
                <w:sz w:val="18"/>
              </w:rPr>
              <w:t>+381.9%</w:t>
            </w:r>
          </w:p>
        </w:tc>
      </w:tr>
      <w:tr>
        <w:tc>
          <w:tcPr>
            <w:tcW w:type="dxa" w:w="3216"/>
          </w:tcPr>
          <w:p>
            <w:r>
              <w:rPr>
                <w:sz w:val="18"/>
              </w:rPr>
            </w:r>
            <w:r>
              <w:rPr>
                <w:b/>
                <w:sz w:val="18"/>
              </w:rPr>
              <w:t>0.50</w:t>
            </w:r>
          </w:p>
        </w:tc>
        <w:tc>
          <w:tcPr>
            <w:tcW w:type="dxa" w:w="3216"/>
          </w:tcPr>
          <w:p>
            <w:r>
              <w:rPr>
                <w:sz w:val="18"/>
              </w:rPr>
            </w:r>
            <w:r>
              <w:rPr>
                <w:b/>
                <w:sz w:val="18"/>
              </w:rPr>
              <w:t>−0.88%</w:t>
            </w:r>
          </w:p>
        </w:tc>
        <w:tc>
          <w:tcPr>
            <w:tcW w:type="dxa" w:w="3216"/>
          </w:tcPr>
          <w:p>
            <w:r>
              <w:rPr>
                <w:sz w:val="18"/>
              </w:rPr>
            </w:r>
            <w:r>
              <w:rPr>
                <w:b/>
                <w:sz w:val="18"/>
              </w:rPr>
              <w:t>+456.7%</w:t>
            </w:r>
          </w:p>
        </w:tc>
      </w:tr>
      <w:tr>
        <w:tc>
          <w:tcPr>
            <w:tcW w:type="dxa" w:w="3216"/>
          </w:tcPr>
          <w:p>
            <w:r>
              <w:rPr>
                <w:sz w:val="18"/>
              </w:rPr>
            </w:r>
            <w:r>
              <w:rPr>
                <w:sz w:val="18"/>
              </w:rPr>
              <w:t>0.65</w:t>
            </w:r>
          </w:p>
        </w:tc>
        <w:tc>
          <w:tcPr>
            <w:tcW w:type="dxa" w:w="3216"/>
          </w:tcPr>
          <w:p>
            <w:r>
              <w:rPr>
                <w:sz w:val="18"/>
              </w:rPr>
            </w:r>
            <w:r>
              <w:rPr>
                <w:sz w:val="18"/>
              </w:rPr>
              <w:t>−1.23%</w:t>
            </w:r>
          </w:p>
        </w:tc>
        <w:tc>
          <w:tcPr>
            <w:tcW w:type="dxa" w:w="3216"/>
          </w:tcPr>
          <w:p>
            <w:r>
              <w:rPr>
                <w:sz w:val="18"/>
              </w:rPr>
            </w:r>
            <w:r>
              <w:rPr>
                <w:sz w:val="18"/>
              </w:rPr>
              <w:t>+461.8%</w:t>
            </w:r>
          </w:p>
        </w:tc>
      </w:tr>
    </w:tbl>
    <w:p/>
    <w:p>
      <w:pPr>
        <w:jc w:val="both"/>
      </w:pPr>
      <w:r>
        <w:t xml:space="preserve">At a drop scale of 0.15 the accuracy change is +0.01%. Statistically indistinguishable from the baseline, and </w:t>
      </w:r>
      <w:r>
        <w:rPr>
          <w:i/>
        </w:rPr>
        <w:t>positive in sign</w:t>
      </w:r>
      <w:r>
        <w:t>, while cost-to-evade rises 265%. There is no accuracy tax at all at that operating point. Our headline configuration (0.50) accepts a 0.88% F1 reduction for a 457% increase in cost-to-evade. Beyond 0.65 the frontier flattens: robustness saturates while accuracy continues to erode.</w:t>
      </w:r>
    </w:p>
    <w:p>
      <w:pPr>
        <w:jc w:val="both"/>
      </w:pPr>
      <w:r>
        <w:t>The frontier is also insensitive to the cost weights themselves. Perturbing the money/effort/conversion weights by ±10%, ±20% and ±30% moves median CTE only between 0.222 and 0.225, so the result does not depend on precise pricing.</w:t>
      </w:r>
    </w:p>
    <w:p>
      <w:pPr>
        <w:pStyle w:val="Heading3"/>
      </w:pPr>
      <w:r>
        <w:t>4.1.4 Survival analysis: the median is right-censored (P3)</w:t>
      </w:r>
    </w:p>
    <w:p>
      <w:pPr>
        <w:jc w:val="both"/>
      </w:pPr>
      <w:r>
        <w:t xml:space="preserve">Cost-to-evade is a time-to-event quantity, and a naive median is biased when evasion fails within budget. Censoring is not negligible and it is </w:t>
      </w:r>
      <w:r>
        <w:rPr>
          <w:i/>
        </w:rPr>
        <w:t>differential</w:t>
      </w:r>
      <w:r>
        <w:t>: 9.4% for the baseline against 38.3% for cost-weighted dropout, the defence works precisely by making evasion fail more often, so the arm we care about is the one whose median is most understated. Comparing naive medians therefore understates the defence.</w:t>
      </w:r>
    </w:p>
    <w:p>
      <w:pPr>
        <w:jc w:val="both"/>
      </w:pPr>
      <w:r>
        <w:rPr>
          <w:b/>
        </w:rPr>
        <w:t>Table 4.4. Kaplan–Meier corrected cost-to-evade (P3).</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EFF1F4"/>
          </w:tcPr>
          <w:p>
            <w:r>
              <w:rPr>
                <w:sz w:val="18"/>
              </w:rPr>
            </w:r>
            <w:r>
              <w:rPr>
                <w:b/>
              </w:rPr>
              <w:t>Model</w:t>
            </w:r>
          </w:p>
        </w:tc>
        <w:tc>
          <w:tcPr>
            <w:tcW w:type="dxa" w:w="1608"/>
            <w:shd w:val="clear" w:fill="EFF1F4"/>
          </w:tcPr>
          <w:p>
            <w:r>
              <w:rPr>
                <w:sz w:val="18"/>
              </w:rPr>
            </w:r>
            <w:r>
              <w:rPr>
                <w:b/>
              </w:rPr>
              <w:t>F1</w:t>
            </w:r>
          </w:p>
        </w:tc>
        <w:tc>
          <w:tcPr>
            <w:tcW w:type="dxa" w:w="1608"/>
            <w:shd w:val="clear" w:fill="EFF1F4"/>
          </w:tcPr>
          <w:p>
            <w:r>
              <w:rPr>
                <w:sz w:val="18"/>
              </w:rPr>
            </w:r>
            <w:r>
              <w:rPr>
                <w:b/>
              </w:rPr>
              <w:t>ΔF1</w:t>
            </w:r>
          </w:p>
        </w:tc>
        <w:tc>
          <w:tcPr>
            <w:tcW w:type="dxa" w:w="1608"/>
            <w:shd w:val="clear" w:fill="EFF1F4"/>
          </w:tcPr>
          <w:p>
            <w:r>
              <w:rPr>
                <w:sz w:val="18"/>
              </w:rPr>
            </w:r>
            <w:r>
              <w:rPr>
                <w:b/>
              </w:rPr>
              <w:t>KM median CTE</w:t>
            </w:r>
          </w:p>
        </w:tc>
        <w:tc>
          <w:tcPr>
            <w:tcW w:type="dxa" w:w="1608"/>
            <w:shd w:val="clear" w:fill="EFF1F4"/>
          </w:tcPr>
          <w:p>
            <w:r>
              <w:rPr>
                <w:sz w:val="18"/>
              </w:rPr>
            </w:r>
            <w:r>
              <w:rPr>
                <w:b/>
              </w:rPr>
              <w:t>ΔCTE</w:t>
            </w:r>
          </w:p>
        </w:tc>
        <w:tc>
          <w:tcPr>
            <w:tcW w:type="dxa" w:w="1608"/>
            <w:shd w:val="clear" w:fill="EFF1F4"/>
          </w:tcPr>
          <w:p>
            <w:r>
              <w:rPr>
                <w:sz w:val="18"/>
              </w:rPr>
            </w:r>
            <w:r>
              <w:rPr>
                <w:b/>
              </w:rPr>
              <w:t>Censored</w:t>
            </w:r>
          </w:p>
        </w:tc>
      </w:tr>
      <w:tr>
        <w:tc>
          <w:tcPr>
            <w:tcW w:type="dxa" w:w="1608"/>
          </w:tcPr>
          <w:p>
            <w:r>
              <w:rPr>
                <w:sz w:val="18"/>
              </w:rPr>
            </w:r>
            <w:r>
              <w:rPr>
                <w:sz w:val="18"/>
              </w:rPr>
              <w:t>baseline</w:t>
            </w:r>
          </w:p>
        </w:tc>
        <w:tc>
          <w:tcPr>
            <w:tcW w:type="dxa" w:w="1608"/>
          </w:tcPr>
          <w:p>
            <w:r>
              <w:rPr>
                <w:sz w:val="18"/>
              </w:rPr>
            </w:r>
            <w:r>
              <w:rPr>
                <w:sz w:val="18"/>
              </w:rPr>
              <w:t>0.9358</w:t>
            </w:r>
          </w:p>
        </w:tc>
        <w:tc>
          <w:tcPr>
            <w:tcW w:type="dxa" w:w="1608"/>
          </w:tcPr>
          <w:p>
            <w:r>
              <w:rPr>
                <w:sz w:val="18"/>
              </w:rPr>
            </w:r>
            <w:r>
              <w:rPr>
                <w:sz w:val="18"/>
              </w:rPr>
              <w:t>,</w:t>
            </w:r>
          </w:p>
        </w:tc>
        <w:tc>
          <w:tcPr>
            <w:tcW w:type="dxa" w:w="1608"/>
          </w:tcPr>
          <w:p>
            <w:r>
              <w:rPr>
                <w:sz w:val="18"/>
              </w:rPr>
            </w:r>
            <w:r>
              <w:rPr>
                <w:sz w:val="18"/>
              </w:rPr>
              <w:t>0.065</w:t>
            </w:r>
          </w:p>
        </w:tc>
        <w:tc>
          <w:tcPr>
            <w:tcW w:type="dxa" w:w="1608"/>
          </w:tcPr>
          <w:p>
            <w:r>
              <w:rPr>
                <w:sz w:val="18"/>
              </w:rPr>
            </w:r>
            <w:r>
              <w:rPr>
                <w:sz w:val="18"/>
              </w:rPr>
              <w:t>,</w:t>
            </w:r>
          </w:p>
        </w:tc>
        <w:tc>
          <w:tcPr>
            <w:tcW w:type="dxa" w:w="1608"/>
          </w:tcPr>
          <w:p>
            <w:r>
              <w:rPr>
                <w:sz w:val="18"/>
              </w:rPr>
            </w:r>
            <w:r>
              <w:rPr>
                <w:sz w:val="18"/>
              </w:rPr>
              <w:t>9.4%</w:t>
            </w:r>
          </w:p>
        </w:tc>
      </w:tr>
      <w:tr>
        <w:tc>
          <w:tcPr>
            <w:tcW w:type="dxa" w:w="1608"/>
          </w:tcPr>
          <w:p>
            <w:r>
              <w:rPr>
                <w:sz w:val="18"/>
              </w:rPr>
            </w:r>
            <w:r>
              <w:rPr>
                <w:sz w:val="18"/>
              </w:rPr>
              <w:t>cost-weighted dropout</w:t>
            </w:r>
          </w:p>
        </w:tc>
        <w:tc>
          <w:tcPr>
            <w:tcW w:type="dxa" w:w="1608"/>
          </w:tcPr>
          <w:p>
            <w:r>
              <w:rPr>
                <w:sz w:val="18"/>
              </w:rPr>
            </w:r>
            <w:r>
              <w:rPr>
                <w:sz w:val="18"/>
              </w:rPr>
              <w:t>0.9263</w:t>
            </w:r>
          </w:p>
        </w:tc>
        <w:tc>
          <w:tcPr>
            <w:tcW w:type="dxa" w:w="1608"/>
          </w:tcPr>
          <w:p>
            <w:r>
              <w:rPr>
                <w:sz w:val="18"/>
              </w:rPr>
            </w:r>
            <w:r>
              <w:rPr>
                <w:sz w:val="18"/>
              </w:rPr>
              <w:t>−1.01%</w:t>
            </w:r>
          </w:p>
        </w:tc>
        <w:tc>
          <w:tcPr>
            <w:tcW w:type="dxa" w:w="1608"/>
          </w:tcPr>
          <w:p>
            <w:r>
              <w:rPr>
                <w:sz w:val="18"/>
              </w:rPr>
            </w:r>
            <w:r>
              <w:rPr>
                <w:sz w:val="18"/>
              </w:rPr>
              <w:t>0.371</w:t>
            </w:r>
          </w:p>
        </w:tc>
        <w:tc>
          <w:tcPr>
            <w:tcW w:type="dxa" w:w="1608"/>
          </w:tcPr>
          <w:p>
            <w:r>
              <w:rPr>
                <w:sz w:val="18"/>
              </w:rPr>
            </w:r>
            <w:r>
              <w:rPr>
                <w:sz w:val="18"/>
              </w:rPr>
              <w:t>+470.5%</w:t>
            </w:r>
          </w:p>
        </w:tc>
        <w:tc>
          <w:tcPr>
            <w:tcW w:type="dxa" w:w="1608"/>
          </w:tcPr>
          <w:p>
            <w:r>
              <w:rPr>
                <w:sz w:val="18"/>
              </w:rPr>
            </w:r>
            <w:r>
              <w:rPr>
                <w:sz w:val="18"/>
              </w:rPr>
              <w:t>38.3%</w:t>
            </w:r>
          </w:p>
        </w:tc>
      </w:tr>
      <w:tr>
        <w:tc>
          <w:tcPr>
            <w:tcW w:type="dxa" w:w="1608"/>
          </w:tcPr>
          <w:p>
            <w:r>
              <w:rPr>
                <w:sz w:val="18"/>
              </w:rPr>
            </w:r>
            <w:r>
              <w:rPr>
                <w:sz w:val="18"/>
              </w:rPr>
              <w:t>cost-budgeted TRADES (β=2)</w:t>
            </w:r>
          </w:p>
        </w:tc>
        <w:tc>
          <w:tcPr>
            <w:tcW w:type="dxa" w:w="1608"/>
          </w:tcPr>
          <w:p>
            <w:r>
              <w:rPr>
                <w:sz w:val="18"/>
              </w:rPr>
            </w:r>
            <w:r>
              <w:rPr>
                <w:sz w:val="18"/>
              </w:rPr>
              <w:t>0.9117</w:t>
            </w:r>
          </w:p>
        </w:tc>
        <w:tc>
          <w:tcPr>
            <w:tcW w:type="dxa" w:w="1608"/>
          </w:tcPr>
          <w:p>
            <w:r>
              <w:rPr>
                <w:sz w:val="18"/>
              </w:rPr>
            </w:r>
            <w:r>
              <w:rPr>
                <w:sz w:val="18"/>
              </w:rPr>
              <w:t>−2.57%</w:t>
            </w:r>
          </w:p>
        </w:tc>
        <w:tc>
          <w:tcPr>
            <w:tcW w:type="dxa" w:w="1608"/>
          </w:tcPr>
          <w:p>
            <w:r>
              <w:rPr>
                <w:sz w:val="18"/>
              </w:rPr>
            </w:r>
            <w:r>
              <w:rPr>
                <w:sz w:val="18"/>
              </w:rPr>
              <w:t>0.413</w:t>
            </w:r>
          </w:p>
        </w:tc>
        <w:tc>
          <w:tcPr>
            <w:tcW w:type="dxa" w:w="1608"/>
          </w:tcPr>
          <w:p>
            <w:r>
              <w:rPr>
                <w:sz w:val="18"/>
              </w:rPr>
            </w:r>
            <w:r>
              <w:rPr>
                <w:b/>
                <w:sz w:val="18"/>
              </w:rPr>
              <w:t>+534.6%</w:t>
            </w:r>
          </w:p>
        </w:tc>
        <w:tc>
          <w:tcPr>
            <w:tcW w:type="dxa" w:w="1608"/>
          </w:tcPr>
          <w:p>
            <w:r>
              <w:rPr>
                <w:sz w:val="18"/>
              </w:rPr>
            </w:r>
            <w:r>
              <w:rPr>
                <w:sz w:val="18"/>
              </w:rPr>
              <w:t>33.6%</w:t>
            </w:r>
          </w:p>
        </w:tc>
      </w:tr>
    </w:tbl>
    <w:p/>
    <w:p>
      <w:pPr>
        <w:jc w:val="both"/>
      </w:pPr>
      <w:r>
        <w:t>Under censoring-aware estimation the same defence is worth +470.5% rather than +388.3%, and cost-budgeted TRADES buys the most robustness of any mechanism at a 2.57% accuracy cost. We report both the naive and corrected estimates because the correction changes the ranking's magnitude, not its order.</w:t>
      </w:r>
    </w:p>
    <w:p>
      <w:pPr>
        <w:pStyle w:val="Heading2"/>
      </w:pPr>
      <w:r>
        <w:t>4.2 Visual representation and the lazy-learning trap</w:t>
      </w:r>
    </w:p>
    <w:p>
      <w:pPr>
        <w:pStyle w:val="Heading3"/>
      </w:pPr>
      <w:r>
        <w:t>4.2.1 The resolution reality, reported as a failure</w:t>
      </w:r>
    </w:p>
    <w:p>
      <w:pPr>
        <w:jc w:val="both"/>
      </w:pPr>
      <w:r>
        <w:t>Our first two visual experiments produced clean-looking tables that measured nothing, and we report this because the failure is the finding.</w:t>
      </w:r>
    </w:p>
    <w:p>
      <w:pPr>
        <w:jc w:val="both"/>
      </w:pPr>
      <w:r>
        <w:t xml:space="preserve">On full-page screenshots downscaled to 224×224, the trained encoder reached 0.299 clean top-1 retrieval against a 0.0043 chance floor and </w:t>
      </w:r>
      <w:r>
        <w:rPr>
          <w:b/>
        </w:rPr>
        <w:t>0.017 under cheap attack</w:t>
      </w:r>
      <w:r>
        <w:t xml:space="preserve">. Indistinguishable from noise. Worse, it was </w:t>
      </w:r>
      <w:r>
        <w:rPr>
          <w:i/>
        </w:rPr>
        <w:t>less robust than doing nothing</w:t>
      </w:r>
      <w:r>
        <w:t>: untrained ImageNet features scored 0.032 under the same attacks, and the trained model lost on every attack individually (JPEG 0.032 → 0.013, logo occlusion 0.091 → 0.007) while doubling clean accuracy (0.134 → 0.299). Judged on clean accuracy the baseline looked like it was learning.</w:t>
      </w:r>
    </w:p>
    <w:p>
      <w:pPr>
        <w:jc w:val="both"/>
      </w:pPr>
      <w:r>
        <w:t xml:space="preserve">The cause is representational. A 1366px-wide page carries a brand wordmark of roughly 200×100 px; at 224×224 that becomes approximately </w:t>
      </w:r>
      <w:r>
        <w:rPr>
          <w:b/>
        </w:rPr>
        <w:t>23×21 px</w:t>
      </w:r>
      <w:r>
        <w:t>. Triplet loss had no brand structure left to fit and fitted noise instead.</w:t>
      </w:r>
    </w:p>
    <w:p>
      <w:pPr>
        <w:jc w:val="both"/>
      </w:pPr>
      <w:r>
        <w:t xml:space="preserve">Cropping to the detected logo region rather than downscaling the page changes the input and nothing else. On 3,162 logo crops over 78 brands, untrained ImageNet features alone reach 0.717 clean against a 0.0169 chance floor. Standard batch-hard triplet training, identical loss, backbone and optimiser to the run that failed, then improves retrieval under </w:t>
      </w:r>
      <w:r>
        <w:rPr>
          <w:b/>
        </w:rPr>
        <w:t>all nine attacks</w:t>
      </w:r>
      <w:r>
        <w:t>, clean 0.656 → 0.829 and cheap-attack mean 0.556 → 0.766, with robustness rising monotonically across 40 epochs and plateauing rather than collapsing.</w:t>
      </w:r>
    </w:p>
    <w:p>
      <w:pPr>
        <w:jc w:val="both"/>
      </w:pPr>
      <w:r>
        <w:rPr>
          <w:b/>
        </w:rPr>
        <w:t>The architecture was never texture-hypersensitive.</w:t>
      </w:r>
      <w:r>
        <w:t xml:space="preserve"> The earlier conclusion that metric learning destroys robustness was a property of the representation.</w:t>
      </w:r>
    </w:p>
    <w:p>
      <w:pPr>
        <w:pStyle w:val="Heading3"/>
      </w:pPr>
      <w:r>
        <w:t>4.2.2 Corpus construction, and a leak that two gates missed</w:t>
      </w:r>
    </w:p>
    <w:p>
      <w:pPr>
        <w:jc w:val="both"/>
      </w:pPr>
      <w:r>
        <w:t xml:space="preserve">Deduplication is not optional here and the obvious key is insufficient. Phishpedia samples carry a </w:t>
      </w:r>
      <w:r>
        <w:rPr>
          <w:rFonts w:ascii="Consolas" w:hAnsi="Consolas"/>
          <w:sz w:val="19"/>
        </w:rPr>
        <w:t>family_id</w:t>
      </w:r>
      <w:r>
        <w:t xml:space="preserve"> phishing-kit hash, and splitting on it is sound: across 75 brands our gallery and query shared zero families. </w:t>
      </w:r>
      <w:r>
        <w:rPr>
          <w:b/>
        </w:rPr>
        <w:t>37.3% of query crops were nonetheless pixel-identical to a gallery crop.</w:t>
      </w:r>
      <w:r>
        <w:t xml:space="preserve"> </w:t>
      </w:r>
      <w:r>
        <w:rPr>
          <w:rFonts w:ascii="Consolas" w:hAnsi="Consolas"/>
          <w:sz w:val="19"/>
        </w:rPr>
        <w:t>family_id</w:t>
      </w:r>
      <w:r>
        <w:t xml:space="preserve"> deduplicates the </w:t>
      </w:r>
      <w:r>
        <w:rPr>
          <w:i/>
        </w:rPr>
        <w:t>page</w:t>
      </w:r>
      <w:r>
        <w:t xml:space="preserve">; distinct kits clone the </w:t>
      </w:r>
      <w:r>
        <w:rPr>
          <w:i/>
        </w:rPr>
        <w:t>same official logo</w:t>
      </w:r>
      <w:r>
        <w:t>, so the cropped artefact repeats verbatim. Retrieval degenerated into looking up an identical image, inflating clean top-1 from 0.668 to 0.859.</w:t>
      </w:r>
    </w:p>
    <w:p>
      <w:pPr>
        <w:jc w:val="both"/>
      </w:pPr>
      <w:r>
        <w:t xml:space="preserve">Removing exact-duplicate crops discards </w:t>
      </w:r>
      <w:r>
        <w:rPr>
          <w:b/>
        </w:rPr>
        <w:t>61%</w:t>
      </w:r>
      <w:r>
        <w:t xml:space="preserve"> of what we harvest and is applied throughout. The general lesson is that a semantically meaningful deduplication key does not imply the artefact fed to the model is unique: fingerprint the tensors, not the records.</w:t>
      </w:r>
    </w:p>
    <w:p>
      <w:pPr>
        <w:pStyle w:val="Heading3"/>
      </w:pPr>
      <w:r>
        <w:t>4.2.3 Standard triplet loss is a lazy learner</w:t>
      </w:r>
    </w:p>
    <w:p>
      <w:pPr>
        <w:jc w:val="both"/>
      </w:pPr>
      <w:r>
        <w:t xml:space="preserve">The clearest evidence is a signed effect, not a small delta. On brands held out of training entirely, standard triplet loss scores </w:t>
      </w:r>
      <w:r>
        <w:rPr>
          <w:b/>
        </w:rPr>
        <w:t>0.377 ± 0.088 on grayscale inputs while untrained ImageNet features score 0.619 ± 0.056</w:t>
      </w:r>
      <w:r>
        <w:t xml:space="preserve">. A paired difference of </w:t>
      </w:r>
      <w:r>
        <w:rPr>
          <w:b/>
        </w:rPr>
        <w:t>−0.242 (t = −14.2, p &lt; 10⁻⁵, losing on 13 of 13 seeds)</w:t>
      </w:r>
      <w:r>
        <w:t xml:space="preserve">. The effect is not confined to grayscale: on the cheap-attack mean the trained baseline also falls below the untrained control (0.699 vs 0.732, </w:t>
      </w:r>
      <w:r>
        <w:rPr>
          <w:b/>
        </w:rPr>
        <w:t>t = −5.95, p = 0.00007</w:t>
      </w:r>
      <w:r>
        <w:t xml:space="preserve">, losing on 12 of 13 seeds). Training did not merely fail to acquire colour-invariance, it </w:t>
      </w:r>
      <w:r>
        <w:rPr>
          <w:i/>
        </w:rPr>
        <w:t>destroyed</w:t>
      </w:r>
      <w:r>
        <w:t xml:space="preserve"> robustness the initialisation already had, reliably and on every seed.</w:t>
      </w:r>
    </w:p>
    <w:p>
      <w:pPr>
        <w:jc w:val="both"/>
      </w:pPr>
      <w:r>
        <w:t xml:space="preserve">This is what over-indexing on colour looks like. Colour is the cheapest brand-discriminative signal in a logo, so a network minimising triplet loss over a fixed brand set reaches for it, and a representation built on colour cannot survive its removal. The same lazy strategy explains why the encoder transfers so poorly: seen brands gain +0.204 clean and +0.224 attacked over the untrained control, while unseen brands gain only </w:t>
      </w:r>
      <w:r>
        <w:rPr>
          <w:b/>
        </w:rPr>
        <w:t>+0.029 clean and are +0.033 worse under attack</w:t>
      </w:r>
      <w:r>
        <w:t xml:space="preserve"> (13 seeds; p = 0.001 and p = 0.0001 respectively). What training buys is largely brand-specific separation rather than a transferable notion of a brand mark.</w:t>
      </w:r>
    </w:p>
    <w:p>
      <w:pPr>
        <w:pStyle w:val="Heading2"/>
      </w:pPr>
      <w:r>
        <w:t>4.3 Cost-aware augmentation in metric space</w:t>
      </w:r>
    </w:p>
    <w:p>
      <w:pPr>
        <w:pStyle w:val="Heading3"/>
      </w:pPr>
      <w:r>
        <w:t>4.3.1 Design</w:t>
      </w:r>
    </w:p>
    <w:p>
      <w:pPr>
        <w:jc w:val="both"/>
      </w:pPr>
      <w:r>
        <w:t xml:space="preserve">All arms within a seed share initialisation, batch sequence and evaluation-time attack draws, so the augmentation policy is the only difference and arm-to-arm differences are paired. This is not a cosmetic choice. An unpaired single-seed run put cost weighting </w:t>
      </w:r>
      <w:r>
        <w:rPr>
          <w:b/>
        </w:rPr>
        <w:t>+0.068</w:t>
      </w:r>
      <w:r>
        <w:t xml:space="preserve"> ahead of uniform augmentation; the paired thirteen-seed estimate of the same quantity is </w:t>
      </w:r>
      <w:r>
        <w:rPr>
          <w:b/>
        </w:rPr>
        <w:t>+0.014</w:t>
      </w:r>
      <w:r>
        <w:t>. Roughly four fifths of the original margin was batch-order and evaluation-draw noise, and the effect that remains is real but an order of magnitude smaller than the unpaired run implied.</w:t>
      </w:r>
    </w:p>
    <w:p>
      <w:pPr>
        <w:jc w:val="both"/>
      </w:pPr>
      <w:r>
        <w:t xml:space="preserve">The temperature τ = 0.06 was selected once on validation brands and then frozen; test brands are read once. A </w:t>
      </w:r>
      <w:r>
        <w:rPr>
          <w:b/>
        </w:rPr>
        <w:t>uniform</w:t>
      </w:r>
      <w:r>
        <w:t xml:space="preserve"> arm samples the identical attacks with cost weighting removed, because "augmentation helps" and "</w:t>
      </w:r>
      <w:r>
        <w:rPr>
          <w:i/>
        </w:rPr>
        <w:t>cost-weighted</w:t>
      </w:r>
      <w:r>
        <w:t xml:space="preserve"> augmentation helps" are different claims and only the second is ours.</w:t>
      </w:r>
    </w:p>
    <w:p>
      <w:pPr>
        <w:jc w:val="both"/>
      </w:pPr>
      <w:r>
        <w:rPr>
          <w:b/>
        </w:rPr>
        <w:t>Table 4.5. Zero-shot test retrieval, 13 seeds (mean ± sd).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FF1F4"/>
          </w:tcPr>
          <w:p>
            <w:r>
              <w:rPr>
                <w:sz w:val="18"/>
              </w:rPr>
            </w:r>
            <w:r>
              <w:rPr>
                <w:b/>
              </w:rPr>
              <w:t>Arm</w:t>
            </w:r>
          </w:p>
        </w:tc>
        <w:tc>
          <w:tcPr>
            <w:tcW w:type="dxa" w:w="1930"/>
            <w:shd w:val="clear" w:fill="EFF1F4"/>
          </w:tcPr>
          <w:p>
            <w:r>
              <w:rPr>
                <w:sz w:val="18"/>
              </w:rPr>
            </w:r>
            <w:r>
              <w:rPr>
                <w:b/>
              </w:rPr>
              <w:t>clean</w:t>
            </w:r>
          </w:p>
        </w:tc>
        <w:tc>
          <w:tcPr>
            <w:tcW w:type="dxa" w:w="1930"/>
            <w:shd w:val="clear" w:fill="EFF1F4"/>
          </w:tcPr>
          <w:p>
            <w:r>
              <w:rPr>
                <w:sz w:val="18"/>
              </w:rPr>
            </w:r>
            <w:r>
              <w:rPr>
                <w:b/>
              </w:rPr>
              <w:t>attacked</w:t>
            </w:r>
          </w:p>
        </w:tc>
        <w:tc>
          <w:tcPr>
            <w:tcW w:type="dxa" w:w="1930"/>
            <w:shd w:val="clear" w:fill="EFF1F4"/>
          </w:tcPr>
          <w:p>
            <w:r>
              <w:rPr>
                <w:sz w:val="18"/>
              </w:rPr>
            </w:r>
            <w:r>
              <w:rPr>
                <w:b/>
              </w:rPr>
              <w:t>grayscale</w:t>
            </w:r>
          </w:p>
        </w:tc>
        <w:tc>
          <w:tcPr>
            <w:tcW w:type="dxa" w:w="1930"/>
            <w:shd w:val="clear" w:fill="EFF1F4"/>
          </w:tcPr>
          <w:p>
            <w:r>
              <w:rPr>
                <w:sz w:val="18"/>
              </w:rPr>
            </w:r>
            <w:r>
              <w:rPr>
                <w:b/>
              </w:rPr>
              <w:t>logo_delete</w:t>
            </w:r>
          </w:p>
        </w:tc>
      </w:tr>
      <w:tr>
        <w:tc>
          <w:tcPr>
            <w:tcW w:type="dxa" w:w="1930"/>
          </w:tcPr>
          <w:p>
            <w:r>
              <w:rPr>
                <w:sz w:val="18"/>
              </w:rPr>
            </w:r>
            <w:r>
              <w:rPr>
                <w:sz w:val="18"/>
              </w:rPr>
              <w:t>untrained control</w:t>
            </w:r>
          </w:p>
        </w:tc>
        <w:tc>
          <w:tcPr>
            <w:tcW w:type="dxa" w:w="1930"/>
          </w:tcPr>
          <w:p>
            <w:r>
              <w:rPr>
                <w:sz w:val="18"/>
              </w:rPr>
            </w:r>
            <w:r>
              <w:rPr>
                <w:sz w:val="18"/>
              </w:rPr>
              <w:t>0.801 ± 0.037</w:t>
            </w:r>
          </w:p>
        </w:tc>
        <w:tc>
          <w:tcPr>
            <w:tcW w:type="dxa" w:w="1930"/>
          </w:tcPr>
          <w:p>
            <w:r>
              <w:rPr>
                <w:sz w:val="18"/>
              </w:rPr>
            </w:r>
            <w:r>
              <w:rPr>
                <w:sz w:val="18"/>
              </w:rPr>
              <w:t>0.732 ± 0.038</w:t>
            </w:r>
          </w:p>
        </w:tc>
        <w:tc>
          <w:tcPr>
            <w:tcW w:type="dxa" w:w="1930"/>
          </w:tcPr>
          <w:p>
            <w:r>
              <w:rPr>
                <w:sz w:val="18"/>
              </w:rPr>
            </w:r>
            <w:r>
              <w:rPr>
                <w:sz w:val="18"/>
              </w:rPr>
              <w:t>0.619 ± 0.056</w:t>
            </w:r>
          </w:p>
        </w:tc>
        <w:tc>
          <w:tcPr>
            <w:tcW w:type="dxa" w:w="1930"/>
          </w:tcPr>
          <w:p>
            <w:r>
              <w:rPr>
                <w:sz w:val="18"/>
              </w:rPr>
            </w:r>
            <w:r>
              <w:rPr>
                <w:sz w:val="18"/>
              </w:rPr>
              <w:t>0.427 ± 0.063</w:t>
            </w:r>
          </w:p>
        </w:tc>
      </w:tr>
      <w:tr>
        <w:tc>
          <w:tcPr>
            <w:tcW w:type="dxa" w:w="1930"/>
          </w:tcPr>
          <w:p>
            <w:r>
              <w:rPr>
                <w:sz w:val="18"/>
              </w:rPr>
            </w:r>
            <w:r>
              <w:rPr>
                <w:sz w:val="18"/>
              </w:rPr>
              <w:t>baseline (no aug)</w:t>
            </w:r>
          </w:p>
        </w:tc>
        <w:tc>
          <w:tcPr>
            <w:tcW w:type="dxa" w:w="1930"/>
          </w:tcPr>
          <w:p>
            <w:r>
              <w:rPr>
                <w:sz w:val="18"/>
              </w:rPr>
            </w:r>
            <w:r>
              <w:rPr>
                <w:sz w:val="18"/>
              </w:rPr>
              <w:t>0.831 ± 0.034</w:t>
            </w:r>
          </w:p>
        </w:tc>
        <w:tc>
          <w:tcPr>
            <w:tcW w:type="dxa" w:w="1930"/>
          </w:tcPr>
          <w:p>
            <w:r>
              <w:rPr>
                <w:sz w:val="18"/>
              </w:rPr>
            </w:r>
            <w:r>
              <w:rPr>
                <w:sz w:val="18"/>
              </w:rPr>
              <w:t>0.699 ± 0.036</w:t>
            </w:r>
          </w:p>
        </w:tc>
        <w:tc>
          <w:tcPr>
            <w:tcW w:type="dxa" w:w="1930"/>
          </w:tcPr>
          <w:p>
            <w:r>
              <w:rPr>
                <w:sz w:val="18"/>
              </w:rPr>
            </w:r>
            <w:r>
              <w:rPr>
                <w:sz w:val="18"/>
              </w:rPr>
              <w:t>0.377 ± 0.088</w:t>
            </w:r>
          </w:p>
        </w:tc>
        <w:tc>
          <w:tcPr>
            <w:tcW w:type="dxa" w:w="1930"/>
          </w:tcPr>
          <w:p>
            <w:r>
              <w:rPr>
                <w:sz w:val="18"/>
              </w:rPr>
            </w:r>
            <w:r>
              <w:rPr>
                <w:sz w:val="18"/>
              </w:rPr>
              <w:t>0.383 ± 0.048</w:t>
            </w:r>
          </w:p>
        </w:tc>
      </w:tr>
      <w:tr>
        <w:tc>
          <w:tcPr>
            <w:tcW w:type="dxa" w:w="1930"/>
          </w:tcPr>
          <w:p>
            <w:r>
              <w:rPr>
                <w:sz w:val="18"/>
              </w:rPr>
            </w:r>
            <w:r>
              <w:rPr>
                <w:sz w:val="18"/>
              </w:rPr>
              <w:t>uniform augmentation</w:t>
            </w:r>
          </w:p>
        </w:tc>
        <w:tc>
          <w:tcPr>
            <w:tcW w:type="dxa" w:w="1930"/>
          </w:tcPr>
          <w:p>
            <w:r>
              <w:rPr>
                <w:sz w:val="18"/>
              </w:rPr>
            </w:r>
            <w:r>
              <w:rPr>
                <w:sz w:val="18"/>
              </w:rPr>
              <w:t>0.815 ± 0.034</w:t>
            </w:r>
          </w:p>
        </w:tc>
        <w:tc>
          <w:tcPr>
            <w:tcW w:type="dxa" w:w="1930"/>
          </w:tcPr>
          <w:p>
            <w:r>
              <w:rPr>
                <w:sz w:val="18"/>
              </w:rPr>
            </w:r>
            <w:r>
              <w:rPr>
                <w:sz w:val="18"/>
              </w:rPr>
              <w:t>0.768 ± 0.032</w:t>
            </w:r>
          </w:p>
        </w:tc>
        <w:tc>
          <w:tcPr>
            <w:tcW w:type="dxa" w:w="1930"/>
          </w:tcPr>
          <w:p>
            <w:r>
              <w:rPr>
                <w:sz w:val="18"/>
              </w:rPr>
            </w:r>
            <w:r>
              <w:rPr>
                <w:sz w:val="18"/>
              </w:rPr>
              <w:t>0.609 ± 0.039</w:t>
            </w:r>
          </w:p>
        </w:tc>
        <w:tc>
          <w:tcPr>
            <w:tcW w:type="dxa" w:w="1930"/>
          </w:tcPr>
          <w:p>
            <w:r>
              <w:rPr>
                <w:sz w:val="18"/>
              </w:rPr>
            </w:r>
            <w:r>
              <w:rPr>
                <w:sz w:val="18"/>
              </w:rPr>
              <w:t>0.544 ± 0.054</w:t>
            </w:r>
          </w:p>
        </w:tc>
      </w:tr>
      <w:tr>
        <w:tc>
          <w:tcPr>
            <w:tcW w:type="dxa" w:w="1930"/>
          </w:tcPr>
          <w:p>
            <w:r>
              <w:rPr>
                <w:sz w:val="18"/>
              </w:rPr>
            </w:r>
            <w:r>
              <w:rPr>
                <w:sz w:val="18"/>
              </w:rPr>
              <w:t>cost-weighted (τ=0.06)</w:t>
            </w:r>
          </w:p>
        </w:tc>
        <w:tc>
          <w:tcPr>
            <w:tcW w:type="dxa" w:w="1930"/>
          </w:tcPr>
          <w:p>
            <w:r>
              <w:rPr>
                <w:sz w:val="18"/>
              </w:rPr>
            </w:r>
            <w:r>
              <w:rPr>
                <w:sz w:val="18"/>
              </w:rPr>
              <w:t>0.827 ± 0.036</w:t>
            </w:r>
          </w:p>
        </w:tc>
        <w:tc>
          <w:tcPr>
            <w:tcW w:type="dxa" w:w="1930"/>
          </w:tcPr>
          <w:p>
            <w:r>
              <w:rPr>
                <w:sz w:val="18"/>
              </w:rPr>
            </w:r>
            <w:r>
              <w:rPr>
                <w:sz w:val="18"/>
              </w:rPr>
              <w:t>0.782 ± 0.034</w:t>
            </w:r>
          </w:p>
        </w:tc>
        <w:tc>
          <w:tcPr>
            <w:tcW w:type="dxa" w:w="1930"/>
          </w:tcPr>
          <w:p>
            <w:r>
              <w:rPr>
                <w:sz w:val="18"/>
              </w:rPr>
            </w:r>
            <w:r>
              <w:rPr>
                <w:sz w:val="18"/>
              </w:rPr>
              <w:t>0.635 ± 0.052</w:t>
            </w:r>
          </w:p>
        </w:tc>
        <w:tc>
          <w:tcPr>
            <w:tcW w:type="dxa" w:w="1930"/>
          </w:tcPr>
          <w:p>
            <w:r>
              <w:rPr>
                <w:sz w:val="18"/>
              </w:rPr>
            </w:r>
            <w:r>
              <w:rPr>
                <w:sz w:val="18"/>
              </w:rPr>
              <w:t>0.373 ± 0.044</w:t>
            </w:r>
          </w:p>
        </w:tc>
      </w:tr>
    </w:tbl>
    <w:p/>
    <w:p>
      <w:pPr>
        <w:pStyle w:val="Heading3"/>
      </w:pPr>
      <w:r>
        <w:t>4.3.2 Semantic augmentation is necessary, and the effect is large</w:t>
      </w:r>
    </w:p>
    <w:p>
      <w:pPr>
        <w:jc w:val="both"/>
      </w:pPr>
      <w:r>
        <w:t xml:space="preserve">Both augmented arms beat the unaugmented baseline on zero-shot attacked retrieval on </w:t>
      </w:r>
      <w:r>
        <w:rPr>
          <w:b/>
        </w:rPr>
        <w:t>all 13 seeds</w:t>
      </w:r>
      <w:r>
        <w:t xml:space="preserve">: uniform </w:t>
      </w:r>
      <w:r>
        <w:rPr>
          <w:b/>
        </w:rPr>
        <w:t>+0.069 (t = 12.09, p &lt; 10⁻⁵)</w:t>
      </w:r>
      <w:r>
        <w:t xml:space="preserve">, cost-weighted </w:t>
      </w:r>
      <w:r>
        <w:rPr>
          <w:b/>
        </w:rPr>
        <w:t>+0.083 (t = 18.53, p &lt; 10⁻⁵)</w:t>
      </w:r>
      <w:r>
        <w:t xml:space="preserve">. On grayscale the gains are </w:t>
      </w:r>
      <w:r>
        <w:rPr>
          <w:b/>
        </w:rPr>
        <w:t>+0.232</w:t>
      </w:r>
      <w:r>
        <w:t xml:space="preserve"> and </w:t>
      </w:r>
      <w:r>
        <w:rPr>
          <w:b/>
        </w:rPr>
        <w:t>+0.258</w:t>
      </w:r>
      <w:r>
        <w:t>, both 13/13, both p &lt; 10⁻⁵.</w:t>
      </w:r>
    </w:p>
    <w:p>
      <w:pPr>
        <w:jc w:val="both"/>
      </w:pPr>
      <w:r>
        <w:t xml:space="preserve">Read against §4.2.3 this is the paper's clearest visual claim. Standard metric learning leaves an encoder </w:t>
      </w:r>
      <w:r>
        <w:rPr>
          <w:i/>
        </w:rPr>
        <w:t>less</w:t>
      </w:r>
      <w:r>
        <w:t xml:space="preserve"> robust on unseen brands than no training at all; semantic augmentation is what makes zero-shot visual robustness possible, and its necessity is established far more strongly than any difference between augmentation policies.</w:t>
      </w:r>
    </w:p>
    <w:p>
      <w:pPr>
        <w:pStyle w:val="Heading3"/>
      </w:pPr>
      <w:r>
        <w:t>4.3.3 Colour dependency is repaired, not surpassed</w:t>
      </w:r>
    </w:p>
    <w:p>
      <w:pPr>
        <w:jc w:val="both"/>
      </w:pPr>
      <w:r>
        <w:t xml:space="preserve">Cost-weighted augmentation lifts grayscale retrieval on unseen brands from 0.377 to </w:t>
      </w:r>
      <w:r>
        <w:rPr>
          <w:b/>
        </w:rPr>
        <w:t>0.635</w:t>
      </w:r>
      <w:r>
        <w:t xml:space="preserve">. We are precise about the ceiling: 0.635 against the untrained control's 0.619 is a difference of +0.016 with p = 0.32, statistically indistinguishable even at 13 seeds. Augmentation </w:t>
      </w:r>
      <w:r>
        <w:rPr>
          <w:b/>
        </w:rPr>
        <w:t>recovers</w:t>
      </w:r>
      <w:r>
        <w:t xml:space="preserve"> the colour robustness that training destroyed; it does not exceed what the ImageNet initialisation already supplied. Prediction 3 is confirmed in direction and bounded in magnitude.</w:t>
      </w:r>
    </w:p>
    <w:p>
      <w:pPr>
        <w:pStyle w:val="Heading3"/>
      </w:pPr>
      <w:r>
        <w:t>4.3.4 The mechanism margin, and what thirteen seeds were needed to see</w:t>
      </w:r>
    </w:p>
    <w:p>
      <w:pPr>
        <w:jc w:val="both"/>
      </w:pPr>
      <w:r>
        <w:t xml:space="preserve">Cost weighting beats uniform augmentation on zero-shot attacked retrieval by </w:t>
      </w:r>
      <w:r>
        <w:rPr>
          <w:b/>
        </w:rPr>
        <w:t>+0.0144 ± 0.0155</w:t>
      </w:r>
      <w:r>
        <w:t xml:space="preserve">, winning on </w:t>
      </w:r>
      <w:r>
        <w:rPr>
          <w:b/>
        </w:rPr>
        <w:t>11 of 13 seeds</w:t>
      </w:r>
      <w:r>
        <w:t xml:space="preserve">, </w:t>
      </w:r>
      <w:r>
        <w:rPr>
          <w:b/>
        </w:rPr>
        <w:t>t = 3.35, p = 0.006</w:t>
      </w:r>
      <w:r>
        <w:t xml:space="preserve">. On grayscale the margin is </w:t>
      </w:r>
      <w:r>
        <w:rPr>
          <w:b/>
        </w:rPr>
        <w:t>+0.0263 ± 0.0429</w:t>
      </w:r>
      <w:r>
        <w:t xml:space="preserve">, 10/13 seeds, </w:t>
      </w:r>
      <w:r>
        <w:rPr>
          <w:b/>
        </w:rPr>
        <w:t>t = 2.21, p = 0.047</w:t>
      </w:r>
      <w:r>
        <w:t>. Both are significant; neither is large.</w:t>
      </w:r>
    </w:p>
    <w:p>
      <w:pPr>
        <w:jc w:val="both"/>
      </w:pPr>
      <w:r>
        <w:t xml:space="preserve">The path to this number is itself the methodological point. An unpaired single-seed run reported +0.068. Pairing initialisation, batches and evaluation draws cut that to +0.0099 at five seeds, where it was </w:t>
      </w:r>
      <w:r>
        <w:rPr>
          <w:i/>
        </w:rPr>
        <w:t>not</w:t>
      </w:r>
      <w:r>
        <w:t xml:space="preserve"> separable from zero (p = 0.12) at 33% power. Only at thirteen seeds. The sample size the observed effect size dz = 0.93 requires for 80% power, does the effect resolve, and it resolves </w:t>
      </w:r>
      <w:r>
        <w:rPr>
          <w:i/>
        </w:rPr>
        <w:t>upward</w:t>
      </w:r>
      <w:r>
        <w:t>, to +0.0144. Two conclusions follow, and they point in opposite directions. Four fifths of the original margin was an artefact of unpaired evaluation. But the residue is real, and an analysis that had stopped at five seeds would have wrongly reported a null.</w:t>
      </w:r>
    </w:p>
    <w:p>
      <w:pPr>
        <w:jc w:val="both"/>
      </w:pPr>
      <w:r>
        <w:t xml:space="preserve">We are correspondingly careful about magnitude. Cost weighting improves zero-shot attacked retrieval by roughly </w:t>
      </w:r>
      <w:r>
        <w:rPr>
          <w:b/>
        </w:rPr>
        <w:t>1.4 percentage points</w:t>
      </w:r>
      <w:r>
        <w:t xml:space="preserve"> over uniform augmentation, against the </w:t>
      </w:r>
      <w:r>
        <w:rPr>
          <w:b/>
        </w:rPr>
        <w:t>6.9 points</w:t>
      </w:r>
      <w:r>
        <w:t xml:space="preserve"> that augmentation itself contributes over no augmentation at all (§4.3.2). The dominant effect by a factor of five is that attacks are simulated during training; </w:t>
      </w:r>
      <w:r>
        <w:rPr>
          <w:i/>
        </w:rPr>
        <w:t>pricing</w:t>
      </w:r>
      <w:r>
        <w:t xml:space="preserve"> those attacks is a real but second-order refinement on top of it. A reader deciding what to implement should read that ordering as the finding.</w:t>
      </w:r>
    </w:p>
    <w:p>
      <w:pPr>
        <w:jc w:val="both"/>
      </w:pPr>
      <w:r>
        <w:t xml:space="preserve">This yields a </w:t>
      </w:r>
      <w:r>
        <w:rPr>
          <w:b/>
        </w:rPr>
        <w:t>modality contrast</w:t>
      </w:r>
      <w:r>
        <w:t xml:space="preserve"> rather than a uniform endorsement. In the discrete lexical setting cost weighting was not a refinement but a necessity: its undifferentiated comparator, a uniform gradient penalty, cost </w:t>
      </w:r>
      <w:r>
        <w:rPr>
          <w:b/>
        </w:rPr>
        <w:t>12.4%</w:t>
      </w:r>
      <w:r>
        <w:t xml:space="preserve"> of clean F1 (§4.1.2), a catastrophic price no amount of robustness would justify. In the continuous visual embedding space the undifferentiated comparator is nearly free. Uniform augmentation costs 1.6 points of clean zero-shot retrieval, not significantly different from baseline (p = 0.068); and cost weighting buys 1.4 points of attacked retrieval on top. The value of pricing manipulations is therefore real in both modalities but differs by an order of magnitude in importance, and we report where it is load-bearing and where it is a refinement.</w:t>
      </w:r>
    </w:p>
    <w:p>
      <w:pPr>
        <w:jc w:val="both"/>
      </w:pPr>
      <w:r>
        <w:t xml:space="preserve">Prediction 1 is </w:t>
      </w:r>
      <w:r>
        <w:rPr>
          <w:b/>
        </w:rPr>
        <w:t>refuted</w:t>
      </w:r>
      <w:r>
        <w:t xml:space="preserve">. Using the skill-normalised gap s-p_chance1-p_chance, required because the seen and unseen tasks have different class counts, the seen/unseen gap does not narrow under augmentation: baseline +0.037, cost-weighted +0.046, uniform +0.057. Augmentation substantially improves unseen-brand robustness </w:t>
      </w:r>
      <w:r>
        <w:rPr>
          <w:i/>
        </w:rPr>
        <w:t>under attack</w:t>
      </w:r>
      <w:r>
        <w:t xml:space="preserve"> without closing the generalisation gap on clean retrieval, and we found no evidence that cost weighting forces a representation that transfers better in the clean case.</w:t>
      </w:r>
    </w:p>
    <w:p>
      <w:pPr>
        <w:pStyle w:val="Heading3"/>
      </w:pPr>
      <w:r>
        <w:t>4.3.5 The economic trade-off, measured</w:t>
      </w:r>
    </w:p>
    <w:p>
      <w:pPr>
        <w:jc w:val="both"/>
      </w:pPr>
      <w:r>
        <w:t xml:space="preserve">The place cost weighting differs most sharply from uniform augmentation is exactly where the cost model says it should. On </w:t>
      </w:r>
      <w:r>
        <w:rPr>
          <w:rFonts w:ascii="Consolas" w:hAnsi="Consolas"/>
          <w:sz w:val="19"/>
        </w:rPr>
        <w:t>logo_delete</w:t>
      </w:r>
      <w:r>
        <w:t xml:space="preserve">, an attack that erases the brand mark, uniform augmentation scores 0.544 and cost weighting 0.373, a paired difference of </w:t>
      </w:r>
      <w:r>
        <w:rPr>
          <w:b/>
        </w:rPr>
        <w:t>−0.172 (t = −10.36, p &lt; 10⁻⁵, losing on 13 of 13 seeds)</w:t>
      </w:r>
      <w:r>
        <w:t>.</w:t>
      </w:r>
    </w:p>
    <w:p>
      <w:pPr>
        <w:jc w:val="both"/>
      </w:pPr>
      <w:r>
        <w:t xml:space="preserve">The sharpest form of the result is a </w:t>
      </w:r>
      <w:r>
        <w:rPr>
          <w:b/>
        </w:rPr>
        <w:t>null</w:t>
      </w:r>
      <w:r>
        <w:t xml:space="preserve">. On </w:t>
      </w:r>
      <w:r>
        <w:rPr>
          <w:rFonts w:ascii="Consolas" w:hAnsi="Consolas"/>
          <w:sz w:val="19"/>
        </w:rPr>
        <w:t>logo_delete</w:t>
      </w:r>
      <w:r>
        <w:t xml:space="preserve">, cost-weighted augmentation is statistically indistinguishable from </w:t>
      </w:r>
      <w:r>
        <w:rPr>
          <w:i/>
        </w:rPr>
        <w:t>no augmentation whatsoever</w:t>
      </w:r>
      <w:r>
        <w:t xml:space="preserve"> (−0.010, </w:t>
      </w:r>
      <w:r>
        <w:rPr>
          <w:b/>
        </w:rPr>
        <w:t>p = 0.55</w:t>
      </w:r>
      <w:r>
        <w:t xml:space="preserve">), while uniform augmentation gains +0.162 (p &lt; 10⁻⁵). Cost weighting spends essentially </w:t>
      </w:r>
      <w:r>
        <w:rPr>
          <w:b/>
        </w:rPr>
        <w:t>nothing</w:t>
      </w:r>
      <w:r>
        <w:t xml:space="preserve"> defending an attack that destroys the victim's own recognition cue; and nevertheless achieves </w:t>
      </w:r>
      <w:r>
        <w:rPr>
          <w:i/>
        </w:rPr>
        <w:t>higher</w:t>
      </w:r>
      <w:r>
        <w:t xml:space="preserve"> aggregate zero-shot robustness than the arm that spends 11% of its training budget there (§4.3.4). The allocation is not merely defensible on threat-model grounds; on this corpus it is also the better-performing one.</w:t>
      </w:r>
    </w:p>
    <w:p>
      <w:pPr>
        <w:jc w:val="both"/>
      </w:pPr>
      <w:r>
        <w:t xml:space="preserve">We state the cost of that allocation plainly. Against the untrained control, cost-weighted augmentation is significantly </w:t>
      </w:r>
      <w:r>
        <w:rPr>
          <w:i/>
        </w:rPr>
        <w:t>worse</w:t>
      </w:r>
      <w:r>
        <w:t xml:space="preserve"> on </w:t>
      </w:r>
      <w:r>
        <w:rPr>
          <w:rFonts w:ascii="Consolas" w:hAnsi="Consolas"/>
          <w:sz w:val="19"/>
        </w:rPr>
        <w:t>logo_delete</w:t>
      </w:r>
      <w:r>
        <w:t xml:space="preserve"> (−0.054, p = 0.027): the policy does not simply decline to improve there, it gives ground. An adversary willing to abandon the brand cue entirely; and thereby most of the campaign's conversion. Would find this model easier to evade than an off-the-shelf ImageNet encoder. Whether that trade is correct depends entirely on whether the conversion penalty in §2.2 reflects real attacker economics, which is a modelling assumption and not something these experiments establish.</w:t>
      </w:r>
    </w:p>
    <w:p>
      <w:pPr>
        <w:pStyle w:val="Heading3"/>
      </w:pPr>
      <w:r>
        <w:t>4.3.6 A structural caveat on cost-weighted evaluation</w:t>
      </w:r>
    </w:p>
    <w:p>
      <w:pPr>
        <w:jc w:val="both"/>
      </w:pPr>
      <w:r>
        <w:t xml:space="preserve">Attack cost and feature destructiveness are intrinsically coupled, which bounds what any cost-weighted defence can claim. Measuring the trained encoder against our price list gives corr(cost, retained retrieval) = -0.765 across all attacks and -0.871 across cheap ones: the model is most robust exactly where attacks are cheapest. This is tempting to read as learned economic sense, and we think that reading is wrong. A JPEG recompression is cheap </w:t>
      </w:r>
      <w:r>
        <w:rPr>
          <w:i/>
        </w:rPr>
        <w:t>because</w:t>
      </w:r>
      <w:r>
        <w:t xml:space="preserve"> the victim still recognises the logo, which necessarily means structural signal survives for a detector to read; deleting the wordmark destroys the victim's cue and the detector's evidence in one stroke. Cost and destructiveness are coupled by construction, so a defence that reallocates capacity toward cheap attacks pushes on an ordering the task already supplies.</w:t>
      </w:r>
    </w:p>
    <w:p>
      <w:pPr>
        <w:jc w:val="both"/>
      </w:pPr>
      <w:r>
        <w:t>This is the strongest argument against our own framing. It is why we evaluate on zero-shot transfer rather than on robustness to cheap attacks; and, in light of §4.3.4, why we report the visual cost model as a contrast with the lexical setting rather than as a second demonstration of its superiority.</w:t>
      </w:r>
    </w:p>
    <w:p>
      <w:pPr>
        <w:pStyle w:val="Heading2"/>
      </w:pPr>
      <w:r>
        <w:t>4.4 Limitations of visual-only detection</w:t>
      </w:r>
    </w:p>
    <w:p>
      <w:pPr>
        <w:jc w:val="both"/>
      </w:pPr>
      <w:r>
        <w:t xml:space="preserve">Cropping to the logo region is what made the visual task learnable, but it can only act where a logo is found. Running Phishpedia's own released detector over its own 30k benchmark, </w:t>
      </w:r>
      <w:r>
        <w:rPr>
          <w:b/>
        </w:rPr>
        <w:t>4,208 of 29,496 samples (14.27%) yield no logo region at all</w:t>
      </w:r>
      <w:r>
        <w:t xml:space="preserve">, an empty coordinate file. Any method requiring a detected brand mark is therefore capped at </w:t>
      </w:r>
      <w:r>
        <w:rPr>
          <w:b/>
        </w:rPr>
        <w:t>85.7% recall on this corpus before a single evasion attack is attempted</w:t>
      </w:r>
      <w:r>
        <w:t>.</w:t>
      </w:r>
    </w:p>
    <w:p>
      <w:pPr>
        <w:jc w:val="both"/>
      </w:pPr>
      <w:r>
        <w:t>We state the bound precisely: it is a property of the detector-and-data pair, not a theoretical limit of logo matching, and a stronger detector would move it. It nonetheless bounds the entire visual arm, and it is the clearest quantitative argument for why brand-mark matching must sit inside a multimodal system rather than issue verdicts alone. On those 14% of pages the URL and text branches carry the decision unaided: which is the architectural claim §4.1 and §4.2 jointly support: the modalities fail in different places, and the cost structure that governs their defence differs between them.</w:t>
      </w:r>
    </w:p>
    <w:p>
      <w:pPr>
        <w:pStyle w:val="Heading1"/>
      </w:pPr>
      <w:r>
        <w:t>5. Related Work</w:t>
      </w:r>
    </w:p>
    <w:p>
      <w:pPr>
        <w:pStyle w:val="Heading2"/>
      </w:pPr>
      <w:r>
        <w:t>5.1 Visual and lexical phishing detection</w:t>
      </w:r>
    </w:p>
    <w:p>
      <w:pPr>
        <w:jc w:val="both"/>
      </w:pPr>
      <w:r>
        <w:t>Modern phishing detection increasingly relies on reference-based visual matching to overcome the brittleness of lexical-only classifiers. Phishpedia [1] introduced a hybrid approach that first runs an object detector to isolate identity logos, then uses a Siamese network to match those crops against a trusted brand database [1]. This achieves high identification accuracy without training on phishing samples, but it does not model the adversary.</w:t>
      </w:r>
    </w:p>
    <w:p>
      <w:pPr>
        <w:jc w:val="both"/>
      </w:pPr>
      <w:r>
        <w:t xml:space="preserve">We adopt the Phishpedia pipeline as our visual substrate and use its released benchmark and detector. Our contribution is adversarial rather than architectural: we show that the metric-learning objective at the centre of this design inadvertently optimises for cheap, texture-level signal, principally colour, and that this leaves the encoder </w:t>
      </w:r>
      <w:r>
        <w:rPr>
          <w:i/>
        </w:rPr>
        <w:t>less</w:t>
      </w:r>
      <w:r>
        <w:t xml:space="preserve"> robust on unseen brands than its own untrained initialisation (§4.2.3). We also report a bound inherited from the reference-based design itself: on 14.27% of the benchmark's own samples the detector finds no logo at all (§6.1).</w:t>
      </w:r>
    </w:p>
    <w:p>
      <w:pPr>
        <w:pStyle w:val="Heading2"/>
      </w:pPr>
      <w:r>
        <w:t>5.2 Adversarial robustness and the Lp abstraction</w:t>
      </w:r>
    </w:p>
    <w:p>
      <w:pPr>
        <w:jc w:val="both"/>
      </w:pPr>
      <w:r>
        <w:t>The standard framework defines robustness as invariance within an Lp ball around the input. TRADES [2] explicitly optimises the theoretical trade-off between clean accuracy and boundary robustness. But Lp bounds map poorly onto the operations a phishing kit performs. A semantic manipulation, swapping a font, recolouring a template, deleting a wordmark, can be enormous in L₂ while costing the attacker nothing, and conversely a small-norm perturbation may be undeployable in a real kit. Distance in representation space is uncorrelated with difficulty in the attacker's world.</w:t>
      </w:r>
    </w:p>
    <w:p>
      <w:pPr>
        <w:jc w:val="both"/>
      </w:pPr>
      <w:r>
        <w:t xml:space="preserve">We adapt the TRADES formulation into </w:t>
      </w:r>
      <w:r>
        <w:rPr>
          <w:b/>
        </w:rPr>
        <w:t>cost-budgeted TRADES</w:t>
      </w:r>
      <w:r>
        <w:t>, replacing the Lp neighbourhood with an explicitly enumerated set of economically feasible manipulation subsets (§3.2.2). The outer objective is unchanged; only the feasible set of the inner maximisation moves, from a norm ball to what the attacker can afford.</w:t>
      </w:r>
    </w:p>
    <w:p>
      <w:pPr>
        <w:pStyle w:val="Heading2"/>
      </w:pPr>
      <w:r>
        <w:t>5.3 Cost-aware and semantic attacks</w:t>
      </w:r>
    </w:p>
    <w:p>
      <w:pPr>
        <w:jc w:val="both"/>
      </w:pPr>
      <w:r>
        <w:t xml:space="preserve">Cost-sensitive machine learning has generally concerned </w:t>
      </w:r>
      <w:r>
        <w:rPr>
          <w:i/>
        </w:rPr>
        <w:t>feature acquisition</w:t>
      </w:r>
      <w:r>
        <w:t xml:space="preserve"> costs borne by the defender at inference time, not manipulation costs borne by an adversary. Work on semantic adversarial examples has largely focused on generating perceptually realistic perturbations rather than on whether deploying them is economically rational.</w:t>
      </w:r>
    </w:p>
    <w:p>
      <w:pPr>
        <w:jc w:val="both"/>
      </w:pPr>
      <w:r>
        <w:t xml:space="preserve">Our contribution is to structure the adversary's problem as a </w:t>
      </w:r>
      <w:r>
        <w:rPr>
          <w:b/>
        </w:rPr>
        <w:t>dual-budget</w:t>
      </w:r>
      <w:r>
        <w:t xml:space="preserve"> optimisation: every manipulation is charged both against what it costs to perform and against what it costs in victim conversion. To our knowledge the second budget is not modelled in existing phishing-robustness work, and §2.2 shows it is not a refinement but a reordering, without it, the three manipulations that carry the deception price among the cheapest available.</w:t>
      </w:r>
    </w:p>
    <w:p>
      <w:pPr>
        <w:pStyle w:val="Heading1"/>
      </w:pPr>
      <w:r>
        <w:t>6. Discussion and Limitations</w:t>
      </w:r>
    </w:p>
    <w:p>
      <w:pPr>
        <w:jc w:val="both"/>
      </w:pPr>
      <w:r>
        <w:rPr>
          <w:b/>
        </w:rPr>
        <w:t>A recall ceiling, not just an accuracy one.</w:t>
      </w:r>
      <w:r>
        <w:t xml:space="preserve"> Reference matching is capped by whether a brand mark is present at all. Running Phishpedia's own detector across its own 30k benchmark, 4,208 of 29,496 samples (14.27%) return an empty coordinate file. Any logo-dependent architecture is therefore bounded at 85.7% recall before an adversary attempts anything. The bound belongs to this detector-and-data pair rather than to logo matching in principle, and a stronger detector would move it, but it still bounds our whole visual arm. On those pages the URL and text branches carry the decision alone (§4.4).</w:t>
      </w:r>
    </w:p>
    <w:p>
      <w:pPr>
        <w:jc w:val="both"/>
      </w:pPr>
      <w:r>
        <w:rPr>
          <w:b/>
        </w:rPr>
        <w:t>Cost and destructiveness are coupled.</w:t>
      </w:r>
      <w:r>
        <w:t xml:space="preserve"> This is the sharpest limit on our own framing. Retained retrieval correlates -0.765 with attack cost overall and -0.871 across cheap attacks, because a manipulation is cheap in conversion terms exactly when it spares the victim's recognition, which also spares the detector's evidence. The consequence is methodological rather than empirical: robustness to cheap attacks is a weak test of a cost-aware defence, since the ordering it seeks to induce is partly handed to it by the task. Zero-shot transfer, which the coupling does not determine, is the metric we rely on instead (§4.3.6).</w:t>
      </w:r>
    </w:p>
    <w:p>
      <w:pPr>
        <w:jc w:val="both"/>
      </w:pPr>
      <w:r>
        <w:rPr>
          <w:b/>
        </w:rPr>
        <w:t>Two corpus failures, and a leak in the reference index.</w:t>
      </w:r>
      <w:r>
        <w:t xml:space="preserve"> Our early visual experiments failed in two unrelated ways, and merging them would obscure both. The synthetic corpus failed corpus validity, not competence: it hosted a perfectly capable model, but encoded brand identity almost entirely in colour, so deleting the wordmark cost 0.19 top-1 retrieval while a colour shift cost 0.62. That ordering is inverted from real brand pages, and any robustness result on it would have described our renderer. The real full-page corpus failed competence instead, for a reason of resolution: at 224x224 a 1366px page renders its wordmark at roughly 23x21 px, leaving the baseline at 0.017 under attack against a 0.0043 chance floor and less robust than untrained ImageNet features. Cropping to the logo region, with loss and optimiser unchanged, resolved it (§4.2.1).</w:t>
      </w:r>
    </w:p>
    <w:p>
      <w:pPr>
        <w:jc w:val="both"/>
      </w:pPr>
      <w:r>
        <w:t>Separately, a semantically meaningful deduplication key proved insufficient. Distinct kits clone the same official asset, so splitting on the phishing-kit hash still left 37.3% of query crops pixel-identical to crops in the gallery they are retrieved against, even though gallery and query shared no family_id across 75 brands. We stress where that leak sits: train-to-query overlap was 0.0%, so this contaminates the retrieval index rather than the training set, which is exactly why a record-level split missed it. Uncorrected it inflated clean top-1 from 0.668 to 0.859.</w:t>
      </w:r>
    </w:p>
    <w:p>
      <w:pPr>
        <w:jc w:val="both"/>
      </w:pPr>
      <w:r>
        <w:rPr>
          <w:b/>
        </w:rPr>
        <w:t>Heuristic prices.</w:t>
      </w:r>
      <w:r>
        <w:t xml:space="preserve"> Our cost vector is grounded in 2026 attacker economics but encodes operational judgement, not telemetry. Rank-linear weighting preserves only the ordering the threat model asserts confidently (§2.3), and perturbing the weights by +/-10%, +/-20% and +/-30% moves median cost-to-evade between 0.222 and 0.225 against a per-condition spread of +/-0.008-0.013. That is a sensitivity analysis, not a hypothesis test; we did not test the differences for significance. Eliciting manipulation costs from observed campaign telemetry, rather than assigning them, remains the natural next step, as does extending cost-to-evade to the joint multimodal decision.</w:t>
      </w:r>
    </w:p>
    <w:p>
      <w:pPr>
        <w:pStyle w:val="Heading1"/>
      </w:pPr>
      <w:r>
        <w:t>7. Conclusion</w:t>
      </w:r>
    </w:p>
    <w:p>
      <w:pPr>
        <w:jc w:val="both"/>
      </w:pPr>
      <w:r>
        <w:t>We set out to test whether pricing an attacker's manipulations changes how a phishing detector should be defended. It does, though not uniformly, and not always in the direction we expected.</w:t>
      </w:r>
    </w:p>
    <w:p>
      <w:pPr>
        <w:jc w:val="both"/>
      </w:pPr>
      <w:r>
        <w:rPr>
          <w:b/>
        </w:rPr>
        <w:t>What pricing buys.</w:t>
      </w:r>
      <w:r>
        <w:t xml:space="preserve"> Exploitability becomes predictable once cost enters the picture. Reliance on its own correlates at +0.201 with cheapness; reliance divided by cost correlates at +0.774 with actual evasion success. An audit that asks only which features a model uses cannot anticipate where it will be evaded. The conversion axis is what keeps those prices honest. Strip it out and a cost-aware defence rationally concludes that its scarce capacity belongs on the one manipulation that ends the campaign.</w:t>
      </w:r>
    </w:p>
    <w:p>
      <w:pPr>
        <w:jc w:val="both"/>
      </w:pPr>
      <w:r>
        <w:rPr>
          <w:b/>
        </w:rPr>
        <w:t>What the defence looks like.</w:t>
      </w:r>
      <w:r>
        <w:t xml:space="preserve"> The mechanism that works is not the one the framing suggests. Coercing a model off cheap features succeeds on its own terms and is unusable, costing 12.4% of clean F1. Removing those same features </w:t>
      </w:r>
      <w:r>
        <w:rPr>
          <w:i/>
        </w:rPr>
        <w:t>stochastically</w:t>
      </w:r>
      <w:r>
        <w:t xml:space="preserve"> leaves reliance almost untouched and buys far more robustness, because the model builds redundant pathways instead of abandoning a signal it needs. One operating point raises cost-to-evade by 265% for no measurable accuracy cost at all. We think "redundancy, not abstinence" is the transferable lesson here, and note that it only became visible because we measured reliance directly and found the better mechanism had barely moved it.</w:t>
      </w:r>
    </w:p>
    <w:p>
      <w:pPr>
        <w:jc w:val="both"/>
      </w:pPr>
      <w:r>
        <w:rPr>
          <w:b/>
        </w:rPr>
        <w:t>How far it transfers.</w:t>
      </w:r>
      <w:r>
        <w:t xml:space="preserve"> In the continuous visual embedding space the same machinery earns its keep, but on a different scale. Semantic augmentation is emphatically necessary: without it, metric learning leaves an encoder worse than its own initialisation on unseen brands. Weighting that augmentation by attacker cost adds a further significant but modest gain of +0.014 (p = 0.006), roughly a fifth of what augmentation itself contributes. Pricing is therefore load-bearing in the lexical setting, where its absence costs 12.4% of clean F1, and a second-order refinement in the visual one. Cost weighting is also the more efficient allocation, reaching higher aggregate robustness while spending nothing on brand-erasing attacks. It gives ground there relative to an untrained encoder, a trade whose correctness rests on the conversion penalty reflecting real attacker economics.</w:t>
      </w:r>
    </w:p>
    <w:p>
      <w:pPr>
        <w:jc w:val="both"/>
      </w:pPr>
      <w:r>
        <w:rPr>
          <w:b/>
        </w:rPr>
        <w:t>A limit on our own framing.</w:t>
      </w:r>
      <w:r>
        <w:t xml:space="preserve"> Attack cost and feature destructiveness are coupled by construction. A manipulation is cheap in conversion terms when it leaves the victim's recognition intact, which necessarily leaves signal for a detector; one that erases the victim's cue erases the detector's evidence too. Any defence reallocating capacity toward cheap attacks is therefore pushing on an ordering the task already supplies, which makes cost-weighted robustness on cheap attacks a weak test. That is why we evaluate on zero-shot transfer, and why we present the visual result as a contrast rather than a second win.</w:t>
      </w:r>
    </w:p>
    <w:p>
      <w:pPr>
        <w:jc w:val="both"/>
      </w:pPr>
      <w:r>
        <w:rPr>
          <w:b/>
        </w:rPr>
        <w:t>Scope and future work.</w:t>
      </w:r>
      <w:r>
        <w:t xml:space="preserve"> The visual arm inherits a hard ceiling: 14.27% of the Phishpedia benchmark yields no detectable logo region, capping any logo-dependent method at 85.7% recall before an attack is attempted. That bound belongs to the detector-and-data pair rather than to logo matching in principle, but it is this paper's clearest argument for why brand-mark matching must sit inside a multimodal system. The lexical results rest on a small differentiable model over 30 hand-designed features, and the cost table encodes our judgement rather than measured attacker behaviour, though it survives +/-30% weight perturbation. Eliciting those prices from observed campaign data is the natural next step, as is extending cost-to-evade to the joint multimodal decision, where an attacker pays across modalities at once and the cheapest bundle may exploit whichever one a defender left unpriced.</w:t>
      </w:r>
    </w:p>
    <w:p>
      <w:pPr>
        <w:jc w:val="both"/>
      </w:pPr>
      <w:r>
        <w:rPr>
          <w:b/>
        </w:rPr>
        <w:t>On negative results.</w:t>
      </w:r>
      <w:r>
        <w:t xml:space="preserve"> Three findings in this paper correct earlier results of our own: a fusion mechanism advantage that vanished across seeds, a visual defence experiment whose baseline could not perform the task, and a cost-weighting margin that shrank fivefold once evaluation was properly paired, then would have been wrongly dismissed as null at five seeds. Each was invisible under the analysis that first produced it. A harness able to reject its authors' own experiments seems to us a stronger claim to rigour than a table those checks would have refused.</w:t>
      </w:r>
    </w:p>
    <w:p>
      <w:pPr>
        <w:pStyle w:val="Heading1"/>
      </w:pPr>
      <w:r>
        <w:t>References</w:t>
      </w:r>
    </w:p>
    <w:p>
      <w:pPr>
        <w:jc w:val="both"/>
      </w:pPr>
      <w:r>
        <w:t xml:space="preserve">[1] Y. Lin, R. Liu, D. M. Divakaran, J. Y. Ng, Q. Z. Chan, Y. Lu, Y. Si, F. Zhang, and J. S. Dong. "Phishpedia: A Hybrid Deep Learning Based Approach to Visually Identify Phishing Webpages." In </w:t>
      </w:r>
      <w:r>
        <w:rPr>
          <w:i/>
        </w:rPr>
        <w:t>30th USENIX Security Symposium (USENIX Security 21)</w:t>
      </w:r>
      <w:r>
        <w:t>, pp. 3793–3810, 2021.</w:t>
      </w:r>
    </w:p>
    <w:p>
      <w:pPr>
        <w:jc w:val="both"/>
      </w:pPr>
      <w:r>
        <w:t xml:space="preserve">[2] H. Zhang, Y. Yu, J. Jiao, E. P. Xing, L. El Ghaoui, and M. I. Jordan. "Theoretically Principled Trade-off between Robustness and Accuracy." In </w:t>
      </w:r>
      <w:r>
        <w:rPr>
          <w:i/>
        </w:rPr>
        <w:t>Proceedings of the 36th International Conference on Machine Learning (ICML)</w:t>
      </w:r>
      <w:r>
        <w:t>, PMLR 97:7472–7482, 2019.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