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8f625f3f178ad515321657cc30771fc01768c6"/>
    <w:p>
      <w:pPr>
        <w:pStyle w:val="Heading1"/>
      </w:pPr>
      <w:r>
        <w:t xml:space="preserve">Analytical choices decide which open-data surrogate agrees with expert biodiversity assessment: a multiverse validation in northern Australia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Aim.</w:t>
      </w:r>
      <w:r>
        <w:t xml:space="preserve"> </w:t>
      </w:r>
      <w:r>
        <w:t xml:space="preserve">Conservation planning in data-poor regions uses open spatial layers as biodiversity</w:t>
      </w:r>
      <w:r>
        <w:t xml:space="preserve"> </w:t>
      </w:r>
      <w:r>
        <w:t xml:space="preserve">surrogates, and validations usually report one statistic from one set of analysis choices. We asked</w:t>
      </w:r>
      <w:r>
        <w:t xml:space="preserve"> </w:t>
      </w:r>
      <w:r>
        <w:t xml:space="preserve">whether the answer to</w:t>
      </w:r>
      <w:r>
        <w:t xml:space="preserve"> </w:t>
      </w:r>
      <w:r>
        <w:t xml:space="preserve">“which surrogate agrees best with expert assessment?”</w:t>
      </w:r>
      <w:r>
        <w:t xml:space="preserve"> </w:t>
      </w:r>
      <w:r>
        <w:t xml:space="preserve">holds when those choices</w:t>
      </w:r>
      <w:r>
        <w:t xml:space="preserve"> </w:t>
      </w:r>
      <w:r>
        <w:t xml:space="preserve">change within a defensible range.</w:t>
      </w:r>
    </w:p>
    <w:p>
      <w:pPr>
        <w:pStyle w:val="BodyText"/>
      </w:pPr>
      <w:r>
        <w:rPr>
          <w:b/>
          <w:bCs/>
        </w:rPr>
        <w:t xml:space="preserve">Location.</w:t>
      </w:r>
      <w:r>
        <w:t xml:space="preserve"> </w:t>
      </w:r>
      <w:r>
        <w:t xml:space="preserve">Northern Territory, Australia.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We compared five open-data surrogates (land-system rarity, vegetation-type rarity from</w:t>
      </w:r>
      <w:r>
        <w:t xml:space="preserve"> </w:t>
      </w:r>
      <w:r>
        <w:t xml:space="preserve">the National Vegetation Information System, satellite vegetation cover, land-use convertibility and</w:t>
      </w:r>
      <w:r>
        <w:t xml:space="preserve"> </w:t>
      </w:r>
      <w:r>
        <w:t xml:space="preserve">formal protection) with government expert biodiversity-risk classes for 26,831 polygons in five</w:t>
      </w:r>
      <w:r>
        <w:t xml:space="preserve"> </w:t>
      </w:r>
      <w:r>
        <w:t xml:space="preserve">assessment areas and 20,481 polygons in a sixth area on a separate scale. We evaluated 30</w:t>
      </w:r>
      <w:r>
        <w:t xml:space="preserve"> </w:t>
      </w:r>
      <w:r>
        <w:t xml:space="preserve">specifications (five agreement metrics × three minimum polygon sizes × with or without</w:t>
      </w:r>
      <w:r>
        <w:t xml:space="preserve"> </w:t>
      </w:r>
      <w:r>
        <w:t xml:space="preserve">already-modified land) using a 10 km spatial block bootstrap and small-sample random-effects</w:t>
      </w:r>
      <w:r>
        <w:t xml:space="preserve"> </w:t>
      </w:r>
      <w:r>
        <w:t xml:space="preserve">meta-analysis.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The surrogate that scored highest changed with the specification. Vegetation-type rarity</w:t>
      </w:r>
      <w:r>
        <w:t xml:space="preserve"> </w:t>
      </w:r>
      <w:r>
        <w:t xml:space="preserve">led on per-polygon rank correlation (0.22–0.51 in the three large areas) and on separating high-risk</w:t>
      </w:r>
      <w:r>
        <w:t xml:space="preserve"> </w:t>
      </w:r>
      <w:r>
        <w:t xml:space="preserve">polygons (class ≥ 4) from the rest. Land-system rarity led under area weighting in two of four areas</w:t>
      </w:r>
      <w:r>
        <w:t xml:space="preserve"> </w:t>
      </w:r>
      <w:r>
        <w:t xml:space="preserve">and in identifying the highest class in the two most finely mapped assessments (AUC 0.69</w:t>
      </w:r>
      <w:r>
        <w:t xml:space="preserve"> </w:t>
      </w:r>
      <w:r>
        <w:t xml:space="preserve">and 0.61 versus 0.46 and 0.47). Vegetation-type rarity scored highest in 21 of 30 specifications and</w:t>
      </w:r>
      <w:r>
        <w:t xml:space="preserve"> </w:t>
      </w:r>
      <w:r>
        <w:t xml:space="preserve">land-system rarity in 9, but their paired difference excluded zero in only one. Three mechanisms</w:t>
      </w:r>
      <w:r>
        <w:t xml:space="preserve"> </w:t>
      </w:r>
      <w:r>
        <w:t xml:space="preserve">explained the reversals: 76–85% of polygons in the finely mapped assessments were under one hectare;</w:t>
      </w:r>
      <w:r>
        <w:t xml:space="preserve"> </w:t>
      </w:r>
      <w:r>
        <w:t xml:space="preserve">vegetation-type agreement came from a few rare groups, led by mangroves, that experts rate as</w:t>
      </w:r>
      <w:r>
        <w:t xml:space="preserve"> </w:t>
      </w:r>
      <w:r>
        <w:t xml:space="preserve">sensitive; and convertibility partly identified already-modified land.</w:t>
      </w:r>
    </w:p>
    <w:p>
      <w:pPr>
        <w:pStyle w:val="BodyText"/>
      </w:pPr>
      <w:r>
        <w:rPr>
          <w:b/>
          <w:bCs/>
        </w:rPr>
        <w:t xml:space="preserve">Main conclusions.</w:t>
      </w:r>
      <w:r>
        <w:t xml:space="preserve"> </w:t>
      </w:r>
      <w:r>
        <w:t xml:space="preserve">A single-specification validation can name a different best surrogate from</w:t>
      </w:r>
      <w:r>
        <w:t xml:space="preserve"> </w:t>
      </w:r>
      <w:r>
        <w:t xml:space="preserve">the same data, and with four usable areas, paired comparisons rarely separated the two candidates. Validations should report a specification curve, threshold-specific discrimination and</w:t>
      </w:r>
      <w:r>
        <w:t xml:space="preserve"> </w:t>
      </w:r>
      <w:r>
        <w:t xml:space="preserve">benchmark grain, and compare surrogates with paired tests.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biodiversity surrogates; conservation planning; expert assessment; multiverse</w:t>
      </w:r>
      <w:r>
        <w:t xml:space="preserve"> </w:t>
      </w:r>
      <w:r>
        <w:t xml:space="preserve">analysis; northern Australia; spatial validation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Systematic conservation planning needs maps of where biodiversity value lies (Margules &amp; Pressey,</w:t>
      </w:r>
      <w:r>
        <w:t xml:space="preserve"> </w:t>
      </w:r>
      <w:r>
        <w:t xml:space="preserve">2000). Across most of northern Australia the species inventories and fine-scale vegetation mapping</w:t>
      </w:r>
      <w:r>
        <w:t xml:space="preserve"> </w:t>
      </w:r>
      <w:r>
        <w:t xml:space="preserve">those maps would ideally draw on do not exist at planning resolution (Woinarski et al., 2007), and</w:t>
      </w:r>
      <w:r>
        <w:t xml:space="preserve"> </w:t>
      </w:r>
      <w:r>
        <w:t xml:space="preserve">the region faces expanding agriculture, water development and energy projects (McGinley et al., 2026;</w:t>
      </w:r>
      <w:r>
        <w:t xml:space="preserve"> </w:t>
      </w:r>
      <w:r>
        <w:t xml:space="preserve">Woinarski et al., 2011). Planners therefore build priority layers from whatever open, wall-to-wall</w:t>
      </w:r>
      <w:r>
        <w:t xml:space="preserve"> </w:t>
      </w:r>
      <w:r>
        <w:t xml:space="preserve">data are available: land-system and landform maps, vegetation classifications, land-use and tenure</w:t>
      </w:r>
      <w:r>
        <w:t xml:space="preserve"> </w:t>
      </w:r>
      <w:r>
        <w:t xml:space="preserve">layers, and remote sensing. These layers act as surrogates for the biodiversity information that</w:t>
      </w:r>
      <w:r>
        <w:t xml:space="preserve"> </w:t>
      </w:r>
      <w:r>
        <w:t xml:space="preserve">direct survey would provide (Ferrier, 2002; Rodrigues &amp; Brooks, 2007; Lindenmayer et al., 2015).</w:t>
      </w:r>
    </w:p>
    <w:p>
      <w:pPr>
        <w:pStyle w:val="BodyText"/>
      </w:pPr>
      <w:r>
        <w:t xml:space="preserve">Surrogate performance is known to be modest and inconsistent. Land systems captured distinct plant,</w:t>
      </w:r>
      <w:r>
        <w:t xml:space="preserve"> </w:t>
      </w:r>
      <w:r>
        <w:t xml:space="preserve">invertebrate and microbial assemblages in arid New South Wales (Oliver et al., 2004), but a global</w:t>
      </w:r>
      <w:r>
        <w:t xml:space="preserve"> </w:t>
      </w:r>
      <w:r>
        <w:t xml:space="preserve">meta-analysis found that congruence between surrogates and the biodiversity they stand for is low</w:t>
      </w:r>
      <w:r>
        <w:t xml:space="preserve"> </w:t>
      </w:r>
      <w:r>
        <w:t xml:space="preserve">and varies widely among studies (Westgate et al., 2014). Part of that variation comes from how</w:t>
      </w:r>
      <w:r>
        <w:t xml:space="preserve"> </w:t>
      </w:r>
      <w:r>
        <w:t xml:space="preserve">effectiveness is measured: the same surrogates looked effective or ineffective in one study region</w:t>
      </w:r>
      <w:r>
        <w:t xml:space="preserve"> </w:t>
      </w:r>
      <w:r>
        <w:t xml:space="preserve">depending on which of five test methods was used (Grantham et al., 2010), and indicator performance</w:t>
      </w:r>
      <w:r>
        <w:t xml:space="preserve"> </w:t>
      </w:r>
      <w:r>
        <w:t xml:space="preserve">changed with extent, grain and region (Hess et al., 2006). Reserve selections built from different</w:t>
      </w:r>
      <w:r>
        <w:t xml:space="preserve"> </w:t>
      </w:r>
      <w:r>
        <w:t xml:space="preserve">planning units overlapped by only 40% (Warman et al., 2004). These are the spatial-statistics</w:t>
      </w:r>
      <w:r>
        <w:t xml:space="preserve"> </w:t>
      </w:r>
      <w:r>
        <w:t xml:space="preserve">problems of support and the modifiable areal unit (Openshaw, 1984; Jelinski &amp; Wu, 1996; Dungan et</w:t>
      </w:r>
      <w:r>
        <w:t xml:space="preserve"> </w:t>
      </w:r>
      <w:r>
        <w:t xml:space="preserve">al., 2002).</w:t>
      </w:r>
    </w:p>
    <w:p>
      <w:pPr>
        <w:pStyle w:val="BodyText"/>
      </w:pPr>
      <w:r>
        <w:t xml:space="preserve">Validation studies still tend to report one correlation for one unit, weighting and metric. Recent</w:t>
      </w:r>
      <w:r>
        <w:t xml:space="preserve"> </w:t>
      </w:r>
      <w:r>
        <w:t xml:space="preserve">work in ecology shows how much that can hide. When 174 analyst teams analysed the same two</w:t>
      </w:r>
      <w:r>
        <w:t xml:space="preserve"> </w:t>
      </w:r>
      <w:r>
        <w:t xml:space="preserve">ecological datasets, their effect sizes ranged from strongly negative to near zero for one question</w:t>
      </w:r>
      <w:r>
        <w:t xml:space="preserve"> </w:t>
      </w:r>
      <w:r>
        <w:t xml:space="preserve">and changed sign for the other (Gould et al., 2025). Multiverse and specification-curve analysis</w:t>
      </w:r>
      <w:r>
        <w:t xml:space="preserve"> </w:t>
      </w:r>
      <w:r>
        <w:t xml:space="preserve">address this by running every defensible combination of analysis choices and reporting the</w:t>
      </w:r>
      <w:r>
        <w:t xml:space="preserve"> </w:t>
      </w:r>
      <w:r>
        <w:t xml:space="preserve">distribution of results (Steegen et al., 2016; Simonsohn et al., 2020). We found no application of</w:t>
      </w:r>
      <w:r>
        <w:t xml:space="preserve"> </w:t>
      </w:r>
      <w:r>
        <w:t xml:space="preserve">these methods to biodiversity surrogate validation.</w:t>
      </w:r>
    </w:p>
    <w:p>
      <w:pPr>
        <w:pStyle w:val="BodyText"/>
      </w:pPr>
      <w:r>
        <w:t xml:space="preserve">Northern Australia offers an unusual test bed. The Northern Territory Government’s</w:t>
      </w:r>
      <w:r>
        <w:t xml:space="preserve"> </w:t>
      </w:r>
      <w:r>
        <w:rPr>
          <w:i/>
          <w:iCs/>
        </w:rPr>
        <w:t xml:space="preserve">Mapping the</w:t>
      </w:r>
      <w:r>
        <w:rPr>
          <w:i/>
          <w:iCs/>
        </w:rP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program has mapped expert biodiversity-risk classes, informed by field vegetation and fauna</w:t>
      </w:r>
      <w:r>
        <w:t xml:space="preserve"> </w:t>
      </w:r>
      <w:r>
        <w:t xml:space="preserve">survey, for several areas proposed for development, and five of these use the same five-level scale</w:t>
      </w:r>
      <w:r>
        <w:t xml:space="preserve"> </w:t>
      </w:r>
      <w:r>
        <w:t xml:space="preserve">with small differences in class wording.</w:t>
      </w:r>
      <w:r>
        <w:t xml:space="preserve"> </w:t>
      </w:r>
      <w:r>
        <w:t xml:space="preserve">The resulting polygons give an independent, field-informed benchmark of a kind rarely available in</w:t>
      </w:r>
      <w:r>
        <w:t xml:space="preserve"> </w:t>
      </w:r>
      <w:r>
        <w:t xml:space="preserve">the places where surrogates are used. Here we use six of these assessments to ask three questions.</w:t>
      </w:r>
      <w:r>
        <w:t xml:space="preserve"> </w:t>
      </w:r>
      <w:r>
        <w:t xml:space="preserve">(1) Which open-data surrogate agrees best with the expert classes? (2) Does that answer survive</w:t>
      </w:r>
      <w:r>
        <w:t xml:space="preserve"> </w:t>
      </w:r>
      <w:r>
        <w:t xml:space="preserve">defensible changes to the agreement metric, the minimum mapping unit and the treatment of</w:t>
      </w:r>
      <w:r>
        <w:t xml:space="preserve"> </w:t>
      </w:r>
      <w:r>
        <w:t xml:space="preserve">already-modified land? (3) Where it does not, which features of the benchmark and the surrogates</w:t>
      </w:r>
      <w:r>
        <w:t xml:space="preserve"> </w:t>
      </w:r>
      <w:r>
        <w:t xml:space="preserve">drive the reversals? We also test whether combining surrogates improves on the best single layer</w:t>
      </w:r>
      <w:r>
        <w:t xml:space="preserve"> </w:t>
      </w:r>
      <w:r>
        <w:t xml:space="preserve">and transfers to an assessment area it was not trained on.</w:t>
      </w:r>
    </w:p>
    <w:bookmarkEnd w:id="10"/>
    <w:bookmarkStart w:id="19" w:name="methods"/>
    <w:p>
      <w:pPr>
        <w:pStyle w:val="Heading2"/>
      </w:pPr>
      <w:r>
        <w:t xml:space="preserve">2. Methods</w:t>
      </w:r>
    </w:p>
    <w:bookmarkStart w:id="11" w:name="expert-benchmarks"/>
    <w:p>
      <w:pPr>
        <w:pStyle w:val="Heading3"/>
      </w:pPr>
      <w:r>
        <w:t xml:space="preserve">2.1 Expert benchmarks</w:t>
      </w:r>
    </w:p>
    <w:p>
      <w:pPr>
        <w:pStyle w:val="FirstParagraph"/>
      </w:pPr>
      <w:r>
        <w:t xml:space="preserve">The benchmarks are biodiversity assessments made under the</w:t>
      </w:r>
      <w:r>
        <w:t xml:space="preserve"> </w:t>
      </w:r>
      <w:r>
        <w:rPr>
          <w:i/>
          <w:iCs/>
        </w:rPr>
        <w:t xml:space="preserve">Mapping the Future</w:t>
      </w:r>
      <w:r>
        <w:t xml:space="preserve"> </w:t>
      </w:r>
      <w:r>
        <w:t xml:space="preserve">program for six</w:t>
      </w:r>
      <w:r>
        <w:t xml:space="preserve"> </w:t>
      </w:r>
      <w:r>
        <w:t xml:space="preserve">Northern Territory areas (Figure 1; Table 1): the central Roper River catchment, Larrimah, Wadeye,</w:t>
      </w:r>
      <w:r>
        <w:t xml:space="preserve"> </w:t>
      </w:r>
      <w:r>
        <w:t xml:space="preserve">Gunn Point, the NTP 3910 Deep Well area and the Greater Weddell subregion (Northern Territory</w:t>
      </w:r>
      <w:r>
        <w:t xml:space="preserve"> </w:t>
      </w:r>
      <w:r>
        <w:t xml:space="preserve">Government, 2020, 2021a, 2021b, 2021c, 2024b, 2025). For brevity we call them catchments. Five use</w:t>
      </w:r>
      <w:r>
        <w:t xml:space="preserve"> </w:t>
      </w:r>
      <w:r>
        <w:t xml:space="preserve">the ordinal biodiversity-risk class BIORISK, coded in the same order in each dataset: 1, nil (highly</w:t>
      </w:r>
      <w:r>
        <w:t xml:space="preserve"> </w:t>
      </w:r>
      <w:r>
        <w:t xml:space="preserve">modified land); 2, low (no significant biodiversity value); 3, mitigable (land that may provide</w:t>
      </w:r>
      <w:r>
        <w:t xml:space="preserve"> </w:t>
      </w:r>
      <w:r>
        <w:t xml:space="preserve">habitat for broadly occurring threatened species, where retaining part of it may be required);</w:t>
      </w:r>
      <w:r>
        <w:t xml:space="preserve"> </w:t>
      </w:r>
      <w:r>
        <w:t xml:space="preserve">4, moderate (sensitive or significant vegetation under the NT Land Clearing Guidelines, or species of</w:t>
      </w:r>
      <w:r>
        <w:t xml:space="preserve"> </w:t>
      </w:r>
      <w:r>
        <w:t xml:space="preserve">conservation interest); 5, high (significant vegetation communities or threatened-species habitat).</w:t>
      </w:r>
      <w:r>
        <w:t xml:space="preserve"> </w:t>
      </w:r>
      <w:r>
        <w:t xml:space="preserve">The wording differs between datasets (Appendix S3). At Gunn Point, class 3 means</w:t>
      </w:r>
      <w:r>
        <w:t xml:space="preserve"> </w:t>
      </w:r>
      <w:r>
        <w:t xml:space="preserve">“uncertain: requires</w:t>
      </w:r>
      <w:r>
        <w:t xml:space="preserve"> </w:t>
      </w:r>
      <w:r>
        <w:t xml:space="preserve">further biodiversity assessment”</w:t>
      </w:r>
      <w:r>
        <w:t xml:space="preserve">, class 4 refers to vegetation types only, and class 5 requires</w:t>
      </w:r>
      <w:r>
        <w:t xml:space="preserve"> </w:t>
      </w:r>
      <w:r>
        <w:t xml:space="preserve">significant vegetation in combination with threatened-species records (Northern Territory</w:t>
      </w:r>
      <w:r>
        <w:t xml:space="preserve"> </w:t>
      </w:r>
      <w:r>
        <w:t xml:space="preserve">Government, 2020). Experts assigned a class to each mapped polygon from field survey and existing</w:t>
      </w:r>
      <w:r>
        <w:t xml:space="preserve"> </w:t>
      </w:r>
      <w:r>
        <w:t xml:space="preserve">mapping. The Roper assessors drew part of their linework from the NT land-use map that our</w:t>
      </w:r>
      <w:r>
        <w:t xml:space="preserve"> </w:t>
      </w:r>
      <w:r>
        <w:t xml:space="preserve">convertibility surrogate uses and from a land-system survey of the Roper catchment (Northern</w:t>
      </w:r>
      <w:r>
        <w:t xml:space="preserve"> </w:t>
      </w:r>
      <w:r>
        <w:t xml:space="preserve">Territory Government, 2024b). Greater Weddell uses a separate</w:t>
      </w:r>
      <w:r>
        <w:t xml:space="preserve"> </w:t>
      </w:r>
      <w:r>
        <w:t xml:space="preserve">five-level biodiversity-values scale (highly modified, low, medium, high, very high); we analysed it</w:t>
      </w:r>
      <w:r>
        <w:t xml:space="preserve"> </w:t>
      </w:r>
      <w:r>
        <w:t xml:space="preserve">the same way but never pooled it with the BIORISK catchments. Polygons coded 0 (not assessed) or 9</w:t>
      </w:r>
      <w:r>
        <w:t xml:space="preserve"> </w:t>
      </w:r>
      <w:r>
        <w:t xml:space="preserve">(water) were excluded. The pooled BIORISK set has 26,831 polygons; Greater Weddell has 20,481.</w:t>
      </w:r>
    </w:p>
    <w:p>
      <w:pPr>
        <w:pStyle w:val="BodyText"/>
      </w:pPr>
      <w:r>
        <w:t xml:space="preserve">BIORISK records the risk that development poses to biodiversity, so it combines the value of a site,</w:t>
      </w:r>
      <w:r>
        <w:t xml:space="preserve"> </w:t>
      </w:r>
      <w:r>
        <w:t xml:space="preserve">its sensitivity to impact and its existing condition. We therefore treat it as an expert</w:t>
      </w:r>
      <w:r>
        <w:t xml:space="preserve"> </w:t>
      </w:r>
      <w:r>
        <w:t xml:space="preserve">biodiversity-risk benchmark, and Section 4.3 discusses what that means for interpretation.</w:t>
      </w:r>
    </w:p>
    <w:bookmarkEnd w:id="11"/>
    <w:bookmarkStart w:id="12" w:name="open-data-surrogates"/>
    <w:p>
      <w:pPr>
        <w:pStyle w:val="Heading3"/>
      </w:pPr>
      <w:r>
        <w:t xml:space="preserve">2.2 Open-data surrogates</w:t>
      </w:r>
    </w:p>
    <w:p>
      <w:pPr>
        <w:pStyle w:val="FirstParagraph"/>
      </w:pPr>
      <w:r>
        <w:t xml:space="preserve">Each polygon was attributed five surrogates, all reprojected to GDA94 / Australian Albers</w:t>
      </w:r>
      <w:r>
        <w:t xml:space="preserve"> </w:t>
      </w:r>
      <w:r>
        <w:t xml:space="preserve">(EPSG:3577) and area-weighted within the polygon: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Land-system rarity</w:t>
      </w:r>
      <w:r>
        <w:t xml:space="preserve">: one minus the min–max rescaled log of the Territory-wide area of each land</w:t>
      </w:r>
      <w:r>
        <w:t xml:space="preserve"> </w:t>
      </w:r>
      <w:r>
        <w:t xml:space="preserve">system (NT land systems, 1:250,000 north and 1:1,000,000 south; Northern Territory Government,</w:t>
      </w:r>
      <w:r>
        <w:t xml:space="preserve"> </w:t>
      </w:r>
      <w:r>
        <w:t xml:space="preserve">2013).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Vegetation-type rarity</w:t>
      </w:r>
      <w:r>
        <w:t xml:space="preserve">: the same transformation applied to the Territory-wide area of each</w:t>
      </w:r>
      <w:r>
        <w:t xml:space="preserve"> </w:t>
      </w:r>
      <w:r>
        <w:t xml:space="preserve">native Major Vegetation Group in the National Vegetation Information System (NVIS) v7 extant</w:t>
      </w:r>
      <w:r>
        <w:t xml:space="preserve"> </w:t>
      </w:r>
      <w:r>
        <w:t xml:space="preserve">raster at 100 m (Department of Climate Change, Energy, the Environment and Water [DCCEEW],</w:t>
      </w:r>
      <w:r>
        <w:t xml:space="preserve"> </w:t>
      </w:r>
      <w:r>
        <w:t xml:space="preserve">2024b). Cleared, bare, sea and unknown codes were treated as missing.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Vegetation cover</w:t>
      </w:r>
      <w:r>
        <w:t xml:space="preserve">: 100 minus the median bare-soil fraction from Landsat Fractional Cover</w:t>
      </w:r>
      <w:r>
        <w:t xml:space="preserve"> </w:t>
      </w:r>
      <w:r>
        <w:t xml:space="preserve">Percentiles (version 4.0.0) at 30 m for 2020 (Geoscience Australia, 2025).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Convertibility</w:t>
      </w:r>
      <w:r>
        <w:t xml:space="preserve">: a score assigned to each Australian Land Use and Management primary class in</w:t>
      </w:r>
      <w:r>
        <w:t xml:space="preserve"> </w:t>
      </w:r>
      <w:r>
        <w:t xml:space="preserve">the Northern Territory Land Use Mapping (Northern Territory Government, 2024a): conservation and</w:t>
      </w:r>
      <w:r>
        <w:t xml:space="preserve"> </w:t>
      </w:r>
      <w:r>
        <w:t xml:space="preserve">natural environments 0.1; production from relatively natural environments 1.0; dryland agriculture</w:t>
      </w:r>
      <w:r>
        <w:t xml:space="preserve"> </w:t>
      </w:r>
      <w:r>
        <w:t xml:space="preserve">and plantations 0.4; irrigated agriculture 0.2; intensive uses 0.0; water missing.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</w:t>
      </w:r>
      <w:r>
        <w:t xml:space="preserve">: the fraction of the polygon inside the terrestrial Collaborative Australian</w:t>
      </w:r>
      <w:r>
        <w:t xml:space="preserve"> </w:t>
      </w:r>
      <w:r>
        <w:t xml:space="preserve">Protected Areas Database 2024 (DCCEEW, 2024a).</w:t>
      </w:r>
    </w:p>
    <w:p>
      <w:pPr>
        <w:pStyle w:val="FirstParagraph"/>
      </w:pPr>
      <w:r>
        <w:t xml:space="preserve">Land-system and vegetation-type rarity are the candidate biodiversity surrogates; vegetation cover is</w:t>
      </w:r>
      <w:r>
        <w:t xml:space="preserve"> </w:t>
      </w:r>
      <w:r>
        <w:t xml:space="preserve">a condition surrogate; convertibility and protection are reference layers that planners often</w:t>
      </w:r>
      <w:r>
        <w:t xml:space="preserve"> </w:t>
      </w:r>
      <w:r>
        <w:t xml:space="preserve">combine with the others. Area-weighted overlay leaves floating-point residue (for example, a</w:t>
      </w:r>
      <w:r>
        <w:t xml:space="preserve"> </w:t>
      </w:r>
      <w:r>
        <w:t xml:space="preserve">polygon wholly within one land-use class can score 0.0999999999999999 or 0.1000000000000002), so</w:t>
      </w:r>
      <w:r>
        <w:t xml:space="preserve"> </w:t>
      </w:r>
      <w:r>
        <w:t xml:space="preserve">all surrogate values were rounded to four decimal places before analysis. A surrogate that was</w:t>
      </w:r>
      <w:r>
        <w:t xml:space="preserve"> </w:t>
      </w:r>
      <w:r>
        <w:t xml:space="preserve">constant within a catchment after rounding was treated as not estimable there (convertibility at</w:t>
      </w:r>
      <w:r>
        <w:t xml:space="preserve"> </w:t>
      </w:r>
      <w:r>
        <w:t xml:space="preserve">Wadeye and Deep Well; protection at Larrimah, Wadeye and Deep Well, none of whose polygons are</w:t>
      </w:r>
      <w:r>
        <w:t xml:space="preserve"> </w:t>
      </w:r>
      <w:r>
        <w:t xml:space="preserve">protected).</w:t>
      </w:r>
    </w:p>
    <w:bookmarkEnd w:id="12"/>
    <w:bookmarkStart w:id="13" w:name="agreement-metrics"/>
    <w:p>
      <w:pPr>
        <w:pStyle w:val="Heading3"/>
      </w:pPr>
      <w:r>
        <w:t xml:space="preserve">2.3 Agreement metrics</w:t>
      </w:r>
    </w:p>
    <w:p>
      <w:pPr>
        <w:pStyle w:val="FirstParagraph"/>
      </w:pPr>
      <w:r>
        <w:t xml:space="preserve">We used five metrics, each answering a different practical question:</w:t>
      </w:r>
    </w:p>
    <w:p>
      <w:pPr>
        <w:pStyle w:val="Compact"/>
        <w:numPr>
          <w:ilvl w:val="0"/>
          <w:numId w:val="1002"/>
        </w:numPr>
      </w:pPr>
      <w:r>
        <w:t xml:space="preserve">Spearman’s ρ with each polygon weighted equally (per-polygon agreement).</w:t>
      </w:r>
    </w:p>
    <w:p>
      <w:pPr>
        <w:pStyle w:val="Compact"/>
        <w:numPr>
          <w:ilvl w:val="0"/>
          <w:numId w:val="1002"/>
        </w:numPr>
      </w:pPr>
      <w:r>
        <w:t xml:space="preserve">Spearman’s ρ with polygons weighted by area, using area-weighted mid-ranks (agreement per unit of</w:t>
      </w:r>
      <w:r>
        <w:t xml:space="preserve"> </w:t>
      </w:r>
      <w:r>
        <w:t xml:space="preserve">land).</w:t>
      </w:r>
    </w:p>
    <w:p>
      <w:pPr>
        <w:pStyle w:val="Compact"/>
        <w:numPr>
          <w:ilvl w:val="0"/>
          <w:numId w:val="1002"/>
        </w:numPr>
      </w:pPr>
      <w:r>
        <w:t xml:space="preserve">Kendall’s τ-b with polygons weighted equally (rank agreement corrected for the heavy ties in a</w:t>
      </w:r>
      <w:r>
        <w:t xml:space="preserve"> </w:t>
      </w:r>
      <w:r>
        <w:t xml:space="preserve">five-level scale).</w:t>
      </w:r>
    </w:p>
    <w:p>
      <w:pPr>
        <w:pStyle w:val="Compact"/>
        <w:numPr>
          <w:ilvl w:val="0"/>
          <w:numId w:val="1002"/>
        </w:numPr>
      </w:pPr>
      <w:r>
        <w:t xml:space="preserve">The area under the ROC curve (AUC) for separating polygons in class 4 or 5 from the rest: how well</w:t>
      </w:r>
      <w:r>
        <w:t xml:space="preserve"> </w:t>
      </w:r>
      <w:r>
        <w:t xml:space="preserve">a surrogate flags land the experts rated moderate or high risk.</w:t>
      </w:r>
    </w:p>
    <w:p>
      <w:pPr>
        <w:pStyle w:val="Compact"/>
        <w:numPr>
          <w:ilvl w:val="0"/>
          <w:numId w:val="1002"/>
        </w:numPr>
      </w:pPr>
      <w:r>
        <w:t xml:space="preserve">The AUC for separating class 5 from the rest: how well it flags the highest-risk land.</w:t>
      </w:r>
    </w:p>
    <w:p>
      <w:pPr>
        <w:pStyle w:val="FirstParagraph"/>
      </w:pPr>
      <w:r>
        <w:t xml:space="preserve">AUC is the probability that a randomly chosen higher-class polygon scores higher on the surrogate</w:t>
      </w:r>
      <w:r>
        <w:t xml:space="preserve"> </w:t>
      </w:r>
      <w:r>
        <w:t xml:space="preserve">than a randomly chosen lower-class polygon (0.5 is no discrimination; Lobo et al., 2008). We also</w:t>
      </w:r>
      <w:r>
        <w:t xml:space="preserve"> </w:t>
      </w:r>
      <w:r>
        <w:t xml:space="preserve">report the area-capture enrichment: the share of high-risk area inside the 20% of land a surrogate</w:t>
      </w:r>
      <w:r>
        <w:t xml:space="preserve"> </w:t>
      </w:r>
      <w:r>
        <w:t xml:space="preserve">ranks highest, divided by 0.2. Tied surrogate values at the cut-off were included in proportion so</w:t>
      </w:r>
      <w:r>
        <w:t xml:space="preserve"> </w:t>
      </w:r>
      <w:r>
        <w:t xml:space="preserve">that coarse layers gain nothing from arbitrary tie order.</w:t>
      </w:r>
    </w:p>
    <w:bookmarkEnd w:id="13"/>
    <w:bookmarkStart w:id="14" w:name="specifications"/>
    <w:p>
      <w:pPr>
        <w:pStyle w:val="Heading3"/>
      </w:pPr>
      <w:r>
        <w:t xml:space="preserve">2.4 Specifications</w:t>
      </w:r>
    </w:p>
    <w:p>
      <w:pPr>
        <w:pStyle w:val="FirstParagraph"/>
      </w:pPr>
      <w:r>
        <w:t xml:space="preserve">The multiverse crossed the five metrics with three minimum polygon sizes (all polygons; ≥ 0.1 ha;</w:t>
      </w:r>
      <w:r>
        <w:t xml:space="preserve"> </w:t>
      </w:r>
      <w:r>
        <w:t xml:space="preserve">≥ 1 ha, the area of one NVIS pixel) and with the inclusion or exclusion of BIORISK class 1 (nil or</w:t>
      </w:r>
      <w:r>
        <w:t xml:space="preserve"> </w:t>
      </w:r>
      <w:r>
        <w:t xml:space="preserve">highly modified), giving 30 specifications. Each choice is defensible. Expert maps contain many very</w:t>
      </w:r>
      <w:r>
        <w:t xml:space="preserve"> </w:t>
      </w:r>
      <w:r>
        <w:t xml:space="preserve">small polygons (Table 1) that are below the resolution of every raster surrogate, and an analyst</w:t>
      </w:r>
      <w:r>
        <w:t xml:space="preserve"> </w:t>
      </w:r>
      <w:r>
        <w:t xml:space="preserve">could reasonably exclude them as mapping fragments or keep them as small, possibly high-value units.</w:t>
      </w:r>
      <w:r>
        <w:t xml:space="preserve"> </w:t>
      </w:r>
      <w:r>
        <w:t xml:space="preserve">Class 1 marks land that is already cleared or developed, which a land-use layer can detect directly</w:t>
      </w:r>
      <w:r>
        <w:t xml:space="preserve"> </w:t>
      </w:r>
      <w:r>
        <w:t xml:space="preserve">without any biodiversity information.</w:t>
      </w:r>
    </w:p>
    <w:bookmarkEnd w:id="14"/>
    <w:bookmarkStart w:id="15" w:name="statistical-inference"/>
    <w:p>
      <w:pPr>
        <w:pStyle w:val="Heading3"/>
      </w:pPr>
      <w:r>
        <w:t xml:space="preserve">2.5 Statistical inference</w:t>
      </w:r>
    </w:p>
    <w:p>
      <w:pPr>
        <w:pStyle w:val="FirstParagraph"/>
      </w:pPr>
      <w:r>
        <w:t xml:space="preserve">Expert polygons are strongly spatially autocorrelated, so their number far exceeds the number of</w:t>
      </w:r>
      <w:r>
        <w:t xml:space="preserve"> </w:t>
      </w:r>
      <w:r>
        <w:t xml:space="preserve">independent observations (Clifford et al., 1989; Legendre, 1993; Dormann et al., 2007). Within each</w:t>
      </w:r>
      <w:r>
        <w:t xml:space="preserve"> </w:t>
      </w:r>
      <w:r>
        <w:t xml:space="preserve">catchment we assigned polygons to 10 km square blocks and resampled whole blocks with replacement</w:t>
      </w:r>
      <w:r>
        <w:t xml:space="preserve"> </w:t>
      </w:r>
      <w:r>
        <w:t xml:space="preserve">(2,000 replicates; 500 for the multiverse), so that neighbouring polygons moved together. The</w:t>
      </w:r>
      <w:r>
        <w:t xml:space="preserve"> </w:t>
      </w:r>
      <w:r>
        <w:t xml:space="preserve">variance of the bootstrap replicates (on the Fisher-z scale for correlations, the raw scale for AUC)</w:t>
      </w:r>
      <w:r>
        <w:t xml:space="preserve"> </w:t>
      </w:r>
      <w:r>
        <w:t xml:space="preserve">gave each catchment’s sampling variance. Catchments with fewer than three blocks (Deep Well) were not</w:t>
      </w:r>
      <w:r>
        <w:t xml:space="preserve"> </w:t>
      </w:r>
      <w:r>
        <w:t xml:space="preserve">estimable.</w:t>
      </w:r>
    </w:p>
    <w:p>
      <w:pPr>
        <w:pStyle w:val="BodyText"/>
      </w:pPr>
      <w:r>
        <w:t xml:space="preserve">Catchment estimates were pooled by random-effects meta-analysis (DerSimonian &amp; Laird, 1986). With</w:t>
      </w:r>
      <w:r>
        <w:t xml:space="preserve"> </w:t>
      </w:r>
      <w:r>
        <w:t xml:space="preserve">only three or four catchments, Wald intervals from that method are too narrow (IntHout et al., 2014),</w:t>
      </w:r>
      <w:r>
        <w:t xml:space="preserve"> </w:t>
      </w:r>
      <w:r>
        <w:t xml:space="preserve">so we report the Hartung–Knapp–Sidik–Jonkman interval with t on k − 1 degrees of freedom and its</w:t>
      </w:r>
      <w:r>
        <w:t xml:space="preserve"> </w:t>
      </w:r>
      <w:r>
        <w:t xml:space="preserve">modified form, which never narrows below the fixed-effect interval (Röver et al., 2015). We report</w:t>
      </w:r>
      <w:r>
        <w:t xml:space="preserve"> </w:t>
      </w:r>
      <w:r>
        <w:t xml:space="preserve">the modified interval in the text; Table S4 gives all three and a leave-one-catchment-out range.</w:t>
      </w:r>
    </w:p>
    <w:p>
      <w:pPr>
        <w:pStyle w:val="BodyText"/>
      </w:pPr>
      <w:r>
        <w:t xml:space="preserve">To compare vegetation-type and land-system rarity directly, each bootstrap replicate computed both</w:t>
      </w:r>
      <w:r>
        <w:t xml:space="preserve"> </w:t>
      </w:r>
      <w:r>
        <w:t xml:space="preserve">surrogates’ metrics on the same resampled blocks and took the difference, and the per-catchment</w:t>
      </w:r>
      <w:r>
        <w:t xml:space="preserve"> </w:t>
      </w:r>
      <w:r>
        <w:t xml:space="preserve">differences were pooled as above. A specification counts as favouring one surrogate when the pooled</w:t>
      </w:r>
      <w:r>
        <w:t xml:space="preserve"> </w:t>
      </w:r>
      <w:r>
        <w:t xml:space="preserve">95% interval of the paired difference excludes zero.</w:t>
      </w:r>
    </w:p>
    <w:bookmarkEnd w:id="15"/>
    <w:bookmarkStart w:id="16" w:name="mechanism-analyses"/>
    <w:p>
      <w:pPr>
        <w:pStyle w:val="Heading3"/>
      </w:pPr>
      <w:r>
        <w:t xml:space="preserve">2.6 Mechanism analyses</w:t>
      </w:r>
    </w:p>
    <w:p>
      <w:pPr>
        <w:pStyle w:val="FirstParagraph"/>
      </w:pPr>
      <w:r>
        <w:t xml:space="preserve">We ran three analyses to explain disagreements among specifications. (i) Polygon size: per-polygon ρ</w:t>
      </w:r>
      <w:r>
        <w:t xml:space="preserve"> </w:t>
      </w:r>
      <w:r>
        <w:t xml:space="preserve">for each surrogate as polygons below 0.01, 0.1, 0.5, 1 and 5 ha were removed. (ii) Vegetation groups:</w:t>
      </w:r>
      <w:r>
        <w:t xml:space="preserve"> </w:t>
      </w:r>
      <w:r>
        <w:t xml:space="preserve">per-polygon ρ for vegetation-type rarity after removing, in turn, each common rare vegetation group</w:t>
      </w:r>
      <w:r>
        <w:t xml:space="preserve"> </w:t>
      </w:r>
      <w:r>
        <w:t xml:space="preserve">(rarity ≥ 0.25 and ≥ 1% of polygons) and after removing all of them. (iii) Modification: per-polygon</w:t>
      </w:r>
      <w:r>
        <w:t xml:space="preserve"> </w:t>
      </w:r>
      <w:r>
        <w:t xml:space="preserve">ρ for every surrogate with class 1 excluded. We also repeated the circularity control specified</w:t>
      </w:r>
      <w:r>
        <w:t xml:space="preserve"> </w:t>
      </w:r>
      <w:r>
        <w:t xml:space="preserve">before the confirmatory analysis: the partial rank correlation of vegetation-type rarity with</w:t>
      </w:r>
      <w:r>
        <w:t xml:space="preserve"> </w:t>
      </w:r>
      <w:r>
        <w:t xml:space="preserve">BIORISK after removing the linear effect of land-system rarity and convertibility.</w:t>
      </w:r>
    </w:p>
    <w:bookmarkEnd w:id="16"/>
    <w:bookmarkStart w:id="17" w:name="joint-model"/>
    <w:p>
      <w:pPr>
        <w:pStyle w:val="Heading3"/>
      </w:pPr>
      <w:r>
        <w:t xml:space="preserve">2.7 Joint model</w:t>
      </w:r>
    </w:p>
    <w:p>
      <w:pPr>
        <w:pStyle w:val="FirstParagraph"/>
      </w:pPr>
      <w:r>
        <w:t xml:space="preserve">A linear model of BIORISK on standardised land-system rarity, vegetation-type rarity, convertibility</w:t>
      </w:r>
      <w:r>
        <w:t xml:space="preserve"> </w:t>
      </w:r>
      <w:r>
        <w:t xml:space="preserve">and protection was evaluated out of sample. Vegetation cover was excluded because it is missing for</w:t>
      </w:r>
      <w:r>
        <w:t xml:space="preserve"> </w:t>
      </w:r>
      <w:r>
        <w:t xml:space="preserve">over half of the polygons, mostly small ones. All models were fitted on the same 21,655 complete-case</w:t>
      </w:r>
      <w:r>
        <w:t xml:space="preserve"> </w:t>
      </w:r>
      <w:r>
        <w:t xml:space="preserve">polygons with the same folds: ten folds of whole catchment-by-10 km blocks, repeated 20 times with</w:t>
      </w:r>
      <w:r>
        <w:t xml:space="preserve"> </w:t>
      </w:r>
      <w:r>
        <w:t xml:space="preserve">predictions averaged across repeats (Roberts et al., 2017; Valavi et al., 2019). Skill was Spearman’s</w:t>
      </w:r>
      <w:r>
        <w:t xml:space="preserve"> </w:t>
      </w:r>
      <w:r>
        <w:t xml:space="preserve">ρ between out-of-sample predictions and observed classes, computed within each catchment and</w:t>
      </w:r>
      <w:r>
        <w:t xml:space="preserve"> </w:t>
      </w:r>
      <w:r>
        <w:t xml:space="preserve">averaged, because pooling across catchments mixes between-catchment differences in class balance</w:t>
      </w:r>
      <w:r>
        <w:t xml:space="preserve"> </w:t>
      </w:r>
      <w:r>
        <w:t xml:space="preserve">with agreement. The gain from combining was the paired difference between the joint model and</w:t>
      </w:r>
      <w:r>
        <w:t xml:space="preserve"> </w:t>
      </w:r>
      <w:r>
        <w:t xml:space="preserve">vegetation-type rarity alone, bootstrapped by resampling blocks within catchments. Leave-one-</w:t>
      </w:r>
      <w:r>
        <w:t xml:space="preserve"> </w:t>
      </w:r>
      <w:r>
        <w:t xml:space="preserve">catchment-out transfer fitted the model on four catchments and predicted the fifth. For a single</w:t>
      </w:r>
      <w:r>
        <w:t xml:space="preserve"> </w:t>
      </w:r>
      <w:r>
        <w:t xml:space="preserve">surrogate this test reduces to the within-catchment correlation, so it tests transfer only for the</w:t>
      </w:r>
      <w:r>
        <w:t xml:space="preserve"> </w:t>
      </w:r>
      <w:r>
        <w:t xml:space="preserve">joint model.</w:t>
      </w:r>
    </w:p>
    <w:bookmarkEnd w:id="17"/>
    <w:bookmarkStart w:id="18" w:name="analysis-plan-and-departures-from-it"/>
    <w:p>
      <w:pPr>
        <w:pStyle w:val="Heading3"/>
      </w:pPr>
      <w:r>
        <w:t xml:space="preserve">2.8 Analysis plan and departures from it</w:t>
      </w:r>
    </w:p>
    <w:p>
      <w:pPr>
        <w:pStyle w:val="FirstParagraph"/>
      </w:pPr>
      <w:r>
        <w:t xml:space="preserve">The co-primary per-polygon and area-weighted estimands, the surrogate set, the missing-data rule</w:t>
      </w:r>
      <w:r>
        <w:t xml:space="preserve"> </w:t>
      </w:r>
      <w:r>
        <w:t xml:space="preserve">(pairwise deletion), the meta-analytic pooling, a check of how far area-weighted estimates depended on the largest polygons and the</w:t>
      </w:r>
      <w:r>
        <w:t xml:space="preserve"> </w:t>
      </w:r>
      <w:r>
        <w:t xml:space="preserve">circularity control were written into a research log before the confirmatory analysis. The log was</w:t>
      </w:r>
      <w:r>
        <w:t xml:space="preserve"> </w:t>
      </w:r>
      <w:r>
        <w:t xml:space="preserve">first committed to version control together with the results, so its timing rests on the log itself.</w:t>
      </w:r>
      <w:r>
        <w:t xml:space="preserve"> </w:t>
      </w:r>
      <w:r>
        <w:t xml:space="preserve">It also followed an exploratory analysis of the same data in which vegetation-type rarity already</w:t>
      </w:r>
      <w:r>
        <w:t xml:space="preserve"> </w:t>
      </w:r>
      <w:r>
        <w:t xml:space="preserve">appeared to outperform land-system rarity, and it was not lodged in a public registry, so we call it</w:t>
      </w:r>
      <w:r>
        <w:t xml:space="preserve"> </w:t>
      </w:r>
      <w:r>
        <w:t xml:space="preserve">pre-specified rather than pre-registered (Nosek et al., 2018; Parker et al., 2016). We</w:t>
      </w:r>
      <w:r>
        <w:t xml:space="preserve"> </w:t>
      </w:r>
      <w:r>
        <w:t xml:space="preserve">departed from it in five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Inference.</w:t>
      </w:r>
      <w:r>
        <w:t xml:space="preserve"> </w:t>
      </w:r>
      <w:r>
        <w:t xml:space="preserve">The block bootstrap replaced the pre-specified nearest-neighbour effective sample</w:t>
      </w:r>
      <w:r>
        <w:t xml:space="preserve"> </w:t>
      </w:r>
      <w:r>
        <w:t xml:space="preserve">size after that method was found to miss long-range dependence. Results under the original method</w:t>
      </w:r>
      <w:r>
        <w:t xml:space="preserve"> </w:t>
      </w:r>
      <w:r>
        <w:t xml:space="preserve">are in Table S6.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Joint model.</w:t>
      </w:r>
      <w:r>
        <w:t xml:space="preserve"> </w:t>
      </w:r>
      <w:r>
        <w:t xml:space="preserve">The joint model and its cross-validation were specified after the</w:t>
      </w:r>
      <w:r>
        <w:t xml:space="preserve"> </w:t>
      </w:r>
      <w:r>
        <w:t xml:space="preserve">single-surrogate results.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Pre-submission audit additions.</w:t>
      </w:r>
      <w:r>
        <w:t xml:space="preserve"> </w:t>
      </w:r>
      <w:r>
        <w:t xml:space="preserve">A pre-submission audit found four problems with the earlier</w:t>
      </w:r>
      <w:r>
        <w:t xml:space="preserve"> </w:t>
      </w:r>
      <w:r>
        <w:t xml:space="preserve">analysis:</w:t>
      </w:r>
    </w:p>
    <w:p>
      <w:pPr>
        <w:pStyle w:val="Compact"/>
        <w:numPr>
          <w:ilvl w:val="1"/>
          <w:numId w:val="1004"/>
        </w:numPr>
      </w:pPr>
      <w:r>
        <w:t xml:space="preserve">floating-point residue in the overlay values;</w:t>
      </w:r>
    </w:p>
    <w:p>
      <w:pPr>
        <w:pStyle w:val="Compact"/>
        <w:numPr>
          <w:ilvl w:val="1"/>
          <w:numId w:val="1004"/>
        </w:numPr>
      </w:pPr>
      <w:r>
        <w:t xml:space="preserve">an unpaired comparison of the joint and single models;</w:t>
      </w:r>
    </w:p>
    <w:p>
      <w:pPr>
        <w:pStyle w:val="Compact"/>
        <w:numPr>
          <w:ilvl w:val="1"/>
          <w:numId w:val="1004"/>
        </w:numPr>
      </w:pPr>
      <w:r>
        <w:t xml:space="preserve">intervals too narrow for three or four catchments;</w:t>
      </w:r>
    </w:p>
    <w:p>
      <w:pPr>
        <w:pStyle w:val="Compact"/>
        <w:numPr>
          <w:ilvl w:val="1"/>
          <w:numId w:val="1004"/>
        </w:numPr>
      </w:pPr>
      <w:r>
        <w:t xml:space="preserve">a Roper benchmark read from an earlier intersection with the land-use map, which had split expert</w:t>
      </w:r>
      <w:r>
        <w:t xml:space="preserve"> </w:t>
      </w:r>
      <w:r>
        <w:t xml:space="preserve">polygons along land-use boundaries.</w:t>
      </w:r>
    </w:p>
    <w:p>
      <w:pPr>
        <w:pStyle w:val="Compact"/>
        <w:numPr>
          <w:ilvl w:val="0"/>
          <w:numId w:val="1000"/>
        </w:numPr>
      </w:pPr>
      <w:r>
        <w:t xml:space="preserve">Correcting these led to the rounding rule, the paired comparisons, the Hartung–Knapp–Sidik–Jonkman</w:t>
      </w:r>
      <w:r>
        <w:t xml:space="preserve"> </w:t>
      </w:r>
      <w:r>
        <w:t xml:space="preserve">intervals and the use of the published Roper layer.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Area weighting.</w:t>
      </w:r>
      <w:r>
        <w:t xml:space="preserve"> </w:t>
      </w:r>
      <w:r>
        <w:t xml:space="preserve">Area weighting now uses area-weighted ranks.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Multiverse and mechanism analyses.</w:t>
      </w:r>
      <w:r>
        <w:t xml:space="preserve"> </w:t>
      </w:r>
      <w:r>
        <w:t xml:space="preserve">These were added at the same audit and are exploratory.</w:t>
      </w:r>
    </w:p>
    <w:p>
      <w:pPr>
        <w:pStyle w:val="FirstParagraph"/>
      </w:pPr>
      <w:r>
        <w:t xml:space="preserve">Code, data and a dated decision log are archived (Data Availability).</w:t>
      </w:r>
    </w:p>
    <w:bookmarkEnd w:id="18"/>
    <w:bookmarkEnd w:id="19"/>
    <w:bookmarkStart w:id="25" w:name="results"/>
    <w:p>
      <w:pPr>
        <w:pStyle w:val="Heading2"/>
      </w:pPr>
      <w:r>
        <w:t xml:space="preserve">3. Results</w:t>
      </w:r>
    </w:p>
    <w:bookmarkStart w:id="20" w:name="X9514f029634564e1c6b8c7168ba24e506f66bc1"/>
    <w:p>
      <w:pPr>
        <w:pStyle w:val="Heading3"/>
      </w:pPr>
      <w:r>
        <w:t xml:space="preserve">3.1 The benchmark is dominated by very small polygons</w:t>
      </w:r>
    </w:p>
    <w:p>
      <w:pPr>
        <w:pStyle w:val="FirstParagraph"/>
      </w:pPr>
      <w:r>
        <w:t xml:space="preserve">The expert maps mixed a few very large polygons with many tiny ones (Table 1). Median polygon area was</w:t>
      </w:r>
      <w:r>
        <w:t xml:space="preserve"> </w:t>
      </w:r>
      <w:r>
        <w:t xml:space="preserve">0.02 ha at Gunn Point, 0.12 ha in Greater Weddell and 1.84 ha in the Roper. At Gunn Point, 85% of</w:t>
      </w:r>
      <w:r>
        <w:t xml:space="preserve"> </w:t>
      </w:r>
      <w:r>
        <w:t xml:space="preserve">polygons were smaller than one hectare, the area of a single NVIS pixel; the shares were 76% in</w:t>
      </w:r>
      <w:r>
        <w:t xml:space="preserve"> </w:t>
      </w:r>
      <w:r>
        <w:t xml:space="preserve">Greater Weddell and 42% in the Roper. Class balance was uneven: 82% of Roper polygons and 17 of 19</w:t>
      </w:r>
      <w:r>
        <w:t xml:space="preserve"> </w:t>
      </w:r>
      <w:r>
        <w:t xml:space="preserve">Larrimah polygons were class 4, and 73% of Wadeye polygons were class 5. Some polygons can only be</w:t>
      </w:r>
      <w:r>
        <w:t xml:space="preserve"> </w:t>
      </w:r>
      <w:r>
        <w:t xml:space="preserve">digitising fragments: 24 of the 3,079 Roper polygons, 178 at Gunn Point and 200 in Greater Weddell</w:t>
      </w:r>
      <w:r>
        <w:t xml:space="preserve"> </w:t>
      </w:r>
      <w:r>
        <w:t xml:space="preserve">are smaller than 1 m². The 26,831 BIORISK polygons fell into 200 blocks of 10 km: 168 in the Roper,</w:t>
      </w:r>
      <w:r>
        <w:t xml:space="preserve"> </w:t>
      </w:r>
      <w:r>
        <w:t xml:space="preserve">15 at Gunn Point, 9 at Larrimah, 6 at Wadeye and 2 at Deep Well.</w:t>
      </w:r>
    </w:p>
    <w:bookmarkEnd w:id="20"/>
    <w:bookmarkStart w:id="21" w:name="the-best-surrogate-depends-on-the-metric"/>
    <w:p>
      <w:pPr>
        <w:pStyle w:val="Heading3"/>
      </w:pPr>
      <w:r>
        <w:t xml:space="preserve">3.2 The best surrogate depends on the metric</w:t>
      </w:r>
    </w:p>
    <w:p>
      <w:pPr>
        <w:pStyle w:val="FirstParagraph"/>
      </w:pPr>
      <w:r>
        <w:t xml:space="preserve">Per polygon, vegetation-type rarity agreed best in the three large catchments (Spearman’s ρ = 0.218</w:t>
      </w:r>
      <w:r>
        <w:t xml:space="preserve"> </w:t>
      </w:r>
      <w:r>
        <w:t xml:space="preserve">in the Roper, 0.512 at Wadeye, 0.217 at Gunn Point), while land-system rarity stayed between −0.03 and</w:t>
      </w:r>
      <w:r>
        <w:t xml:space="preserve"> </w:t>
      </w:r>
      <w:r>
        <w:t xml:space="preserve">0.14 (Figure 2; Table 2). Pooled, these were 0.23 [0.08, 0.37] for vegetation-type rarity and</w:t>
      </w:r>
      <w:r>
        <w:t xml:space="preserve"> </w:t>
      </w:r>
      <w:r>
        <w:t xml:space="preserve">0.09 [−0.01, 0.19] for land-system rarity. Vegetation-type rarity also separated high-risk polygons</w:t>
      </w:r>
      <w:r>
        <w:t xml:space="preserve"> </w:t>
      </w:r>
      <w:r>
        <w:t xml:space="preserve">(class ≥ 4) best, with AUC from 0.56 (Larrimah) to 0.81 (Wadeye), compared with 0.38–0.55 for</w:t>
      </w:r>
      <w:r>
        <w:t xml:space="preserve"> </w:t>
      </w:r>
      <w:r>
        <w:t xml:space="preserve">land-system rarity; pooled, 0.67 [0.56, 0.76] against 0.53 [0.46, 0.60].</w:t>
      </w:r>
    </w:p>
    <w:p>
      <w:pPr>
        <w:pStyle w:val="BodyText"/>
      </w:pPr>
      <w:r>
        <w:t xml:space="preserve">Under area weighting the order reversed in the Roper and at Larrimah. There land-system rarity</w:t>
      </w:r>
      <w:r>
        <w:t xml:space="preserve"> </w:t>
      </w:r>
      <w:r>
        <w:t xml:space="preserve">reached ρ = 0.268 and 0.508, whereas vegetation-type rarity was negative (−0.273 and −0.386). At</w:t>
      </w:r>
      <w:r>
        <w:t xml:space="preserve"> </w:t>
      </w:r>
      <w:r>
        <w:t xml:space="preserve">Wadeye the two were close (0.491 and 0.450), and at Gunn Point vegetation-type rarity led (0.570</w:t>
      </w:r>
      <w:r>
        <w:t xml:space="preserve"> </w:t>
      </w:r>
      <w:r>
        <w:t xml:space="preserve">against 0.006).</w:t>
      </w:r>
    </w:p>
    <w:p>
      <w:pPr>
        <w:pStyle w:val="BodyText"/>
      </w:pPr>
      <w:r>
        <w:t xml:space="preserve">For the highest class the order reversed again in the two assessments with the most polygons. Land-system</w:t>
      </w:r>
      <w:r>
        <w:t xml:space="preserve"> </w:t>
      </w:r>
      <w:r>
        <w:t xml:space="preserve">rarity identified class 5 polygons better than vegetation-type rarity at Gunn Point (AUC 0.69 versus</w:t>
      </w:r>
      <w:r>
        <w:t xml:space="preserve"> </w:t>
      </w:r>
      <w:r>
        <w:t xml:space="preserve">0.46) and in Greater Weddell (0.61 versus 0.47), where vegetation-type rarity scored below the</w:t>
      </w:r>
      <w:r>
        <w:t xml:space="preserve"> </w:t>
      </w:r>
      <w:r>
        <w:t xml:space="preserve">chance level of 0.5. Vegetation-type rarity remained better in the Roper (0.85 versus 0.66) and at</w:t>
      </w:r>
      <w:r>
        <w:t xml:space="preserve"> </w:t>
      </w:r>
      <w:r>
        <w:t xml:space="preserve">Wadeye (0.83 versus 0.51). Vegetation cover was inconsistent: positive in the Roper (ρ = 0.197; AUC</w:t>
      </w:r>
      <w:r>
        <w:t xml:space="preserve"> </w:t>
      </w:r>
      <w:r>
        <w:t xml:space="preserve">for class ≥ 4 = 0.64, level with vegetation-type rarity at 0.63) but negative at Gunn Point (−0.057;</w:t>
      </w:r>
      <w:r>
        <w:t xml:space="preserve"> </w:t>
      </w:r>
      <w:r>
        <w:t xml:space="preserve">AUC 0.40) and in Greater Weddell (−0.033). Protection did not separate expert classes anywhere (AUC 0.48–0.52).</w:t>
      </w:r>
    </w:p>
    <w:bookmarkEnd w:id="21"/>
    <w:bookmarkStart w:id="22" w:name="across-specifications"/>
    <w:p>
      <w:pPr>
        <w:pStyle w:val="Heading3"/>
      </w:pPr>
      <w:r>
        <w:t xml:space="preserve">3.3 Across specifications</w:t>
      </w:r>
    </w:p>
    <w:p>
      <w:pPr>
        <w:pStyle w:val="FirstParagraph"/>
      </w:pPr>
      <w:r>
        <w:t xml:space="preserve">Across the 30 specifications, the paired difference favoured vegetation-type rarity in one,</w:t>
      </w:r>
      <w:r>
        <w:t xml:space="preserve"> </w:t>
      </w:r>
      <w:r>
        <w:t xml:space="preserve">favoured land-system rarity in none and was inconclusive in 29 (Figure 3; Table S1). The one</w:t>
      </w:r>
      <w:r>
        <w:t xml:space="preserve"> </w:t>
      </w:r>
      <w:r>
        <w:t xml:space="preserve">exception was AUC for class ≥ 4 with polygons of at least 1 ha and class 1 kept (difference 0.120</w:t>
      </w:r>
      <w:r>
        <w:t xml:space="preserve"> </w:t>
      </w:r>
      <w:r>
        <w:t xml:space="preserve">[0.019, 0.220]). The highest-scoring candidate surrogate was vegetation-type rarity in 21</w:t>
      </w:r>
      <w:r>
        <w:t xml:space="preserve"> </w:t>
      </w:r>
      <w:r>
        <w:t xml:space="preserve">specifications and land-system rarity in 9. The metric moved the point estimates most.</w:t>
      </w:r>
      <w:r>
        <w:t xml:space="preserve"> </w:t>
      </w:r>
      <w:r>
        <w:t xml:space="preserve">Vegetation-type rarity was ahead under per-polygon correlation (differences 0.106 to 0.208), Kendall’s</w:t>
      </w:r>
      <w:r>
        <w:t xml:space="preserve"> </w:t>
      </w:r>
      <w:r>
        <w:t xml:space="preserve">τ-b (0.075 to 0.171) and AUC for class ≥ 4 (0.120 to 0.216), and behind under area-weighted</w:t>
      </w:r>
      <w:r>
        <w:t xml:space="preserve"> </w:t>
      </w:r>
      <w:r>
        <w:t xml:space="preserve">correlation (−0.126 to −0.100, with intervals spanning about −1.1 to 0.9). The minimum polygon size</w:t>
      </w:r>
      <w:r>
        <w:t xml:space="preserve"> </w:t>
      </w:r>
      <w:r>
        <w:t xml:space="preserve">moved the result next. For class 5 the difference fell from 0.095 with all polygons to between</w:t>
      </w:r>
      <w:r>
        <w:t xml:space="preserve"> </w:t>
      </w:r>
      <w:r>
        <w:t xml:space="preserve">−0.032 and −0.003 once polygons under 0.1 ha were removed, and land-system rarity then scored highest</w:t>
      </w:r>
      <w:r>
        <w:t xml:space="preserve"> </w:t>
      </w:r>
      <w:r>
        <w:t xml:space="preserve">in three of the four specifications. The per-polygon advantage of vegetation-type rarity also shrank</w:t>
      </w:r>
      <w:r>
        <w:t xml:space="preserve"> </w:t>
      </w:r>
      <w:r>
        <w:t xml:space="preserve">as small polygons were removed (0.208 with all polygons, 0.186 at ≥ 0.1 ha and 0.123 at ≥ 1 ha, with</w:t>
      </w:r>
      <w:r>
        <w:t xml:space="preserve"> </w:t>
      </w:r>
      <w:r>
        <w:t xml:space="preserve">class 1 kept). Excluding class 1 changed the differences little (per-polygon correlation 0.208 with</w:t>
      </w:r>
      <w:r>
        <w:t xml:space="preserve"> </w:t>
      </w:r>
      <w:r>
        <w:t xml:space="preserve">class 1 and 0.206 without).</w:t>
      </w:r>
    </w:p>
    <w:bookmarkEnd w:id="22"/>
    <w:bookmarkStart w:id="23" w:name="why-the-verdicts-change"/>
    <w:p>
      <w:pPr>
        <w:pStyle w:val="Heading3"/>
      </w:pPr>
      <w:r>
        <w:t xml:space="preserve">3.4 Why the verdicts change</w:t>
      </w:r>
    </w:p>
    <w:p>
      <w:pPr>
        <w:pStyle w:val="FirstParagraph"/>
      </w:pPr>
      <w:r>
        <w:rPr>
          <w:b/>
          <w:bCs/>
        </w:rPr>
        <w:t xml:space="preserve">Polygon size.</w:t>
      </w:r>
      <w:r>
        <w:t xml:space="preserve"> </w:t>
      </w:r>
      <w:r>
        <w:t xml:space="preserve">Removing sliver polygons raised the agreement of land-system rarity in every large</w:t>
      </w:r>
      <w:r>
        <w:t xml:space="preserve"> </w:t>
      </w:r>
      <w:r>
        <w:t xml:space="preserve">area (Figure 4a, b; Table S8). At Gunn Point, land-system rarity rose from ρ = 0.141 with all polygons</w:t>
      </w:r>
      <w:r>
        <w:t xml:space="preserve"> </w:t>
      </w:r>
      <w:r>
        <w:t xml:space="preserve">to 0.286 for polygons of at least 1 ha, overtaking vegetation-type rarity (0.217 to 0.204). At Wadeye</w:t>
      </w:r>
      <w:r>
        <w:t xml:space="preserve"> </w:t>
      </w:r>
      <w:r>
        <w:t xml:space="preserve">it rose from 0.022 to 0.203, in Greater Weddell from −0.096 to −0.032 and in the Roper from 0.081 to</w:t>
      </w:r>
      <w:r>
        <w:t xml:space="preserve"> </w:t>
      </w:r>
      <w:r>
        <w:t xml:space="preserve">0.096. Vegetation-type rarity changed little at Gunn Point and in the Roper (0.218 to 0.226) but rose</w:t>
      </w:r>
      <w:r>
        <w:t xml:space="preserve"> </w:t>
      </w:r>
      <w:r>
        <w:t xml:space="preserve">at Wadeye (0.512 to 0.569) and in Greater Weddell (0.233 to 0.382). Land systems are mapped at 1:250,000</w:t>
      </w:r>
      <w:r>
        <w:t xml:space="preserve"> </w:t>
      </w:r>
      <w:r>
        <w:t xml:space="preserve">or coarser and do not vary inside most sub-hectare polygons, so a per-polygon metric scores them</w:t>
      </w:r>
      <w:r>
        <w:t xml:space="preserve"> </w:t>
      </w:r>
      <w:r>
        <w:t xml:space="preserve">against thousands of fragments they cannot resolve.</w:t>
      </w:r>
    </w:p>
    <w:p>
      <w:pPr>
        <w:pStyle w:val="BodyText"/>
      </w:pPr>
      <w:r>
        <w:rPr>
          <w:b/>
          <w:bCs/>
        </w:rPr>
        <w:t xml:space="preserve">Rare vegetation groups.</w:t>
      </w:r>
      <w:r>
        <w:t xml:space="preserve"> </w:t>
      </w:r>
      <w:r>
        <w:t xml:space="preserve">The agreement of vegetation-type rarity came mostly from a few rare</w:t>
      </w:r>
      <w:r>
        <w:t xml:space="preserve"> </w:t>
      </w:r>
      <w:r>
        <w:t xml:space="preserve">groups that the experts consistently placed in high-risk classes (Figure 4c; Table S2). Mangroves</w:t>
      </w:r>
      <w:r>
        <w:t xml:space="preserve"> </w:t>
      </w:r>
      <w:r>
        <w:t xml:space="preserve">(NVIS Major Vegetation Group 23, Territory-wide rarity 0.477) were class 4 in 1,665 of 1,668 Gunn Point polygons and in 1,492 of</w:t>
      </w:r>
      <w:r>
        <w:t xml:space="preserve"> </w:t>
      </w:r>
      <w:r>
        <w:t xml:space="preserve">1,537 Greater Weddell polygons. Removing mangroves alone cut Greater Weddell’s ρ from 0.233 to</w:t>
      </w:r>
      <w:r>
        <w:t xml:space="preserve"> </w:t>
      </w:r>
      <w:r>
        <w:t xml:space="preserve">0.068. Removing all groups with rarity ≥ 0.25 reversed the sign at Gunn Point (0.217 to −0.043) and</w:t>
      </w:r>
      <w:r>
        <w:t xml:space="preserve"> </w:t>
      </w:r>
      <w:r>
        <w:t xml:space="preserve">in Greater Weddell (0.233 to −0.034) and lowered the Roper estimate (0.218 to 0.127). Wadeye was the</w:t>
      </w:r>
      <w:r>
        <w:t xml:space="preserve"> </w:t>
      </w:r>
      <w:r>
        <w:t xml:space="preserve">exception: there agreement rose when the rare groups were removed (0.512 to 0.582). The circularity</w:t>
      </w:r>
      <w:r>
        <w:t xml:space="preserve"> </w:t>
      </w:r>
      <w:r>
        <w:t xml:space="preserve">control specified before the analysis left a positive partial correlation in each of the four</w:t>
      </w:r>
      <w:r>
        <w:t xml:space="preserve"> </w:t>
      </w:r>
      <w:r>
        <w:t xml:space="preserve">estimable BIORISK catchments (Roper 0.138, Larrimah 0.053, Wadeye 0.450, Gunn Point 0.136), but the pooled value, 0.17</w:t>
      </w:r>
      <w:r>
        <w:t xml:space="preserve"> </w:t>
      </w:r>
      <w:r>
        <w:t xml:space="preserve">[−0.02, 0.35], has an interval that includes zero, and Greater Weddell’s was 0.013.</w:t>
      </w:r>
    </w:p>
    <w:p>
      <w:pPr>
        <w:pStyle w:val="BodyText"/>
      </w:pPr>
      <w:r>
        <w:rPr>
          <w:b/>
          <w:bCs/>
        </w:rPr>
        <w:t xml:space="preserve">Already-modified land.</w:t>
      </w:r>
      <w:r>
        <w:t xml:space="preserve"> </w:t>
      </w:r>
      <w:r>
        <w:t xml:space="preserve">Part of convertibility’s agreement came from identifying land that was</w:t>
      </w:r>
      <w:r>
        <w:t xml:space="preserve"> </w:t>
      </w:r>
      <w:r>
        <w:t xml:space="preserve">already modified (Figure 4d; Table S3). Most class 1 polygons scored 0.4 or less on convertibility</w:t>
      </w:r>
      <w:r>
        <w:t xml:space="preserve"> </w:t>
      </w:r>
      <w:r>
        <w:t xml:space="preserve">(96% at Gunn Point, 95% in Greater Weddell and 74% in the Roper). Excluding class 1 lowered</w:t>
      </w:r>
      <w:r>
        <w:t xml:space="preserve"> </w:t>
      </w:r>
      <w:r>
        <w:t xml:space="preserve">convertibility’s ρ from 0.197 to 0.106 in Greater Weddell and from 0.196 to 0.180 at Gunn Point. In</w:t>
      </w:r>
      <w:r>
        <w:t xml:space="preserve"> </w:t>
      </w:r>
      <w:r>
        <w:t xml:space="preserve">the Roper convertibility was negatively related to the expert classes with class 1 included</w:t>
      </w:r>
      <w:r>
        <w:t xml:space="preserve"> </w:t>
      </w:r>
      <w:r>
        <w:t xml:space="preserve">(ρ = −0.079) and more so without it (−0.132). Treating water as missing also removed about a third of class 4 polygons in</w:t>
      </w:r>
      <w:r>
        <w:t xml:space="preserve"> </w:t>
      </w:r>
      <w:r>
        <w:t xml:space="preserve">the Roper (32%) and at Gunn Point (35%) from the convertibility comparisons.</w:t>
      </w:r>
    </w:p>
    <w:bookmarkEnd w:id="23"/>
    <w:bookmarkStart w:id="24" w:name="combining-surrogates"/>
    <w:p>
      <w:pPr>
        <w:pStyle w:val="Heading3"/>
      </w:pPr>
      <w:r>
        <w:t xml:space="preserve">3.5 Combining surrogates</w:t>
      </w:r>
    </w:p>
    <w:p>
      <w:pPr>
        <w:pStyle w:val="FirstParagraph"/>
      </w:pPr>
      <w:r>
        <w:t xml:space="preserve">Out of sample, the joint model reached a within-catchment ρ of 0.23 [0.10, 0.37] against</w:t>
      </w:r>
      <w:r>
        <w:t xml:space="preserve"> </w:t>
      </w:r>
      <w:r>
        <w:t xml:space="preserve">0.15 [0.05, 0.29] for vegetation-type rarity alone, a paired gain of 0.08 [−0.09, 0.23] whose</w:t>
      </w:r>
      <w:r>
        <w:t xml:space="preserve"> </w:t>
      </w:r>
      <w:r>
        <w:t xml:space="preserve">interval includes zero (Table 3; Figure 5a). Pooled across catchments the gain was 0.18 [0.04, 0.29],</w:t>
      </w:r>
      <w:r>
        <w:t xml:space="preserve"> </w:t>
      </w:r>
      <w:r>
        <w:t xml:space="preserve">but that measure mixes between-catchment differences in class balance with agreement (Section 2.7).</w:t>
      </w:r>
      <w:r>
        <w:t xml:space="preserve"> </w:t>
      </w:r>
      <w:r>
        <w:t xml:space="preserve">When its weights were transferred to a catchment left out of fitting, the joint model agreed</w:t>
      </w:r>
      <w:r>
        <w:t xml:space="preserve"> </w:t>
      </w:r>
      <w:r>
        <w:t xml:space="preserve">positively with the experts in the four catchments with more than six polygons (Roper 0.168,</w:t>
      </w:r>
      <w:r>
        <w:t xml:space="preserve"> </w:t>
      </w:r>
      <w:r>
        <w:t xml:space="preserve">Larrimah 0.307, Wadeye 0.519, Gunn Point 0.244) and not at all at Deep Well (0.000; Figure 5b). On</w:t>
      </w:r>
      <w:r>
        <w:t xml:space="preserve"> </w:t>
      </w:r>
      <w:r>
        <w:t xml:space="preserve">the same polygons, vegetation-type rarity alone gave 0.163, 0.104, 0.503, 0.168 and 0.000.</w:t>
      </w:r>
    </w:p>
    <w:bookmarkEnd w:id="24"/>
    <w:bookmarkEnd w:id="25"/>
    <w:bookmarkStart w:id="30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same benchmark and the same five layers supported opposite conclusions about which surrogate is</w:t>
      </w:r>
      <w:r>
        <w:t xml:space="preserve"> </w:t>
      </w:r>
      <w:r>
        <w:t xml:space="preserve">best. Counted per polygon, or as the ability to flag moderate-to-high-risk land, vegetation-type</w:t>
      </w:r>
      <w:r>
        <w:t xml:space="preserve"> </w:t>
      </w:r>
      <w:r>
        <w:t xml:space="preserve">rarity led. Counted per unit of land, or as the ability to find the highest-risk class in the two</w:t>
      </w:r>
      <w:r>
        <w:t xml:space="preserve"> </w:t>
      </w:r>
      <w:r>
        <w:t xml:space="preserve">most finely mapped coastal assessments, land-system rarity led. Each of these specifications is one that a</w:t>
      </w:r>
      <w:r>
        <w:t xml:space="preserve"> </w:t>
      </w:r>
      <w:r>
        <w:t xml:space="preserve">careful analyst could choose and defend, and a single-specification validation of either layer would</w:t>
      </w:r>
      <w:r>
        <w:t xml:space="preserve"> </w:t>
      </w:r>
      <w:r>
        <w:t xml:space="preserve">have reached a confident conclusion. Compared directly on the same resampled blocks, the two</w:t>
      </w:r>
      <w:r>
        <w:t xml:space="preserve"> </w:t>
      </w:r>
      <w:r>
        <w:t xml:space="preserve">candidates differed beyond sampling error in only one of 30 specifications. This extends the finding that surrogate effectiveness depends on</w:t>
      </w:r>
      <w:r>
        <w:t xml:space="preserve"> </w:t>
      </w:r>
      <w:r>
        <w:t xml:space="preserve">the test method (Grantham et al., 2010) and on grain and extent (Hess et al., 2006) from</w:t>
      </w:r>
      <w:r>
        <w:t xml:space="preserve"> </w:t>
      </w:r>
      <w:r>
        <w:t xml:space="preserve">representation tests to validation against an expert benchmark, and it matches the analyst-to-analyst</w:t>
      </w:r>
      <w:r>
        <w:t xml:space="preserve"> </w:t>
      </w:r>
      <w:r>
        <w:t xml:space="preserve">variation documented for ecological data generally (Gould et al., 2025).</w:t>
      </w:r>
    </w:p>
    <w:bookmarkStart w:id="26" w:name="three-mechanisms"/>
    <w:p>
      <w:pPr>
        <w:pStyle w:val="Heading3"/>
      </w:pPr>
      <w:r>
        <w:t xml:space="preserve">4.1 Three mechanisms</w:t>
      </w:r>
    </w:p>
    <w:p>
      <w:pPr>
        <w:pStyle w:val="FirstParagraph"/>
      </w:pPr>
      <w:r>
        <w:t xml:space="preserve">The reversals had identifiable causes, and each applies well beyond the Northern Territory.</w:t>
      </w:r>
    </w:p>
    <w:p>
      <w:pPr>
        <w:pStyle w:val="BodyText"/>
      </w:pPr>
      <w:r>
        <w:t xml:space="preserve">First, the grain of the benchmark. Expert biodiversity maps are drawn at the scale of field</w:t>
      </w:r>
      <w:r>
        <w:t xml:space="preserve"> </w:t>
      </w:r>
      <w:r>
        <w:t xml:space="preserve">observation and contain many fragments. When most polygons are smaller than the pixel or map unit of</w:t>
      </w:r>
      <w:r>
        <w:t xml:space="preserve"> </w:t>
      </w:r>
      <w:r>
        <w:t xml:space="preserve">the surrogate, a per-polygon metric mostly measures whether the surrogate can resolve fragments.</w:t>
      </w:r>
      <w:r>
        <w:t xml:space="preserve"> </w:t>
      </w:r>
      <w:r>
        <w:t xml:space="preserve">Coarse layers such as land systems cannot, so they score poorly per polygon and well per unit of</w:t>
      </w:r>
      <w:r>
        <w:t xml:space="preserve"> </w:t>
      </w:r>
      <w:r>
        <w:t xml:space="preserve">area; removing sub-hectare polygons removed much of their disadvantage. Validation studies should</w:t>
      </w:r>
      <w:r>
        <w:t xml:space="preserve"> </w:t>
      </w:r>
      <w:r>
        <w:t xml:space="preserve">report the size distribution of benchmark units relative to the surrogate’s resolution (Dungan et</w:t>
      </w:r>
      <w:r>
        <w:t xml:space="preserve"> </w:t>
      </w:r>
      <w:r>
        <w:t xml:space="preserve">al., 2002) and vary the minimum mapping unit as one of the analysis choices.</w:t>
      </w:r>
    </w:p>
    <w:p>
      <w:pPr>
        <w:pStyle w:val="BodyText"/>
      </w:pPr>
      <w:r>
        <w:t xml:space="preserve">Second, shared rules. Vegetation-type rarity agreed with the experts largely because a few rare</w:t>
      </w:r>
      <w:r>
        <w:t xml:space="preserve"> </w:t>
      </w:r>
      <w:r>
        <w:t xml:space="preserve">vegetation groups, most clearly mangroves, were ones the experts consistently rated as sensitive.</w:t>
      </w:r>
      <w:r>
        <w:t xml:space="preserve"> </w:t>
      </w:r>
      <w:r>
        <w:t xml:space="preserve">The Gunn Point class 4 rule names</w:t>
      </w:r>
      <w:r>
        <w:t xml:space="preserve"> </w:t>
      </w:r>
      <w:r>
        <w:t xml:space="preserve">“mangroves and salt flats”</w:t>
      </w:r>
      <w:r>
        <w:t xml:space="preserve"> </w:t>
      </w:r>
      <w:r>
        <w:t xml:space="preserve">among its qualifying communities</w:t>
      </w:r>
      <w:r>
        <w:t xml:space="preserve"> </w:t>
      </w:r>
      <w:r>
        <w:t xml:space="preserve">(Northern Territory Government, 2020). The partial correlation we specified in advance did not detect this,</w:t>
      </w:r>
      <w:r>
        <w:t xml:space="preserve"> </w:t>
      </w:r>
      <w:r>
        <w:t xml:space="preserve">because land-system rarity and convertibility are poor proxies for the experts’ vegetation rules.</w:t>
      </w:r>
      <w:r>
        <w:t xml:space="preserve"> </w:t>
      </w:r>
      <w:r>
        <w:t xml:space="preserve">For screening, a surrogate that reproduces expert rules is useful, because it flags the same places</w:t>
      </w:r>
      <w:r>
        <w:t xml:space="preserve"> </w:t>
      </w:r>
      <w:r>
        <w:t xml:space="preserve">the experts would. As evidence that open data can stand in for field assessment, it is weaker than</w:t>
      </w:r>
      <w:r>
        <w:t xml:space="preserve"> </w:t>
      </w:r>
      <w:r>
        <w:t xml:space="preserve">it first appears, because part of the agreement is built in. Vegetation-type surrogates should be</w:t>
      </w:r>
      <w:r>
        <w:t xml:space="preserve"> </w:t>
      </w:r>
      <w:r>
        <w:t xml:space="preserve">validated with leave-one-group-out checks like ours, and expert assessments should record which</w:t>
      </w:r>
      <w:r>
        <w:t xml:space="preserve"> </w:t>
      </w:r>
      <w:r>
        <w:t xml:space="preserve">vegetation types triggered a class.</w:t>
      </w:r>
    </w:p>
    <w:p>
      <w:pPr>
        <w:pStyle w:val="BodyText"/>
      </w:pPr>
      <w:r>
        <w:t xml:space="preserve">Third, modification. Land-use layers can identify land that is already cleared, and benchmarks that</w:t>
      </w:r>
      <w:r>
        <w:t xml:space="preserve"> </w:t>
      </w:r>
      <w:r>
        <w:t xml:space="preserve">include a</w:t>
      </w:r>
      <w:r>
        <w:t xml:space="preserve"> </w:t>
      </w:r>
      <w:r>
        <w:t xml:space="preserve">“highly modified”</w:t>
      </w:r>
      <w:r>
        <w:t xml:space="preserve"> </w:t>
      </w:r>
      <w:r>
        <w:t xml:space="preserve">class reward them for doing so. Excluding class 1 cut convertibility’s</w:t>
      </w:r>
      <w:r>
        <w:t xml:space="preserve"> </w:t>
      </w:r>
      <w:r>
        <w:t xml:space="preserve">agreement in Greater Weddell from 0.197 to 0.106. Processing the benchmark can add a further bias. An</w:t>
      </w:r>
      <w:r>
        <w:t xml:space="preserve"> </w:t>
      </w:r>
      <w:r>
        <w:t xml:space="preserve">earlier copy of the Roper benchmark had been intersected with the land-use map, which split expert</w:t>
      </w:r>
      <w:r>
        <w:t xml:space="preserve"> </w:t>
      </w:r>
      <w:r>
        <w:t xml:space="preserve">polygons along land-use boundaries, and convertibility agreed positively with that copy; on the</w:t>
      </w:r>
      <w:r>
        <w:t xml:space="preserve"> </w:t>
      </w:r>
      <w:r>
        <w:t xml:space="preserve">published layer it was negatively related to the expert classes. A surrogate meant to rank remaining natural areas</w:t>
      </w:r>
      <w:r>
        <w:t xml:space="preserve"> </w:t>
      </w:r>
      <w:r>
        <w:t xml:space="preserve">should be tested on remaining natural areas, against the benchmark as published.</w:t>
      </w:r>
    </w:p>
    <w:bookmarkEnd w:id="26"/>
    <w:bookmarkStart w:id="27" w:name="implications-for-screening"/>
    <w:p>
      <w:pPr>
        <w:pStyle w:val="Heading3"/>
      </w:pPr>
      <w:r>
        <w:t xml:space="preserve">4.2 Implications for screening</w:t>
      </w:r>
    </w:p>
    <w:p>
      <w:pPr>
        <w:pStyle w:val="FirstParagraph"/>
      </w:pPr>
      <w:r>
        <w:t xml:space="preserve">For planners, the metric that matches the decision matters most. Flagging land for closer survey</w:t>
      </w:r>
      <w:r>
        <w:t xml:space="preserve"> </w:t>
      </w:r>
      <w:r>
        <w:t xml:space="preserve">before clearing calls for discrimination of the higher classes at a fixed area budget, which our</w:t>
      </w:r>
      <w:r>
        <w:t xml:space="preserve"> </w:t>
      </w:r>
      <w:r>
        <w:t xml:space="preserve">AUC and area-capture results measure directly; a rank correlation over five tied classes does not.</w:t>
      </w:r>
      <w:r>
        <w:t xml:space="preserve"> </w:t>
      </w:r>
      <w:r>
        <w:t xml:space="preserve">In two of the four large assessments the layer best at flagging class ≥ 4 scored below chance at</w:t>
      </w:r>
      <w:r>
        <w:t xml:space="preserve"> </w:t>
      </w:r>
      <w:r>
        <w:t xml:space="preserve">flagging class 5, so a screen built on one layer would miss part of the land experts rated highest.</w:t>
      </w:r>
      <w:r>
        <w:t xml:space="preserve"> </w:t>
      </w:r>
      <w:r>
        <w:t xml:space="preserve">The joint model transferred positively to each of the four catchments with enough polygons to</w:t>
      </w:r>
      <w:r>
        <w:t xml:space="preserve"> </w:t>
      </w:r>
      <w:r>
        <w:t xml:space="preserve">test, but its within-catchment gain over vegetation-type rarity alone was not distinguishable from</w:t>
      </w:r>
      <w:r>
        <w:t xml:space="preserve"> </w:t>
      </w:r>
      <w:r>
        <w:t xml:space="preserve">zero. On this evidence open-data layers in the Northern</w:t>
      </w:r>
      <w:r>
        <w:t xml:space="preserve"> </w:t>
      </w:r>
      <w:r>
        <w:t xml:space="preserve">Territory can support a first-pass screen that directs field survey, provided its maps carry their</w:t>
      </w:r>
      <w:r>
        <w:t xml:space="preserve"> </w:t>
      </w:r>
      <w:r>
        <w:t xml:space="preserve">uncertainty; they cannot replace the survey.</w:t>
      </w:r>
    </w:p>
    <w:p>
      <w:pPr>
        <w:pStyle w:val="BodyText"/>
      </w:pPr>
      <w:r>
        <w:t xml:space="preserve">The same tests apply to the global and national layers now used to screen biodiversity risk for</w:t>
      </w:r>
      <w:r>
        <w:t xml:space="preserve"> </w:t>
      </w:r>
      <w:r>
        <w:t xml:space="preserve">development finance and corporate disclosure, such as areas of global conservation importance (Jung</w:t>
      </w:r>
      <w:r>
        <w:t xml:space="preserve"> </w:t>
      </w:r>
      <w:r>
        <w:t xml:space="preserve">et al., 2021) and species threat-abatement metrics (Mair et al., 2021). These layers are coarser</w:t>
      </w:r>
      <w:r>
        <w:t xml:space="preserve"> </w:t>
      </w:r>
      <w:r>
        <w:t xml:space="preserve">than our surrogates, so the grain effects we report are likely to be larger for them, and to our</w:t>
      </w:r>
      <w:r>
        <w:t xml:space="preserve"> </w:t>
      </w:r>
      <w:r>
        <w:t xml:space="preserve">knowledge none has been validated against field-informed expert polygons.</w:t>
      </w:r>
    </w:p>
    <w:bookmarkEnd w:id="27"/>
    <w:bookmarkStart w:id="28" w:name="limitations"/>
    <w:p>
      <w:pPr>
        <w:pStyle w:val="Heading3"/>
      </w:pPr>
      <w:r>
        <w:t xml:space="preserve">4.3 Limitations</w:t>
      </w:r>
    </w:p>
    <w:p>
      <w:pPr>
        <w:pStyle w:val="FirstParagraph"/>
      </w:pPr>
      <w:r>
        <w:t xml:space="preserve">All benchmarks come from one government program in one jurisdiction, and only four BIORISK catchments</w:t>
      </w:r>
      <w:r>
        <w:t xml:space="preserve"> </w:t>
      </w:r>
      <w:r>
        <w:t xml:space="preserve">had enough spatial blocks for inference. With k = 4 the pooled intervals are wide and</w:t>
      </w:r>
      <w:r>
        <w:t xml:space="preserve"> </w:t>
      </w:r>
      <w:r>
        <w:t xml:space="preserve">between-catchment heterogeneity is poorly estimated; the per-catchment results and the specification</w:t>
      </w:r>
      <w:r>
        <w:t xml:space="preserve"> </w:t>
      </w:r>
      <w:r>
        <w:t xml:space="preserve">curve carry more of the evidence than any single pooled number. Larrimah (19 polygons) and Deep Well</w:t>
      </w:r>
      <w:r>
        <w:t xml:space="preserve"> </w:t>
      </w:r>
      <w:r>
        <w:t xml:space="preserve">(6 polygons) contribute little. The block bootstrap is approximate when a catchment has fewer than</w:t>
      </w:r>
      <w:r>
        <w:t xml:space="preserve"> </w:t>
      </w:r>
      <w:r>
        <w:t xml:space="preserve">about 20 blocks, as several do here.</w:t>
      </w:r>
    </w:p>
    <w:p>
      <w:pPr>
        <w:pStyle w:val="BodyText"/>
      </w:pPr>
      <w:r>
        <w:t xml:space="preserve">BIORISK classifies the risk that development poses to biodiversity, so it mixes value, sensitivity</w:t>
      </w:r>
      <w:r>
        <w:t xml:space="preserve"> </w:t>
      </w:r>
      <w:r>
        <w:t xml:space="preserve">and existing condition, and expert judgements carry their own uncertainty and inconsistency</w:t>
      </w:r>
      <w:r>
        <w:t xml:space="preserve"> </w:t>
      </w:r>
      <w:r>
        <w:t xml:space="preserve">(Burgman et al., 2011; Martin et al., 2012). We treat the benchmark as the assessment planners would</w:t>
      </w:r>
      <w:r>
        <w:t xml:space="preserve"> </w:t>
      </w:r>
      <w:r>
        <w:t xml:space="preserve">otherwise commission, with its own errors. The five BIORISK datasets share an order but not</w:t>
      </w:r>
      <w:r>
        <w:t xml:space="preserve"> </w:t>
      </w:r>
      <w:r>
        <w:t xml:space="preserve">identical definitions: Gunn Point’s class 3 means that further assessment is needed rather than that</w:t>
      </w:r>
      <w:r>
        <w:t xml:space="preserve"> </w:t>
      </w:r>
      <w:r>
        <w:t xml:space="preserve">impacts can be mitigated, and its classes 4 and 5 use narrower rules. Within-catchment metrics are</w:t>
      </w:r>
      <w:r>
        <w:t xml:space="preserve"> </w:t>
      </w:r>
      <w:r>
        <w:t xml:space="preserve">unaffected, but pooled estimates average over slightly different constructs. The Roper assessors also</w:t>
      </w:r>
      <w:r>
        <w:t xml:space="preserve"> </w:t>
      </w:r>
      <w:r>
        <w:t xml:space="preserve">built their map partly from our convertibility source and from a regional land-system survey, so</w:t>
      </w:r>
      <w:r>
        <w:t xml:space="preserve"> </w:t>
      </w:r>
      <w:r>
        <w:t xml:space="preserve">some Roper agreement for those two layers may come from shared input. Greater Weddell uses a different scale and was analysed</w:t>
      </w:r>
      <w:r>
        <w:t xml:space="preserve"> </w:t>
      </w:r>
      <w:r>
        <w:t xml:space="preserve">separately; it matched Gunn Point on the class 5 reversal, but its partial correlation for</w:t>
      </w:r>
      <w:r>
        <w:t xml:space="preserve"> </w:t>
      </w:r>
      <w:r>
        <w:t xml:space="preserve">vegetation-type rarity was close to zero.</w:t>
      </w:r>
    </w:p>
    <w:p>
      <w:pPr>
        <w:pStyle w:val="BodyText"/>
      </w:pPr>
      <w:r>
        <w:t xml:space="preserve">The surrogates are coarse versions of what is available. NVIS Major Vegetation Groups are broad, the</w:t>
      </w:r>
      <w:r>
        <w:t xml:space="preserve"> </w:t>
      </w:r>
      <w:r>
        <w:t xml:space="preserve">vegetation-cover layer is one year, and a multi-year condition product such as the Habitat Condition</w:t>
      </w:r>
      <w:r>
        <w:t xml:space="preserve"> </w:t>
      </w:r>
      <w:r>
        <w:t xml:space="preserve">Assessment System (Harwood et al., 2016) may perform differently. Finer vegetation subgroups would</w:t>
      </w:r>
      <w:r>
        <w:t xml:space="preserve"> </w:t>
      </w:r>
      <w:r>
        <w:t xml:space="preserve">likely strengthen the vegetation signal and the circularity problem together. The multiverse covers</w:t>
      </w:r>
      <w:r>
        <w:t xml:space="preserve"> </w:t>
      </w:r>
      <w:r>
        <w:t xml:space="preserve">the analysis choices we judged most consequential, not every possible one, and was added after the</w:t>
      </w:r>
      <w:r>
        <w:t xml:space="preserve"> </w:t>
      </w:r>
      <w:r>
        <w:t xml:space="preserve">pre-specified analysis.</w:t>
      </w:r>
    </w:p>
    <w:bookmarkEnd w:id="28"/>
    <w:bookmarkStart w:id="29" w:name="recommendations"/>
    <w:p>
      <w:pPr>
        <w:pStyle w:val="Heading3"/>
      </w:pPr>
      <w:r>
        <w:t xml:space="preserve">4.4 Recommendations</w:t>
      </w:r>
    </w:p>
    <w:p>
      <w:pPr>
        <w:pStyle w:val="FirstParagraph"/>
      </w:pPr>
      <w:r>
        <w:t xml:space="preserve">For validations of biodiversity surrogates against expert or survey benchmarks, we recommend five</w:t>
      </w:r>
      <w:r>
        <w:t xml:space="preserve"> </w:t>
      </w:r>
      <w:r>
        <w:t xml:space="preserve">practices, all of which our code implements:</w:t>
      </w:r>
    </w:p>
    <w:p>
      <w:pPr>
        <w:pStyle w:val="Compact"/>
        <w:numPr>
          <w:ilvl w:val="0"/>
          <w:numId w:val="1005"/>
        </w:numPr>
      </w:pPr>
      <w:r>
        <w:t xml:space="preserve">Report a specification curve across metrics, minimum mapping units and the treatment of modified</w:t>
      </w:r>
      <w:r>
        <w:t xml:space="preserve"> </w:t>
      </w:r>
      <w:r>
        <w:t xml:space="preserve">land.</w:t>
      </w:r>
    </w:p>
    <w:p>
      <w:pPr>
        <w:pStyle w:val="Compact"/>
        <w:numPr>
          <w:ilvl w:val="0"/>
          <w:numId w:val="1005"/>
        </w:numPr>
      </w:pPr>
      <w:r>
        <w:t xml:space="preserve">Report discrimination at the decision threshold, such as the highest expert class.</w:t>
      </w:r>
    </w:p>
    <w:p>
      <w:pPr>
        <w:pStyle w:val="Compact"/>
        <w:numPr>
          <w:ilvl w:val="0"/>
          <w:numId w:val="1005"/>
        </w:numPr>
      </w:pPr>
      <w:r>
        <w:t xml:space="preserve">Compare candidate surrogates with paired tests on the same resampled units.</w:t>
      </w:r>
    </w:p>
    <w:p>
      <w:pPr>
        <w:pStyle w:val="Compact"/>
        <w:numPr>
          <w:ilvl w:val="0"/>
          <w:numId w:val="1005"/>
        </w:numPr>
      </w:pPr>
      <w:r>
        <w:t xml:space="preserve">Use small-sample random-effects intervals when pooling a handful of areas.</w:t>
      </w:r>
    </w:p>
    <w:p>
      <w:pPr>
        <w:pStyle w:val="Compact"/>
        <w:numPr>
          <w:ilvl w:val="0"/>
          <w:numId w:val="1005"/>
        </w:numPr>
      </w:pPr>
      <w:r>
        <w:t xml:space="preserve">Test whether a surrogate’s agreement depends on a few classes that the expert rules themselves</w:t>
      </w:r>
      <w:r>
        <w:t xml:space="preserve"> </w:t>
      </w:r>
      <w:r>
        <w:t xml:space="preserve">single out.</w:t>
      </w:r>
    </w:p>
    <w:bookmarkEnd w:id="29"/>
    <w:bookmarkEnd w:id="30"/>
    <w:bookmarkStart w:id="31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 Expert benchmarks.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Polygons</w:t>
            </w:r>
          </w:p>
        </w:tc>
        <w:tc>
          <w:tcPr/>
          <w:p>
            <w:pPr>
              <w:pStyle w:val="Compact"/>
            </w:pPr>
            <w:r>
              <w:t xml:space="preserve">Area (km²)</w:t>
            </w:r>
          </w:p>
        </w:tc>
        <w:tc>
          <w:tcPr/>
          <w:p>
            <w:pPr>
              <w:pStyle w:val="Compact"/>
            </w:pPr>
            <w:r>
              <w:t xml:space="preserve">Polygons per class (class: n)</w:t>
            </w:r>
          </w:p>
        </w:tc>
        <w:tc>
          <w:tcPr/>
          <w:p>
            <w:pPr>
              <w:pStyle w:val="Compact"/>
            </w:pPr>
            <w:r>
              <w:t xml:space="preserve">Median polygon (ha)</w:t>
            </w:r>
          </w:p>
        </w:tc>
        <w:tc>
          <w:tcPr/>
          <w:p>
            <w:pPr>
              <w:pStyle w:val="Compact"/>
            </w:pPr>
            <w:r>
              <w:t xml:space="preserve">Polygons &lt; 1 ha (%)</w:t>
            </w:r>
          </w:p>
        </w:tc>
        <w:tc>
          <w:tcPr/>
          <w:p>
            <w:pPr>
              <w:pStyle w:val="Compact"/>
            </w:pPr>
            <w:r>
              <w:t xml:space="preserve">10 km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BIORISK</w:t>
            </w:r>
          </w:p>
        </w:tc>
        <w:tc>
          <w:tcPr/>
          <w:p>
            <w:pPr>
              <w:pStyle w:val="Compact"/>
            </w:pPr>
            <w:r>
              <w:t xml:space="preserve">3,079</w:t>
            </w:r>
          </w:p>
        </w:tc>
        <w:tc>
          <w:tcPr/>
          <w:p>
            <w:pPr>
              <w:pStyle w:val="Compact"/>
            </w:pPr>
            <w:r>
              <w:t xml:space="preserve">17,254</w:t>
            </w:r>
          </w:p>
        </w:tc>
        <w:tc>
          <w:tcPr/>
          <w:p>
            <w:pPr>
              <w:pStyle w:val="Compact"/>
            </w:pPr>
            <w:r>
              <w:t xml:space="preserve">1:42, 3:437, 4:2529, 5:71</w:t>
            </w:r>
          </w:p>
        </w:tc>
        <w:tc>
          <w:tcPr/>
          <w:p>
            <w:pPr>
              <w:pStyle w:val="Compact"/>
            </w:pPr>
            <w:r>
              <w:t xml:space="preserve">1.84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BIORISK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3:2, 4:17</w:t>
            </w:r>
          </w:p>
        </w:tc>
        <w:tc>
          <w:tcPr/>
          <w:p>
            <w:pPr>
              <w:pStyle w:val="Compact"/>
            </w:pPr>
            <w:r>
              <w:t xml:space="preserve">48.84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BIORISK</w:t>
            </w:r>
          </w:p>
        </w:tc>
        <w:tc>
          <w:tcPr/>
          <w:p>
            <w:pPr>
              <w:pStyle w:val="Compact"/>
            </w:pPr>
            <w:r>
              <w:t xml:space="preserve">412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2:76, 4:36, 5:300</w:t>
            </w:r>
          </w:p>
        </w:tc>
        <w:tc>
          <w:tcPr/>
          <w:p>
            <w:pPr>
              <w:pStyle w:val="Compact"/>
            </w:pPr>
            <w:r>
              <w:t xml:space="preserve">2.78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BIORISK</w:t>
            </w:r>
          </w:p>
        </w:tc>
        <w:tc>
          <w:tcPr/>
          <w:p>
            <w:pPr>
              <w:pStyle w:val="Compact"/>
            </w:pPr>
            <w:r>
              <w:t xml:space="preserve">23,315</w:t>
            </w:r>
          </w:p>
        </w:tc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1:504, 2:1, 3:8168, 4:9847, 5:4795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Well</w:t>
            </w:r>
          </w:p>
        </w:tc>
        <w:tc>
          <w:tcPr/>
          <w:p>
            <w:pPr>
              <w:pStyle w:val="Compact"/>
            </w:pPr>
            <w:r>
              <w:t xml:space="preserve">BIORISK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2:2, 3:2, 4:2</w:t>
            </w:r>
          </w:p>
        </w:tc>
        <w:tc>
          <w:tcPr/>
          <w:p>
            <w:pPr>
              <w:pStyle w:val="Compact"/>
            </w:pPr>
            <w:r>
              <w:t xml:space="preserve">321.82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Weddell</w:t>
            </w:r>
          </w:p>
        </w:tc>
        <w:tc>
          <w:tcPr/>
          <w:p>
            <w:pPr>
              <w:pStyle w:val="Compact"/>
            </w:pPr>
            <w:r>
              <w:t xml:space="preserve">biodiversity values (separate)</w:t>
            </w:r>
          </w:p>
        </w:tc>
        <w:tc>
          <w:tcPr/>
          <w:p>
            <w:pPr>
              <w:pStyle w:val="Compact"/>
            </w:pPr>
            <w:r>
              <w:t xml:space="preserve">20,481</w:t>
            </w:r>
          </w:p>
        </w:tc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t xml:space="preserve">1:1254, 2:2176, 3:10860, 4:5394, 5:797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Counts are polygons with a valid class (1–5) after geometry repair. Analyses of each surrogate use the polygons where that surrogate is defined (pairwise deletion).</w:t>
      </w:r>
    </w:p>
    <w:p>
      <w:pPr>
        <w:pStyle w:val="BodyText"/>
      </w:pPr>
      <w:r>
        <w:rPr>
          <w:b/>
          <w:bCs/>
        </w:rPr>
        <w:t xml:space="preserve">Table 2. Pooled agreement with expert BIORISK under four metrics.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ρ per polygon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ρ area-weighted</w:t>
            </w:r>
          </w:p>
        </w:tc>
        <w:tc>
          <w:tcPr/>
          <w:p>
            <w:pPr>
              <w:pStyle w:val="Compact"/>
            </w:pPr>
            <w:r>
              <w:t xml:space="preserve">AUC class ≥ 4</w:t>
            </w:r>
          </w:p>
        </w:tc>
        <w:tc>
          <w:tcPr/>
          <w:p>
            <w:pPr>
              <w:pStyle w:val="Compact"/>
            </w:pPr>
            <w:r>
              <w:t xml:space="preserve">AUC class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0.231 [0.083, 0.369]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0.245 [−0.635, 0.848]</w:t>
            </w:r>
          </w:p>
        </w:tc>
        <w:tc>
          <w:tcPr/>
          <w:p>
            <w:pPr>
              <w:pStyle w:val="Compact"/>
            </w:pPr>
            <w:r>
              <w:t xml:space="preserve">0.667 [0.559, 0.760]</w:t>
            </w:r>
          </w:p>
        </w:tc>
        <w:tc>
          <w:tcPr/>
          <w:p>
            <w:pPr>
              <w:pStyle w:val="Compact"/>
            </w:pPr>
            <w:r>
              <w:t xml:space="preserve">0.736 [0.101, 0.986]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0.092 [−0.008, 0.189]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0.262 [−0.037, 0.518]</w:t>
            </w:r>
          </w:p>
        </w:tc>
        <w:tc>
          <w:tcPr/>
          <w:p>
            <w:pPr>
              <w:pStyle w:val="Compact"/>
            </w:pPr>
            <w:r>
              <w:t xml:space="preserve">0.531 [0.458, 0.603]</w:t>
            </w:r>
          </w:p>
        </w:tc>
        <w:tc>
          <w:tcPr/>
          <w:p>
            <w:pPr>
              <w:pStyle w:val="Compact"/>
            </w:pPr>
            <w:r>
              <w:t xml:space="preserve">0.662 [0.467, 0.815]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0.049 [−0.421, 0.499]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0.049 [−0.376, 0.457]</w:t>
            </w:r>
          </w:p>
        </w:tc>
        <w:tc>
          <w:tcPr/>
          <w:p>
            <w:pPr>
              <w:pStyle w:val="Compact"/>
            </w:pPr>
            <w:r>
              <w:t xml:space="preserve">0.521 [0.291, 0.742]</w:t>
            </w:r>
          </w:p>
        </w:tc>
        <w:tc>
          <w:tcPr/>
          <w:p>
            <w:pPr>
              <w:pStyle w:val="Compact"/>
            </w:pPr>
            <w:r>
              <w:t xml:space="preserve">0.423 [0.000, 1.000]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0.091 [−0.168, 0.339]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−0.088 [−0.328, 0.163]</w:t>
            </w:r>
          </w:p>
        </w:tc>
        <w:tc>
          <w:tcPr/>
          <w:p>
            <w:pPr>
              <w:pStyle w:val="Compact"/>
            </w:pPr>
            <w:r>
              <w:t xml:space="preserve">0.546 [0.309, 0.764]</w:t>
            </w:r>
          </w:p>
        </w:tc>
        <w:tc>
          <w:tcPr/>
          <w:p>
            <w:pPr>
              <w:pStyle w:val="Compact"/>
            </w:pPr>
            <w:r>
              <w:t xml:space="preserve">0.618 [0.407, 0.793]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−0.017 [−0.235, 0.204]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−0.236 [−0.944, 0.861]</w:t>
            </w:r>
          </w:p>
        </w:tc>
        <w:tc>
          <w:tcPr/>
          <w:p>
            <w:pPr>
              <w:pStyle w:val="Compact"/>
            </w:pPr>
            <w:r>
              <w:t xml:space="preserve">0.497 [0.420, 0.574]</w:t>
            </w:r>
          </w:p>
        </w:tc>
        <w:tc>
          <w:tcPr/>
          <w:p>
            <w:pPr>
              <w:pStyle w:val="Compact"/>
            </w:pPr>
            <w:r>
              <w:t xml:space="preserve">0.481 [0.359, 0.605]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NVIS, partial (land-system, convertibility)</w:t>
            </w:r>
          </w:p>
        </w:tc>
        <w:tc>
          <w:tcPr/>
          <w:p>
            <w:pPr>
              <w:pStyle w:val="Compact"/>
            </w:pPr>
            <w:r>
              <w:t xml:space="preserve">0.168 [−0.022, 0.347]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Random-effects meta-analysis over the estimable BIORISK catchments (k). Intervals are 95% modified Hartung–Knapp–Sidik–Jonkman intervals (t on k − 1 df) from spatial block-bootstrap variances (10 km blocks). Area-weighted ρ uses area-weighted mid-ranks. AUC: probability that a polygon in the higher class scores higher on the surrogate (0.5 = no discrimination). n.e. = not estimable.</w:t>
      </w:r>
    </w:p>
    <w:p>
      <w:pPr>
        <w:pStyle w:val="BodyText"/>
      </w:pPr>
      <w:r>
        <w:rPr>
          <w:b/>
          <w:bCs/>
        </w:rPr>
        <w:t xml:space="preserve">Table 3. Out-of-sample agreement of the joint model and single surrogates.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Within-catchment ρ [95% CI]</w:t>
            </w:r>
          </w:p>
        </w:tc>
        <w:tc>
          <w:tcPr/>
          <w:p>
            <w:pPr>
              <w:pStyle w:val="Compact"/>
            </w:pPr>
            <w:r>
              <w:t xml:space="preserve">Pooled ρ [95% CI]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model (land-system + NVIS + convertibility + protection)</w:t>
            </w:r>
          </w:p>
        </w:tc>
        <w:tc>
          <w:tcPr/>
          <w:p>
            <w:pPr>
              <w:pStyle w:val="Compact"/>
            </w:pPr>
            <w:r>
              <w:t xml:space="preserve">0.230 [0.096, 0.374]</w:t>
            </w:r>
          </w:p>
        </w:tc>
        <w:tc>
          <w:tcPr/>
          <w:p>
            <w:pPr>
              <w:pStyle w:val="Compact"/>
            </w:pPr>
            <w:r>
              <w:t xml:space="preserve">0.196 [0.067, 0.301]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0.155 [0.049, 0.287]</w:t>
            </w:r>
          </w:p>
        </w:tc>
        <w:tc>
          <w:tcPr/>
          <w:p>
            <w:pPr>
              <w:pStyle w:val="Compact"/>
            </w:pPr>
            <w:r>
              <w:t xml:space="preserve">0.015 [−0.066, 0.158]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0.109 [−0.009, 0.253]</w:t>
            </w:r>
          </w:p>
        </w:tc>
        <w:tc>
          <w:tcPr/>
          <w:p>
            <w:pPr>
              <w:pStyle w:val="Compact"/>
            </w:pPr>
            <w:r>
              <w:t xml:space="preserve">0.116 [0.002, 0.192]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−0.022 [−0.178, 0.183]</w:t>
            </w:r>
          </w:p>
        </w:tc>
        <w:tc>
          <w:tcPr/>
          <w:p>
            <w:pPr>
              <w:pStyle w:val="Compact"/>
            </w:pPr>
            <w:r>
              <w:t xml:space="preserve">−0.014 [−0.188, 0.179]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minus NVIS (paired)</w:t>
            </w:r>
          </w:p>
        </w:tc>
        <w:tc>
          <w:tcPr/>
          <w:p>
            <w:pPr>
              <w:pStyle w:val="Compact"/>
            </w:pPr>
            <w:r>
              <w:t xml:space="preserve">0.076 [−0.085, 0.229]</w:t>
            </w:r>
          </w:p>
        </w:tc>
        <w:tc>
          <w:tcPr/>
          <w:p>
            <w:pPr>
              <w:pStyle w:val="Compact"/>
            </w:pPr>
            <w:r>
              <w:t xml:space="preserve">0.181 [0.045, 0.295]</w:t>
            </w:r>
          </w:p>
        </w:tc>
      </w:tr>
    </w:tbl>
    <w:p>
      <w:pPr>
        <w:pStyle w:val="BodyText"/>
      </w:pPr>
      <w:r>
        <w:t xml:space="preserve">Spatial-block cross-validation (10 km blocks, 10 folds, 20 repeats); all models fitted on the same 21,655 polygons with the same folds. The difference row is a paired block bootstrap stratified by catchment. Leave-one-catchment-out transfer of the joint model: Roper 0.168; Larrimah 0.307; Wadeye 0.519; Gunn Point 0.244; Deep Well 0.000.</w:t>
      </w:r>
    </w:p>
    <w:bookmarkEnd w:id="31"/>
    <w:bookmarkStart w:id="32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Study area. (a) Location of the six expert assessments in the Northern Territory; blue,</w:t>
      </w:r>
      <w:r>
        <w:t xml:space="preserve"> </w:t>
      </w:r>
      <w:r>
        <w:t xml:space="preserve">the five areas mapped on the BIORISK scale and pooled; pink, Greater Weddell, mapped on a separate</w:t>
      </w:r>
      <w:r>
        <w:t xml:space="preserve"> </w:t>
      </w:r>
      <w:r>
        <w:t xml:space="preserve">biodiversity-values scale. (b) Share of each area’s assessed land in each expert class, with polygon</w:t>
      </w:r>
      <w:r>
        <w:t xml:space="preserve"> </w:t>
      </w:r>
      <w:r>
        <w:t xml:space="preserve">counts.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Pooled agreement of each surrogate with the expert classes under four metrics: (a)</w:t>
      </w:r>
      <w:r>
        <w:t xml:space="preserve"> </w:t>
      </w:r>
      <w:r>
        <w:t xml:space="preserve">per-polygon Spearman’s ρ; (b) area-weighted Spearman’s ρ; (c) AUC for class ≥ 4 against the rest;</w:t>
      </w:r>
      <w:r>
        <w:t xml:space="preserve"> </w:t>
      </w:r>
      <w:r>
        <w:t xml:space="preserve">(d) AUC for class 5 against the rest. Points are random-effects estimates over the estimable BIORISK</w:t>
      </w:r>
      <w:r>
        <w:t xml:space="preserve"> </w:t>
      </w:r>
      <w:r>
        <w:t xml:space="preserve">catchments, bars are modified Hartung–Knapp–Sidik–Jonkman 95% intervals, and the ring marks the</w:t>
      </w:r>
      <w:r>
        <w:t xml:space="preserve"> </w:t>
      </w:r>
      <w:r>
        <w:t xml:space="preserve">highest-scoring candidate surrogate under each metric; arrowheads mark intervals that continue</w:t>
      </w:r>
      <w:r>
        <w:t xml:space="preserve"> </w:t>
      </w:r>
      <w:r>
        <w:t xml:space="preserve">beyond the axis. The estimates are those in Table 2.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Specification curve for the paired difference between vegetation-type rarity and</w:t>
      </w:r>
      <w:r>
        <w:t xml:space="preserve"> </w:t>
      </w:r>
      <w:r>
        <w:t xml:space="preserve">land-system rarity across 30 specifications. Upper panel: pooled difference and 95% interval, green</w:t>
      </w:r>
      <w:r>
        <w:t xml:space="preserve"> </w:t>
      </w:r>
      <w:r>
        <w:t xml:space="preserve">where vegetation-type rarity is better, orange where land-system rarity is better, grey where the</w:t>
      </w:r>
      <w:r>
        <w:t xml:space="preserve"> </w:t>
      </w:r>
      <w:r>
        <w:t xml:space="preserve">interval includes zero. Lower panel: the analysis choices that define each specification.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Mechanisms behind the reversals. (a) Cumulative distribution of polygon area; the</w:t>
      </w:r>
      <w:r>
        <w:t xml:space="preserve"> </w:t>
      </w:r>
      <w:r>
        <w:t xml:space="preserve">vertical line marks one NVIS pixel (1 ha). (b) Per-polygon ρ of vegetation-type and land-system</w:t>
      </w:r>
      <w:r>
        <w:t xml:space="preserve"> </w:t>
      </w:r>
      <w:r>
        <w:t xml:space="preserve">rarity as polygons below a minimum area are removed, at Gunn Point and Wadeye. (c) Per-polygon ρ of</w:t>
      </w:r>
      <w:r>
        <w:t xml:space="preserve"> </w:t>
      </w:r>
      <w:r>
        <w:t xml:space="preserve">vegetation-type rarity with all polygons and with the rarest vegetation groups removed. (d)</w:t>
      </w:r>
      <w:r>
        <w:t xml:space="preserve"> </w:t>
      </w:r>
      <w:r>
        <w:t xml:space="preserve">Per-polygon ρ of convertibility with all classes and with class 1 (nil or highly modified) removed,</w:t>
      </w:r>
      <w:r>
        <w:t xml:space="preserve"> </w:t>
      </w:r>
      <w:r>
        <w:t xml:space="preserve">in the three areas that contain class 1 polygons.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Combining surrogates. (a) Out-of-sample within-catchment Spearman’s ρ from spatial-block</w:t>
      </w:r>
      <w:r>
        <w:t xml:space="preserve"> </w:t>
      </w:r>
      <w:r>
        <w:t xml:space="preserve">cross-validation, with the paired difference between the joint model and vegetation-type rarity.</w:t>
      </w:r>
      <w:r>
        <w:t xml:space="preserve"> </w:t>
      </w:r>
      <w:r>
        <w:t xml:space="preserve">(b) Agreement in each catchment when the joint model is fitted on the other four, compared with</w:t>
      </w:r>
      <w:r>
        <w:t xml:space="preserve"> </w:t>
      </w:r>
      <w:r>
        <w:t xml:space="preserve">vegetation-type rarity alone on the same polygons.</w:t>
      </w:r>
    </w:p>
    <w:bookmarkEnd w:id="32"/>
    <w:bookmarkStart w:id="33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All benchmark and surrogate layers are open Northern Territory and Australian Government datasets</w:t>
      </w:r>
      <w:r>
        <w:t xml:space="preserve"> </w:t>
      </w:r>
      <w:r>
        <w:t xml:space="preserve">listed in the References. The harmonised analysis table, polygon centroids, analysis code, decision</w:t>
      </w:r>
      <w:r>
        <w:t xml:space="preserve"> </w:t>
      </w:r>
      <w:r>
        <w:t xml:space="preserve">log and all output tables are archived at Zenodo [DOI added at the v2.0-submission release; an</w:t>
      </w:r>
      <w:r>
        <w:t xml:space="preserve"> </w:t>
      </w:r>
      <w:r>
        <w:t xml:space="preserve">anonymised copy is provided to reviewers].</w:t>
      </w:r>
    </w:p>
    <w:bookmarkEnd w:id="33"/>
    <w:bookmarkStart w:id="3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Burgman, M. A., McBride, M., Ashton, R., Speirs-Bridge, A., Flander, L., Wintle, B., Fidler, F.,</w:t>
      </w:r>
      <w:r>
        <w:t xml:space="preserve"> </w:t>
      </w:r>
      <w:r>
        <w:t xml:space="preserve">Rumpff, L., &amp; Twardy, C. (2011). Expert status and performance.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(7), Article e22998.</w:t>
      </w:r>
      <w:r>
        <w:t xml:space="preserve"> </w:t>
      </w:r>
      <w:r>
        <w:t xml:space="preserve">https://doi.org/10.1371/journal.pone.0022998</w:t>
      </w:r>
    </w:p>
    <w:p>
      <w:pPr>
        <w:pStyle w:val="BodyText"/>
      </w:pPr>
      <w:r>
        <w:t xml:space="preserve">Clifford, P., Richardson, S., &amp; Hémon, D. (1989). Assessing the significance of the correlation</w:t>
      </w:r>
      <w:r>
        <w:t xml:space="preserve"> </w:t>
      </w:r>
      <w:r>
        <w:t xml:space="preserve">between two spatial processes.</w:t>
      </w:r>
      <w:r>
        <w:t xml:space="preserve"> </w:t>
      </w:r>
      <w:r>
        <w:rPr>
          <w:i/>
          <w:iCs/>
        </w:rPr>
        <w:t xml:space="preserve">Biometrics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(1), 123–134. https://doi.org/10.2307/2532039</w:t>
      </w:r>
    </w:p>
    <w:p>
      <w:pPr>
        <w:pStyle w:val="BodyText"/>
      </w:pPr>
      <w:r>
        <w:t xml:space="preserve">Department of Climate Change, Energy, the Environment and Water. (2024a).</w:t>
      </w:r>
      <w:r>
        <w:t xml:space="preserve"> </w:t>
      </w:r>
      <w:r>
        <w:rPr>
          <w:i/>
          <w:iCs/>
        </w:rPr>
        <w:t xml:space="preserve">Collaborative</w:t>
      </w:r>
      <w:r>
        <w:rPr>
          <w:i/>
          <w:iCs/>
        </w:rPr>
        <w:t xml:space="preserve"> </w:t>
      </w:r>
      <w:r>
        <w:rPr>
          <w:i/>
          <w:iCs/>
        </w:rPr>
        <w:t xml:space="preserve">Australian Protected Areas Database (CAPAD) 2024 – Terrestrial</w:t>
      </w:r>
      <w:r>
        <w:t xml:space="preserve"> </w:t>
      </w:r>
      <w:r>
        <w:t xml:space="preserve">[Data set]. Australian Government.</w:t>
      </w:r>
      <w:r>
        <w:t xml:space="preserve"> </w:t>
      </w:r>
      <w:r>
        <w:t xml:space="preserve">https://www.dcceew.gov.au/environment/land/nrs/science/capad/2024</w:t>
      </w:r>
    </w:p>
    <w:p>
      <w:pPr>
        <w:pStyle w:val="BodyText"/>
      </w:pPr>
      <w:r>
        <w:t xml:space="preserve">Department of Climate Change, Energy, the Environment and Water. (2024b).</w:t>
      </w:r>
      <w:r>
        <w:t xml:space="preserve"> </w:t>
      </w:r>
      <w:r>
        <w:rPr>
          <w:i/>
          <w:iCs/>
        </w:rPr>
        <w:t xml:space="preserve">National</w:t>
      </w:r>
      <w:r>
        <w:rPr>
          <w:i/>
          <w:iCs/>
        </w:rPr>
        <w:t xml:space="preserve"> </w:t>
      </w:r>
      <w:r>
        <w:rPr>
          <w:i/>
          <w:iCs/>
        </w:rPr>
        <w:t xml:space="preserve">Vegetation Information System (NVIS), Version 7.0</w:t>
      </w:r>
      <w:r>
        <w:t xml:space="preserve"> </w:t>
      </w:r>
      <w:r>
        <w:t xml:space="preserve">[Data set]. Australian Government.</w:t>
      </w:r>
      <w:r>
        <w:t xml:space="preserve"> </w:t>
      </w:r>
      <w:r>
        <w:t xml:space="preserve">https://www.dcceew.gov.au/environment/environment-information-australia/national-vegetation-information-system</w:t>
      </w:r>
    </w:p>
    <w:p>
      <w:pPr>
        <w:pStyle w:val="BodyText"/>
      </w:pPr>
      <w:r>
        <w:t xml:space="preserve">DerSimonian, R., &amp; Laird, N. (1986). Meta-analysis in clinical trials.</w:t>
      </w:r>
      <w:r>
        <w:t xml:space="preserve"> </w:t>
      </w:r>
      <w:r>
        <w:rPr>
          <w:i/>
          <w:iCs/>
        </w:rPr>
        <w:t xml:space="preserve">Controlled Clinical Trials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(3), 177–188. https://doi.org/10.1016/0197-2456(86)90046-2</w:t>
      </w:r>
    </w:p>
    <w:p>
      <w:pPr>
        <w:pStyle w:val="BodyText"/>
      </w:pPr>
      <w:r>
        <w:t xml:space="preserve">Dormann, C. F., McPherson, J. M., Araújo, M. B., Bivand, R., Bolliger, J., Carl, G., Davies, R. G.,</w:t>
      </w:r>
      <w:r>
        <w:t xml:space="preserve"> </w:t>
      </w:r>
      <w:r>
        <w:t xml:space="preserve">Hirzel, A., Jetz, W., Kissling, W. D., Kühn, I., Ohlemüller, R., Peres-Neto, P. R., Reineking, B.,</w:t>
      </w:r>
      <w:r>
        <w:t xml:space="preserve"> </w:t>
      </w:r>
      <w:r>
        <w:t xml:space="preserve">Schröder, B., Schurr, F. M., &amp; Wilson, R. (2007). Methods to account for spatial autocorrelation in</w:t>
      </w:r>
      <w:r>
        <w:t xml:space="preserve"> </w:t>
      </w:r>
      <w:r>
        <w:t xml:space="preserve">the analysis of species distributional data: A review.</w:t>
      </w:r>
      <w:r>
        <w:t xml:space="preserve"> </w:t>
      </w:r>
      <w:r>
        <w:rPr>
          <w:i/>
          <w:iCs/>
        </w:rPr>
        <w:t xml:space="preserve">Ecography</w:t>
      </w:r>
      <w:r>
        <w:t xml:space="preserve">,</w:t>
      </w:r>
      <w:r>
        <w:t xml:space="preserve"> </w:t>
      </w:r>
      <w:r>
        <w:rPr>
          <w:i/>
          <w:iCs/>
        </w:rPr>
        <w:t xml:space="preserve">30</w:t>
      </w:r>
      <w:r>
        <w:t xml:space="preserve">(5), 609–628.</w:t>
      </w:r>
      <w:r>
        <w:t xml:space="preserve"> </w:t>
      </w:r>
      <w:r>
        <w:t xml:space="preserve">https://doi.org/10.1111/j.2007.0906-7590.05171.x</w:t>
      </w:r>
    </w:p>
    <w:p>
      <w:pPr>
        <w:pStyle w:val="BodyText"/>
      </w:pPr>
      <w:r>
        <w:t xml:space="preserve">Dungan, J. L., Perry, J. N., Dale, M. R. T., Legendre, P., Citron-Pousty, S., Fortin, M.-J.,</w:t>
      </w:r>
      <w:r>
        <w:t xml:space="preserve"> </w:t>
      </w:r>
      <w:r>
        <w:t xml:space="preserve">Jakomulska, A., Miriti, M., &amp; Rosenberg, M. S. (2002). A balanced view of scale in spatial</w:t>
      </w:r>
      <w:r>
        <w:t xml:space="preserve"> </w:t>
      </w:r>
      <w:r>
        <w:t xml:space="preserve">statistical analysis.</w:t>
      </w:r>
      <w:r>
        <w:t xml:space="preserve"> </w:t>
      </w:r>
      <w:r>
        <w:rPr>
          <w:i/>
          <w:iCs/>
        </w:rPr>
        <w:t xml:space="preserve">Ecography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(5), 626–640. https://doi.org/10.1034/j.1600-0587.2002.250510.x</w:t>
      </w:r>
    </w:p>
    <w:p>
      <w:pPr>
        <w:pStyle w:val="BodyText"/>
      </w:pPr>
      <w:r>
        <w:t xml:space="preserve">Ferrier, S. (2002). Mapping spatial pattern in biodiversity for regional conservation planning:</w:t>
      </w:r>
      <w:r>
        <w:t xml:space="preserve"> </w:t>
      </w:r>
      <w:r>
        <w:t xml:space="preserve">Where to from here?</w:t>
      </w:r>
      <w:r>
        <w:t xml:space="preserve"> </w:t>
      </w:r>
      <w:r>
        <w:rPr>
          <w:i/>
          <w:iCs/>
        </w:rPr>
        <w:t xml:space="preserve">Systematic Biology</w:t>
      </w:r>
      <w:r>
        <w:t xml:space="preserve">,</w:t>
      </w:r>
      <w:r>
        <w:t xml:space="preserve"> </w:t>
      </w:r>
      <w:r>
        <w:rPr>
          <w:i/>
          <w:iCs/>
        </w:rPr>
        <w:t xml:space="preserve">51</w:t>
      </w:r>
      <w:r>
        <w:t xml:space="preserve">(2), 331–363. https://doi.org/10.1080/10635150252899806</w:t>
      </w:r>
    </w:p>
    <w:p>
      <w:pPr>
        <w:pStyle w:val="BodyText"/>
      </w:pPr>
      <w:r>
        <w:t xml:space="preserve">Geoscience Australia. (2025).</w:t>
      </w:r>
      <w:r>
        <w:t xml:space="preserve"> </w:t>
      </w:r>
      <w:r>
        <w:rPr>
          <w:i/>
          <w:iCs/>
        </w:rPr>
        <w:t xml:space="preserve">DEA Fractional Cover Percentiles (Landsat), Version 4.0.0</w:t>
      </w:r>
      <w:r>
        <w:t xml:space="preserve"> </w:t>
      </w:r>
      <w:r>
        <w:t xml:space="preserve">(product</w:t>
      </w:r>
      <w:r>
        <w:t xml:space="preserve"> </w:t>
      </w:r>
      <w:r>
        <w:t xml:space="preserve">ga_ls_fc_pc_cyear_3) [Data set]. Commonwealth of Australia (Geoscience Australia).</w:t>
      </w:r>
      <w:r>
        <w:t xml:space="preserve"> </w:t>
      </w:r>
      <w:r>
        <w:t xml:space="preserve">https://doi.org/10.26186/150570</w:t>
      </w:r>
    </w:p>
    <w:p>
      <w:pPr>
        <w:pStyle w:val="BodyText"/>
      </w:pPr>
      <w:r>
        <w:t xml:space="preserve">Gould, E., Fraser, H. S., Parker, T. H., Nakagawa, S., Griffith, S. C., Vesk, P. A., Fidler, F.,</w:t>
      </w:r>
      <w:r>
        <w:t xml:space="preserve"> </w:t>
      </w:r>
      <w:r>
        <w:t xml:space="preserve">Hamilton, D. G., Abbey-Lee, R. N., Abbott, J. K., Aguirre, L. A., Alcaraz, C., Aloni, I., Altschul,</w:t>
      </w:r>
      <w:r>
        <w:t xml:space="preserve"> </w:t>
      </w:r>
      <w:r>
        <w:t xml:space="preserve">D., Arekar, K., Atkins, J. W., Atkinson, J., Baker, C. M., Barrett, M., … Zitomer, R. A. (2025).</w:t>
      </w:r>
      <w:r>
        <w:t xml:space="preserve"> </w:t>
      </w:r>
      <w:r>
        <w:t xml:space="preserve">Same data, different analysts: Variation in effect sizes due to analytical decisions in ecology and</w:t>
      </w:r>
      <w:r>
        <w:t xml:space="preserve"> </w:t>
      </w:r>
      <w:r>
        <w:t xml:space="preserve">evolutionary biology.</w:t>
      </w:r>
      <w:r>
        <w:t xml:space="preserve"> </w:t>
      </w:r>
      <w:r>
        <w:rPr>
          <w:i/>
          <w:iCs/>
        </w:rPr>
        <w:t xml:space="preserve">BMC Biology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(1), Article 35. https://doi.org/10.1186/s12915-024-02101-x</w:t>
      </w:r>
    </w:p>
    <w:p>
      <w:pPr>
        <w:pStyle w:val="BodyText"/>
      </w:pPr>
      <w:r>
        <w:t xml:space="preserve">Grantham, H. S., Pressey, R. L., Wells, J. A., &amp; Beattie, A. J. (2010). Effectiveness of biodiversity</w:t>
      </w:r>
      <w:r>
        <w:t xml:space="preserve"> </w:t>
      </w:r>
      <w:r>
        <w:t xml:space="preserve">surrogates for conservation planning: Different measures of effectiveness generate a kaleidoscope of</w:t>
      </w:r>
      <w:r>
        <w:t xml:space="preserve"> </w:t>
      </w:r>
      <w:r>
        <w:t xml:space="preserve">variation.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(7), Article e11430. https://doi.org/10.1371/journal.pone.0011430</w:t>
      </w:r>
    </w:p>
    <w:p>
      <w:pPr>
        <w:pStyle w:val="BodyText"/>
      </w:pPr>
      <w:r>
        <w:t xml:space="preserve">Harwood, T. D., Donohue, R. J., Williams, K. J., Ferrier, S., McVicar, T. R., Newell, G., &amp; White, M.</w:t>
      </w:r>
      <w:r>
        <w:t xml:space="preserve"> </w:t>
      </w:r>
      <w:r>
        <w:t xml:space="preserve">(2016). Habitat Condition Assessment System: A new way to assess the condition of natural habitats</w:t>
      </w:r>
      <w:r>
        <w:t xml:space="preserve"> </w:t>
      </w:r>
      <w:r>
        <w:t xml:space="preserve">for terrestrial biodiversity across whole regions using remote sensing data.</w:t>
      </w:r>
      <w:r>
        <w:t xml:space="preserve"> </w:t>
      </w:r>
      <w:r>
        <w:rPr>
          <w:i/>
          <w:iCs/>
        </w:rPr>
        <w:t xml:space="preserve">Methods in Ecology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Evolution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(9), 1050–1059.</w:t>
      </w:r>
      <w:r>
        <w:t xml:space="preserve"> </w:t>
      </w:r>
      <w:r>
        <w:t xml:space="preserve">https://doi.org/10.1111/2041-210X.12579</w:t>
      </w:r>
    </w:p>
    <w:p>
      <w:pPr>
        <w:pStyle w:val="BodyText"/>
      </w:pPr>
      <w:r>
        <w:t xml:space="preserve">Hess, G. R., Bartel, R. A., Leidner, A. K., Rosenfeld, K. M., Rubino, M. J., Snider, S. B., &amp;</w:t>
      </w:r>
      <w:r>
        <w:t xml:space="preserve"> </w:t>
      </w:r>
      <w:r>
        <w:t xml:space="preserve">Ricketts, T. H. (2006). Effectiveness of biodiversity indicators varies with extent, grain, and</w:t>
      </w:r>
      <w:r>
        <w:t xml:space="preserve"> </w:t>
      </w:r>
      <w:r>
        <w:t xml:space="preserve">region.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,</w:t>
      </w:r>
      <w:r>
        <w:t xml:space="preserve"> </w:t>
      </w:r>
      <w:r>
        <w:rPr>
          <w:i/>
          <w:iCs/>
        </w:rPr>
        <w:t xml:space="preserve">132</w:t>
      </w:r>
      <w:r>
        <w:t xml:space="preserve">(4), 448–457. https://doi.org/10.1016/j.biocon.2006.04.037</w:t>
      </w:r>
    </w:p>
    <w:p>
      <w:pPr>
        <w:pStyle w:val="BodyText"/>
      </w:pPr>
      <w:r>
        <w:t xml:space="preserve">IntHout, J., Ioannidis, J. P. A., &amp; Borm, G. F. (2014). The Hartung-Knapp-Sidik-Jonkman method for</w:t>
      </w:r>
      <w:r>
        <w:t xml:space="preserve"> </w:t>
      </w:r>
      <w:r>
        <w:t xml:space="preserve">random effects meta-analysis is straightforward and considerably outperforms the standard</w:t>
      </w:r>
      <w:r>
        <w:t xml:space="preserve"> </w:t>
      </w:r>
      <w:r>
        <w:t xml:space="preserve">DerSimonian-Laird method.</w:t>
      </w:r>
      <w:r>
        <w:t xml:space="preserve"> </w:t>
      </w:r>
      <w:r>
        <w:rPr>
          <w:i/>
          <w:iCs/>
        </w:rPr>
        <w:t xml:space="preserve">BMC Medical Research Methodology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(1), Article 25.</w:t>
      </w:r>
      <w:r>
        <w:t xml:space="preserve"> </w:t>
      </w:r>
      <w:r>
        <w:t xml:space="preserve">https://doi.org/10.1186/1471-2288-14-25</w:t>
      </w:r>
    </w:p>
    <w:p>
      <w:pPr>
        <w:pStyle w:val="BodyText"/>
      </w:pPr>
      <w:r>
        <w:t xml:space="preserve">Jelinski, D. E., &amp; Wu, J. (1996). The modifiable areal unit problem and implications for landscape</w:t>
      </w:r>
      <w:r>
        <w:t xml:space="preserve"> </w:t>
      </w:r>
      <w:r>
        <w:t xml:space="preserve">ecology.</w:t>
      </w:r>
      <w:r>
        <w:t xml:space="preserve"> </w:t>
      </w:r>
      <w:r>
        <w:rPr>
          <w:i/>
          <w:iCs/>
        </w:rPr>
        <w:t xml:space="preserve">Landscape Ecology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(3), 129–140. https://doi.org/10.1007/BF02447512</w:t>
      </w:r>
    </w:p>
    <w:p>
      <w:pPr>
        <w:pStyle w:val="BodyText"/>
      </w:pPr>
      <w:r>
        <w:t xml:space="preserve">Jung, M., Arnell, A., de Lamo, X., García-Rangel, S., Lewis, M., Mark, J., Merow, C., Miles, L.,</w:t>
      </w:r>
      <w:r>
        <w:t xml:space="preserve"> </w:t>
      </w:r>
      <w:r>
        <w:t xml:space="preserve">Ondo, I., Pironon, S., Ravilious, C., Rivers, M., Schepaschenko, D., Tallowin, O., van Soesbergen, A.,</w:t>
      </w:r>
      <w:r>
        <w:t xml:space="preserve"> </w:t>
      </w:r>
      <w:r>
        <w:t xml:space="preserve">Govaerts, R., Boyle, B. L., Enquist, B. J., Feng, X., … Visconti, P. (2021). Areas of global</w:t>
      </w:r>
      <w:r>
        <w:t xml:space="preserve"> </w:t>
      </w:r>
      <w:r>
        <w:t xml:space="preserve">importance for conserving terrestrial biodiversity, carbon and water.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(11), 1499–1509. https://doi.org/10.1038/s41559-021-01528-7</w:t>
      </w:r>
    </w:p>
    <w:p>
      <w:pPr>
        <w:pStyle w:val="BodyText"/>
      </w:pPr>
      <w:r>
        <w:t xml:space="preserve">Legendre, P. (1993). Spatial autocorrelation: Trouble or new paradigm?</w:t>
      </w:r>
      <w:r>
        <w:t xml:space="preserve"> </w:t>
      </w:r>
      <w:r>
        <w:rPr>
          <w:i/>
          <w:iCs/>
        </w:rPr>
        <w:t xml:space="preserve">Ecology</w:t>
      </w:r>
      <w:r>
        <w:t xml:space="preserve">,</w:t>
      </w:r>
      <w:r>
        <w:t xml:space="preserve"> </w:t>
      </w:r>
      <w:r>
        <w:rPr>
          <w:i/>
          <w:iCs/>
        </w:rPr>
        <w:t xml:space="preserve">74</w:t>
      </w:r>
      <w:r>
        <w:t xml:space="preserve">(6),</w:t>
      </w:r>
      <w:r>
        <w:t xml:space="preserve"> </w:t>
      </w:r>
      <w:r>
        <w:t xml:space="preserve">1659–1673. https://doi.org/10.2307/1939924</w:t>
      </w:r>
    </w:p>
    <w:p>
      <w:pPr>
        <w:pStyle w:val="BodyText"/>
      </w:pPr>
      <w:r>
        <w:t xml:space="preserve">Lindenmayer, D., Pierson, J., Barton, P., Beger, M., Branquinho, C., Calhoun, A., Caro, T., Greig,</w:t>
      </w:r>
      <w:r>
        <w:t xml:space="preserve"> </w:t>
      </w:r>
      <w:r>
        <w:t xml:space="preserve">H., Gross, J., Heino, J., Hunter, M., Lane, P., Longo, C., Martin, K., McDowell, W. H., Mellin, C.,</w:t>
      </w:r>
      <w:r>
        <w:t xml:space="preserve"> </w:t>
      </w:r>
      <w:r>
        <w:t xml:space="preserve">Salo, H., Tulloch, A., &amp; Westgate, M. (2015). A new framework for selecting environmental surrogates.</w:t>
      </w:r>
      <w:r>
        <w:t xml:space="preserve"> </w:t>
      </w:r>
      <w:r>
        <w:rPr>
          <w:i/>
          <w:iCs/>
        </w:rPr>
        <w:t xml:space="preserve">Science of the Total Environment</w:t>
      </w:r>
      <w:r>
        <w:t xml:space="preserve">,</w:t>
      </w:r>
      <w:r>
        <w:t xml:space="preserve"> </w:t>
      </w:r>
      <w:r>
        <w:rPr>
          <w:i/>
          <w:iCs/>
        </w:rPr>
        <w:t xml:space="preserve">538</w:t>
      </w:r>
      <w:r>
        <w:t xml:space="preserve">, 1029–1038. https://doi.org/10.1016/j.scitotenv.2015.08.056</w:t>
      </w:r>
    </w:p>
    <w:p>
      <w:pPr>
        <w:pStyle w:val="BodyText"/>
      </w:pPr>
      <w:r>
        <w:t xml:space="preserve">Lobo, J. M., Jiménez-Valverde, A., &amp; Real, R. (2008). AUC: A misleading measure of the performance of</w:t>
      </w:r>
      <w:r>
        <w:t xml:space="preserve"> </w:t>
      </w:r>
      <w:r>
        <w:t xml:space="preserve">predictive distribution models.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(2), 145–151.</w:t>
      </w:r>
      <w:r>
        <w:t xml:space="preserve"> </w:t>
      </w:r>
      <w:r>
        <w:t xml:space="preserve">https://doi.org/10.1111/j.1466-8238.2007.00358.x</w:t>
      </w:r>
    </w:p>
    <w:p>
      <w:pPr>
        <w:pStyle w:val="BodyText"/>
      </w:pPr>
      <w:r>
        <w:t xml:space="preserve">Mair, L., Bennun, L. A., Brooks, T. M., Butchart, S. H. M., Bolam, F. C., Burgess, N. D., Ekstrom,</w:t>
      </w:r>
      <w:r>
        <w:t xml:space="preserve"> </w:t>
      </w:r>
      <w:r>
        <w:t xml:space="preserve">J. M. M., Milner-Gulland, E. J., Hoffmann, M., Ma, K., Macfarlane, N. B. W., Raimondo, D. C.,</w:t>
      </w:r>
      <w:r>
        <w:t xml:space="preserve"> </w:t>
      </w:r>
      <w:r>
        <w:t xml:space="preserve">Rodrigues, A. S. L., Shen, X., Strassburg, B. B. N., Beatty, C. R., Gómez-Creutzberg, C., Iribarrem,</w:t>
      </w:r>
      <w:r>
        <w:t xml:space="preserve"> </w:t>
      </w:r>
      <w:r>
        <w:t xml:space="preserve">A., Irmadhiany, M., … McGowan, P. J. K. (2021). A metric for spatially explicit contributions to</w:t>
      </w:r>
      <w:r>
        <w:t xml:space="preserve"> </w:t>
      </w:r>
      <w:r>
        <w:t xml:space="preserve">science-based species targets.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(6), 836–844.</w:t>
      </w:r>
      <w:r>
        <w:t xml:space="preserve"> </w:t>
      </w:r>
      <w:r>
        <w:t xml:space="preserve">https://doi.org/10.1038/s41559-021-01432-0</w:t>
      </w:r>
    </w:p>
    <w:p>
      <w:pPr>
        <w:pStyle w:val="BodyText"/>
      </w:pPr>
      <w:r>
        <w:t xml:space="preserve">Margules, C. R., &amp; Pressey, R. L. (2000). Systematic conservation planning.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rPr>
          <w:i/>
          <w:iCs/>
        </w:rPr>
        <w:t xml:space="preserve">405</w:t>
      </w:r>
      <w:r>
        <w:t xml:space="preserve">(6783), 243–253. https://doi.org/10.1038/35012251</w:t>
      </w:r>
    </w:p>
    <w:p>
      <w:pPr>
        <w:pStyle w:val="BodyText"/>
      </w:pPr>
      <w:r>
        <w:t xml:space="preserve">Martin, T. G., Burgman, M. A., Fidler, F., Kuhnert, P. M., Low-Choy, S., McBride, M., &amp; Mengersen, K.</w:t>
      </w:r>
      <w:r>
        <w:t xml:space="preserve"> </w:t>
      </w:r>
      <w:r>
        <w:t xml:space="preserve">(2012). Eliciting expert knowledge in conservation science.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(1), 29–38.</w:t>
      </w:r>
      <w:r>
        <w:t xml:space="preserve"> </w:t>
      </w:r>
      <w:r>
        <w:t xml:space="preserve">https://doi.org/10.1111/j.1523-1739.2011.01806.x</w:t>
      </w:r>
    </w:p>
    <w:p>
      <w:pPr>
        <w:pStyle w:val="BodyText"/>
      </w:pPr>
      <w:r>
        <w:t xml:space="preserve">McGinley, B., Edwards, A., &amp; Garnett, S. T. (2026). Gaps in conservation planning in the Northern</w:t>
      </w:r>
      <w:r>
        <w:t xml:space="preserve"> </w:t>
      </w:r>
      <w:r>
        <w:t xml:space="preserve">Territory of Australia: Preparing for the energy transition.</w:t>
      </w:r>
      <w:r>
        <w:t xml:space="preserve"> </w:t>
      </w:r>
      <w:r>
        <w:rPr>
          <w:i/>
          <w:iCs/>
        </w:rPr>
        <w:t xml:space="preserve">Australasian Journal of Environmental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,</w:t>
      </w:r>
      <w:r>
        <w:t xml:space="preserve"> </w:t>
      </w:r>
      <w:r>
        <w:rPr>
          <w:i/>
          <w:iCs/>
        </w:rPr>
        <w:t xml:space="preserve">33</w:t>
      </w:r>
      <w:r>
        <w:t xml:space="preserve">(1), 30–47. https://doi.org/10.1080/14486563.2025.2575948</w:t>
      </w:r>
    </w:p>
    <w:p>
      <w:pPr>
        <w:pStyle w:val="BodyText"/>
      </w:pPr>
      <w:r>
        <w:t xml:space="preserve">Northern Territory Government. (2013).</w:t>
      </w:r>
      <w:r>
        <w:t xml:space="preserve"> </w:t>
      </w:r>
      <w:r>
        <w:rPr>
          <w:i/>
          <w:iCs/>
        </w:rPr>
        <w:t xml:space="preserve">Northern Territory land systems (compilation of north_250 and</w:t>
      </w:r>
      <w:r>
        <w:rPr>
          <w:i/>
          <w:iCs/>
        </w:rPr>
        <w:t xml:space="preserve"> </w:t>
      </w:r>
      <w:r>
        <w:rPr>
          <w:i/>
          <w:iCs/>
        </w:rPr>
        <w:t xml:space="preserve">south_1M)</w:t>
      </w:r>
      <w:r>
        <w:t xml:space="preserve"> </w:t>
      </w:r>
      <w:r>
        <w:t xml:space="preserve">[Data set]. https://data.nt.gov.au/dataset/northern-territory-land-systems-compilation-of-north-250-and-south-1m</w:t>
      </w:r>
    </w:p>
    <w:p>
      <w:pPr>
        <w:pStyle w:val="BodyText"/>
      </w:pPr>
      <w:r>
        <w:t xml:space="preserve">Northern Territory Government. (2020).</w:t>
      </w:r>
      <w:r>
        <w:t xml:space="preserve"> </w:t>
      </w:r>
      <w:r>
        <w:rPr>
          <w:i/>
          <w:iCs/>
        </w:rPr>
        <w:t xml:space="preserve">Risk to biodiversity in the Gunn Point area, 2020</w:t>
      </w:r>
      <w:r>
        <w:t xml:space="preserve"> </w:t>
      </w:r>
      <w:r>
        <w:t xml:space="preserve">[Data set].</w:t>
      </w:r>
      <w:r>
        <w:t xml:space="preserve"> </w:t>
      </w:r>
      <w:r>
        <w:t xml:space="preserve">https://data.nt.gov.au/dataset/risk-to-biodiversity-in-the-gunn-point-area-2020</w:t>
      </w:r>
    </w:p>
    <w:p>
      <w:pPr>
        <w:pStyle w:val="BodyText"/>
      </w:pPr>
      <w:r>
        <w:t xml:space="preserve">Northern Territory Government. (2021a).</w:t>
      </w:r>
      <w:r>
        <w:t xml:space="preserve"> </w:t>
      </w:r>
      <w:r>
        <w:rPr>
          <w:i/>
          <w:iCs/>
        </w:rPr>
        <w:t xml:space="preserve">Biodiversity assessment study of NTP 3910 in the Deep Well</w:t>
      </w:r>
      <w:r>
        <w:rPr>
          <w:i/>
          <w:iCs/>
        </w:rPr>
        <w:t xml:space="preserve"> </w:t>
      </w:r>
      <w:r>
        <w:rPr>
          <w:i/>
          <w:iCs/>
        </w:rPr>
        <w:t xml:space="preserve">area, 2021</w:t>
      </w:r>
      <w:r>
        <w:t xml:space="preserve"> </w:t>
      </w:r>
      <w:r>
        <w:t xml:space="preserve">[Data set]. https://data.nt.gov.au/dataset/biodiversity-assessment-of-ntp-3910-in-the-deep-well-area-2021</w:t>
      </w:r>
    </w:p>
    <w:p>
      <w:pPr>
        <w:pStyle w:val="BodyText"/>
      </w:pPr>
      <w:r>
        <w:t xml:space="preserve">Northern Territory Government. (2021b).</w:t>
      </w:r>
      <w:r>
        <w:t xml:space="preserve"> </w:t>
      </w:r>
      <w:r>
        <w:rPr>
          <w:i/>
          <w:iCs/>
        </w:rPr>
        <w:t xml:space="preserve">Risk to biodiversity in the Wadeye area, 2021</w:t>
      </w:r>
      <w:r>
        <w:t xml:space="preserve"> </w:t>
      </w:r>
      <w:r>
        <w:t xml:space="preserve">[Data set].</w:t>
      </w:r>
      <w:r>
        <w:t xml:space="preserve"> </w:t>
      </w:r>
      <w:r>
        <w:t xml:space="preserve">https://data.nt.gov.au/dataset/risk-to-biodiversity-in-the-wadeye-area-2021</w:t>
      </w:r>
    </w:p>
    <w:p>
      <w:pPr>
        <w:pStyle w:val="BodyText"/>
      </w:pPr>
      <w:r>
        <w:t xml:space="preserve">Northern Territory Government. (2021c).</w:t>
      </w:r>
      <w:r>
        <w:t xml:space="preserve"> </w:t>
      </w:r>
      <w:r>
        <w:rPr>
          <w:i/>
          <w:iCs/>
        </w:rPr>
        <w:t xml:space="preserve">Risk to biodiversity of the Larrimah area, 2021</w:t>
      </w:r>
      <w:r>
        <w:t xml:space="preserve"> </w:t>
      </w:r>
      <w:r>
        <w:t xml:space="preserve">[Data set].</w:t>
      </w:r>
      <w:r>
        <w:t xml:space="preserve"> </w:t>
      </w:r>
      <w:r>
        <w:t xml:space="preserve">https://data.nt.gov.au/dataset/risk-to-biodiversity-of-the-larrimah-area-2021</w:t>
      </w:r>
    </w:p>
    <w:p>
      <w:pPr>
        <w:pStyle w:val="BodyText"/>
      </w:pPr>
      <w:r>
        <w:t xml:space="preserve">Northern Territory Government. (2024a).</w:t>
      </w:r>
      <w:r>
        <w:t xml:space="preserve"> </w:t>
      </w:r>
      <w:r>
        <w:rPr>
          <w:i/>
          <w:iCs/>
        </w:rPr>
        <w:t xml:space="preserve">Land use mapping project of the Northern Territory,</w:t>
      </w:r>
      <w:r>
        <w:rPr>
          <w:i/>
          <w:iCs/>
        </w:rPr>
        <w:t xml:space="preserve"> </w:t>
      </w:r>
      <w:r>
        <w:rPr>
          <w:i/>
          <w:iCs/>
        </w:rPr>
        <w:t xml:space="preserve">2016–2024 (LUMP)</w:t>
      </w:r>
      <w:r>
        <w:t xml:space="preserve"> </w:t>
      </w:r>
      <w:r>
        <w:t xml:space="preserve">[Data set]. https://data.nt.gov.au/dataset/land-use-mapping-project-of-the-northern-territory-2016-current-lump</w:t>
      </w:r>
    </w:p>
    <w:p>
      <w:pPr>
        <w:pStyle w:val="BodyText"/>
      </w:pPr>
      <w:r>
        <w:t xml:space="preserve">Northern Territory Government. (2024b).</w:t>
      </w:r>
      <w:r>
        <w:t xml:space="preserve"> </w:t>
      </w:r>
      <w:r>
        <w:rPr>
          <w:i/>
          <w:iCs/>
        </w:rPr>
        <w:t xml:space="preserve">Risk to biodiversity of the central Roper River catchment,</w:t>
      </w:r>
      <w:r>
        <w:rPr>
          <w:i/>
          <w:iCs/>
        </w:rPr>
        <w:t xml:space="preserve"> </w:t>
      </w:r>
      <w:r>
        <w:rPr>
          <w:i/>
          <w:iCs/>
        </w:rPr>
        <w:t xml:space="preserve">2024</w:t>
      </w:r>
      <w:r>
        <w:t xml:space="preserve"> </w:t>
      </w:r>
      <w:r>
        <w:t xml:space="preserve">[Data set]. https://data.nt.gov.au/dataset/risk-to-biodiversity-of-the-central-roper-river-catchment-2024</w:t>
      </w:r>
    </w:p>
    <w:p>
      <w:pPr>
        <w:pStyle w:val="BodyText"/>
      </w:pPr>
      <w:r>
        <w:t xml:space="preserve">Northern Territory Government. (2025).</w:t>
      </w:r>
      <w:r>
        <w:t xml:space="preserve"> </w:t>
      </w:r>
      <w:r>
        <w:rPr>
          <w:i/>
          <w:iCs/>
        </w:rPr>
        <w:t xml:space="preserve">Biodiversity assessment of the Greater Weddell subregion</w:t>
      </w:r>
      <w:r>
        <w:t xml:space="preserve"> </w:t>
      </w:r>
      <w:r>
        <w:t xml:space="preserve">[Data set]. https://data.nt.gov.au/dataset/biovalue_greater_weddell</w:t>
      </w:r>
    </w:p>
    <w:p>
      <w:pPr>
        <w:pStyle w:val="BodyText"/>
      </w:pPr>
      <w:r>
        <w:t xml:space="preserve">Nosek, B. A., Ebersole, C. R., DeHaven, A. C., &amp; Mellor, D. T. (2018). The preregistration</w:t>
      </w:r>
      <w:r>
        <w:t xml:space="preserve"> </w:t>
      </w:r>
      <w:r>
        <w:t xml:space="preserve">revolution.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115</w:t>
      </w:r>
      <w:r>
        <w:t xml:space="preserve">(11), 2600–2606.</w:t>
      </w:r>
      <w:r>
        <w:t xml:space="preserve"> </w:t>
      </w:r>
      <w:r>
        <w:t xml:space="preserve">https://doi.org/10.1073/pnas.1708274114</w:t>
      </w:r>
    </w:p>
    <w:p>
      <w:pPr>
        <w:pStyle w:val="BodyText"/>
      </w:pPr>
      <w:r>
        <w:t xml:space="preserve">Oliver, I., Holmes, A., Dangerfield, J. M., Gillings, M., Pik, A. J., Britton, D. R., Holley, M.,</w:t>
      </w:r>
      <w:r>
        <w:t xml:space="preserve"> </w:t>
      </w:r>
      <w:r>
        <w:t xml:space="preserve">Montgomery, M. E., Raison, M., Logan, V., Pressey, R. L., &amp; Beattie, A. J. (2004). Land systems as</w:t>
      </w:r>
      <w:r>
        <w:t xml:space="preserve"> </w:t>
      </w:r>
      <w:r>
        <w:t xml:space="preserve">surrogates for biodiversity in conservation planning.</w:t>
      </w:r>
      <w:r>
        <w:t xml:space="preserve"> </w:t>
      </w:r>
      <w:r>
        <w:rPr>
          <w:i/>
          <w:iCs/>
        </w:rPr>
        <w:t xml:space="preserve">Ecological Applications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(2), 485–503.</w:t>
      </w:r>
      <w:r>
        <w:t xml:space="preserve"> </w:t>
      </w:r>
      <w:r>
        <w:t xml:space="preserve">https://doi.org/10.1890/02-5181</w:t>
      </w:r>
    </w:p>
    <w:p>
      <w:pPr>
        <w:pStyle w:val="BodyText"/>
      </w:pPr>
      <w:r>
        <w:t xml:space="preserve">Openshaw, S. (1984).</w:t>
      </w:r>
      <w:r>
        <w:t xml:space="preserve"> </w:t>
      </w:r>
      <w:r>
        <w:rPr>
          <w:i/>
          <w:iCs/>
        </w:rPr>
        <w:t xml:space="preserve">The modifiable areal unit problem</w:t>
      </w:r>
      <w:r>
        <w:t xml:space="preserve"> </w:t>
      </w:r>
      <w:r>
        <w:t xml:space="preserve">(Concepts and Techniques in Modern</w:t>
      </w:r>
      <w:r>
        <w:t xml:space="preserve"> </w:t>
      </w:r>
      <w:r>
        <w:t xml:space="preserve">Geography 38). Geo Books.</w:t>
      </w:r>
    </w:p>
    <w:p>
      <w:pPr>
        <w:pStyle w:val="BodyText"/>
      </w:pPr>
      <w:r>
        <w:t xml:space="preserve">Parker, T. H., Forstmeier, W., Koricheva, J., Fidler, F., Hadfield, J. D., Chee, Y. E., Kelly, C. D.,</w:t>
      </w:r>
      <w:r>
        <w:t xml:space="preserve"> </w:t>
      </w:r>
      <w:r>
        <w:t xml:space="preserve">Gurevitch, J., &amp; Nakagawa, S. (2016). Transparency in ecology and evolution: Real problems, real</w:t>
      </w:r>
      <w:r>
        <w:t xml:space="preserve"> </w:t>
      </w:r>
      <w:r>
        <w:t xml:space="preserve">solutions.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,</w:t>
      </w:r>
      <w:r>
        <w:t xml:space="preserve"> </w:t>
      </w:r>
      <w:r>
        <w:rPr>
          <w:i/>
          <w:iCs/>
        </w:rPr>
        <w:t xml:space="preserve">31</w:t>
      </w:r>
      <w:r>
        <w:t xml:space="preserve">(9), 711–719. https://doi.org/10.1016/j.tree.2016.07.002</w:t>
      </w:r>
    </w:p>
    <w:p>
      <w:pPr>
        <w:pStyle w:val="BodyText"/>
      </w:pPr>
      <w:r>
        <w:t xml:space="preserve">Roberts, D. R., Bahn, V., Ciuti, S., Boyce, M. S., Elith, J., Guillera-Arroita, G., Hauenstein, S.,</w:t>
      </w:r>
      <w:r>
        <w:t xml:space="preserve"> </w:t>
      </w:r>
      <w:r>
        <w:t xml:space="preserve">Lahoz-Monfort, J. J., Schröder, B., Thuiller, W., Warton, D. I., Wintle, B. A., Hartig, F., &amp;</w:t>
      </w:r>
      <w:r>
        <w:t xml:space="preserve"> </w:t>
      </w:r>
      <w:r>
        <w:t xml:space="preserve">Dormann, C. F. (2017). Cross-validation strategies for data with temporal, spatial, hierarchical, or</w:t>
      </w:r>
      <w:r>
        <w:t xml:space="preserve"> </w:t>
      </w:r>
      <w:r>
        <w:t xml:space="preserve">phylogenetic structure.</w:t>
      </w:r>
      <w:r>
        <w:t xml:space="preserve"> </w:t>
      </w:r>
      <w:r>
        <w:rPr>
          <w:i/>
          <w:iCs/>
        </w:rPr>
        <w:t xml:space="preserve">Ecography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(8), 913–929. https://doi.org/10.1111/ecog.02881</w:t>
      </w:r>
    </w:p>
    <w:p>
      <w:pPr>
        <w:pStyle w:val="BodyText"/>
      </w:pPr>
      <w:r>
        <w:t xml:space="preserve">Rodrigues, A. S. L., &amp; Brooks, T. M. (2007). Shortcuts for biodiversity conservation planning: The</w:t>
      </w:r>
      <w:r>
        <w:t xml:space="preserve"> </w:t>
      </w:r>
      <w:r>
        <w:t xml:space="preserve">effectiveness of surrogates.</w:t>
      </w:r>
      <w:r>
        <w:t xml:space="preserve"> </w:t>
      </w:r>
      <w:r>
        <w:rPr>
          <w:i/>
          <w:iCs/>
        </w:rPr>
        <w:t xml:space="preserve">Annual Review of Ecology, Evolution, and Systematics</w:t>
      </w:r>
      <w:r>
        <w:t xml:space="preserve">,</w:t>
      </w:r>
      <w:r>
        <w:t xml:space="preserve"> </w:t>
      </w:r>
      <w:r>
        <w:rPr>
          <w:i/>
          <w:iCs/>
        </w:rPr>
        <w:t xml:space="preserve">38</w:t>
      </w:r>
      <w:r>
        <w:t xml:space="preserve">(1), 713–737.</w:t>
      </w:r>
      <w:r>
        <w:t xml:space="preserve"> </w:t>
      </w:r>
      <w:r>
        <w:t xml:space="preserve">https://doi.org/10.1146/annurev.ecolsys.38.091206.095737</w:t>
      </w:r>
    </w:p>
    <w:p>
      <w:pPr>
        <w:pStyle w:val="BodyText"/>
      </w:pPr>
      <w:r>
        <w:t xml:space="preserve">Röver, C., Knapp, G., &amp; Friede, T. (2015). Hartung-Knapp-Sidik-Jonkman approach and its modification</w:t>
      </w:r>
      <w:r>
        <w:t xml:space="preserve"> </w:t>
      </w:r>
      <w:r>
        <w:t xml:space="preserve">for random-effects meta-analysis with few studies.</w:t>
      </w:r>
      <w:r>
        <w:t xml:space="preserve"> </w:t>
      </w:r>
      <w:r>
        <w:rPr>
          <w:i/>
          <w:iCs/>
        </w:rPr>
        <w:t xml:space="preserve">BMC Medical Research Methodology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(1), Article 99.</w:t>
      </w:r>
      <w:r>
        <w:t xml:space="preserve"> </w:t>
      </w:r>
      <w:r>
        <w:t xml:space="preserve">https://doi.org/10.1186/s12874-015-0091-1</w:t>
      </w:r>
    </w:p>
    <w:p>
      <w:pPr>
        <w:pStyle w:val="BodyText"/>
      </w:pPr>
      <w:r>
        <w:t xml:space="preserve">Simonsohn, U., Simmons, J. P., &amp; Nelson, L. D. (2020). Specification curve analysis.</w:t>
      </w:r>
      <w:r>
        <w:t xml:space="preserve"> </w:t>
      </w:r>
      <w:r>
        <w:rPr>
          <w:i/>
          <w:iCs/>
        </w:rPr>
        <w:t xml:space="preserve">Nature Human</w:t>
      </w:r>
      <w:r>
        <w:rPr>
          <w:i/>
          <w:iCs/>
        </w:rPr>
        <w:t xml:space="preserve"> </w:t>
      </w:r>
      <w:r>
        <w:rPr>
          <w:i/>
          <w:iCs/>
        </w:rPr>
        <w:t xml:space="preserve">Behaviour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(11), 1208–1214. https://doi.org/10.1038/s41562-020-0912-z</w:t>
      </w:r>
    </w:p>
    <w:p>
      <w:pPr>
        <w:pStyle w:val="BodyText"/>
      </w:pPr>
      <w:r>
        <w:t xml:space="preserve">Steegen, S., Tuerlinckx, F., Gelman, A., &amp; Vanpaemel, W. (2016). Increasing transparency through a</w:t>
      </w:r>
      <w:r>
        <w:t xml:space="preserve"> </w:t>
      </w:r>
      <w:r>
        <w:t xml:space="preserve">multiverse analysis.</w:t>
      </w:r>
      <w:r>
        <w:t xml:space="preserve"> </w:t>
      </w:r>
      <w:r>
        <w:rPr>
          <w:i/>
          <w:iCs/>
        </w:rPr>
        <w:t xml:space="preserve">Perspectives on Psychological Science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(5), 702–712.</w:t>
      </w:r>
      <w:r>
        <w:t xml:space="preserve"> </w:t>
      </w:r>
      <w:r>
        <w:t xml:space="preserve">https://doi.org/10.1177/1745691616658637</w:t>
      </w:r>
    </w:p>
    <w:p>
      <w:pPr>
        <w:pStyle w:val="BodyText"/>
      </w:pPr>
      <w:r>
        <w:t xml:space="preserve">Valavi, R., Elith, J., Lahoz-Monfort, J. J., &amp; Guillera-Arroita, G. (2019). blockCV: An R package for</w:t>
      </w:r>
      <w:r>
        <w:t xml:space="preserve"> </w:t>
      </w:r>
      <w:r>
        <w:t xml:space="preserve">generating spatially or environmentally separated folds for k-fold cross-validation of species</w:t>
      </w:r>
      <w:r>
        <w:t xml:space="preserve"> </w:t>
      </w:r>
      <w:r>
        <w:t xml:space="preserve">distribution models.</w:t>
      </w:r>
      <w:r>
        <w:t xml:space="preserve"> </w:t>
      </w:r>
      <w:r>
        <w:rPr>
          <w:i/>
          <w:iCs/>
        </w:rPr>
        <w:t xml:space="preserve">Methods in Ecology and Evolution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(2), 225–232.</w:t>
      </w:r>
      <w:r>
        <w:t xml:space="preserve"> </w:t>
      </w:r>
      <w:r>
        <w:t xml:space="preserve">https://doi.org/10.1111/2041-210X.13107</w:t>
      </w:r>
    </w:p>
    <w:p>
      <w:pPr>
        <w:pStyle w:val="BodyText"/>
      </w:pPr>
      <w:r>
        <w:t xml:space="preserve">Warman, L. D., Sinclair, A. R. E., Scudder, G. G. E., Klinkenberg, B., &amp; Pressey, R. L. (2004).</w:t>
      </w:r>
      <w:r>
        <w:t xml:space="preserve"> </w:t>
      </w:r>
      <w:r>
        <w:t xml:space="preserve">Sensitivity of systematic reserve selection to decisions about scale, biological data, and targets:</w:t>
      </w:r>
      <w:r>
        <w:t xml:space="preserve"> </w:t>
      </w:r>
      <w:r>
        <w:t xml:space="preserve">Case study from southern British Columbia.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(3), 655–666.</w:t>
      </w:r>
      <w:r>
        <w:t xml:space="preserve"> </w:t>
      </w:r>
      <w:r>
        <w:t xml:space="preserve">https://doi.org/10.1111/j.1523-1739.2004.00538.x</w:t>
      </w:r>
    </w:p>
    <w:p>
      <w:pPr>
        <w:pStyle w:val="BodyText"/>
      </w:pPr>
      <w:r>
        <w:t xml:space="preserve">Westgate, M. J., Barton, P. S., Lane, P. W., &amp; Lindenmayer, D. B. (2014). Global meta-analysis</w:t>
      </w:r>
      <w:r>
        <w:t xml:space="preserve"> </w:t>
      </w:r>
      <w:r>
        <w:t xml:space="preserve">reveals low consistency of biodiversity congruence relationships.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(1),</w:t>
      </w:r>
      <w:r>
        <w:t xml:space="preserve"> </w:t>
      </w:r>
      <w:r>
        <w:t xml:space="preserve">Article 3899. https://doi.org/10.1038/ncomms4899</w:t>
      </w:r>
    </w:p>
    <w:p>
      <w:pPr>
        <w:pStyle w:val="BodyText"/>
      </w:pPr>
      <w:r>
        <w:t xml:space="preserve">Woinarski, J., Mackey, B., Nix, H., &amp; Traill, B. (2007).</w:t>
      </w:r>
      <w:r>
        <w:t xml:space="preserve"> </w:t>
      </w:r>
      <w:r>
        <w:rPr>
          <w:i/>
          <w:iCs/>
        </w:rPr>
        <w:t xml:space="preserve">The nature of northern Australia: Natural</w:t>
      </w:r>
      <w:r>
        <w:rPr>
          <w:i/>
          <w:iCs/>
        </w:rPr>
        <w:t xml:space="preserve"> </w:t>
      </w:r>
      <w:r>
        <w:rPr>
          <w:i/>
          <w:iCs/>
        </w:rPr>
        <w:t xml:space="preserve">values, ecological processes and future prospects</w:t>
      </w:r>
      <w:r>
        <w:t xml:space="preserve">. ANU E Press. https://doi.org/10.22459/NNA.07.2007</w:t>
      </w:r>
    </w:p>
    <w:p>
      <w:pPr>
        <w:pStyle w:val="BodyText"/>
      </w:pPr>
      <w:r>
        <w:t xml:space="preserve">Woinarski, J. C. Z., Legge, S., Fitzsimons, J. A., Traill, B. J., Burbidge, A. A., Fisher, A., Firth,</w:t>
      </w:r>
      <w:r>
        <w:t xml:space="preserve"> </w:t>
      </w:r>
      <w:r>
        <w:t xml:space="preserve">R. S. C., Gordon, I. J., Griffiths, A. D., Johnson, C. N., McKenzie, N. L., Palmer, C., Radford, I.,</w:t>
      </w:r>
      <w:r>
        <w:t xml:space="preserve"> </w:t>
      </w:r>
      <w:r>
        <w:t xml:space="preserve">Rankmore, B., Ritchie, E. G., Ward, S., &amp; Ziembicki, M. (2011). The disappearing mammal fauna of</w:t>
      </w:r>
      <w:r>
        <w:t xml:space="preserve"> </w:t>
      </w:r>
      <w:r>
        <w:t xml:space="preserve">northern Australia: Context, cause, and response.</w:t>
      </w:r>
      <w:r>
        <w:t xml:space="preserve"> </w:t>
      </w:r>
      <w:r>
        <w:rPr>
          <w:i/>
          <w:iCs/>
        </w:rPr>
        <w:t xml:space="preserve">Conservation Letters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(3), 192–201.</w:t>
      </w:r>
      <w:r>
        <w:t xml:space="preserve"> </w:t>
      </w:r>
      <w:r>
        <w:t xml:space="preserve">https://doi.org/10.1111/j.1755-263X.2011.00164.x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2026-10-04T13:44:40Z</dcterms:created>
  <dcterms:modified xsi:type="dcterms:W3CDTF">2026-10-04T13:44:40Z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