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pporting-information"/>
    <w:p>
      <w:pPr>
        <w:pStyle w:val="Heading1"/>
      </w:pPr>
      <w:r>
        <w:t xml:space="preserve">Supporting Information</w:t>
      </w:r>
    </w:p>
    <w:p>
      <w:pPr>
        <w:pStyle w:val="FirstParagraph"/>
      </w:pPr>
      <w:r>
        <w:rPr>
          <w:b/>
          <w:bCs/>
        </w:rPr>
        <w:t xml:space="preserve">Table S1. Every specification: paired NVIS minus land-system difference.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Min. polygon (ha)</w:t>
            </w:r>
          </w:p>
        </w:tc>
        <w:tc>
          <w:tcPr/>
          <w:p>
            <w:pPr>
              <w:pStyle w:val="Compact"/>
            </w:pPr>
            <w:r>
              <w:t xml:space="preserve">Class 1 excluded</w:t>
            </w:r>
          </w:p>
        </w:tc>
        <w:tc>
          <w:tcPr/>
          <w:p>
            <w:pPr>
              <w:pStyle w:val="Compact"/>
            </w:pPr>
            <w:r>
              <w:t xml:space="preserve">Difference [mHKSJ 95% CI]</w:t>
            </w:r>
          </w:p>
        </w:tc>
        <w:tc>
          <w:tcPr/>
          <w:p>
            <w:pPr>
              <w:pStyle w:val="Compact"/>
            </w:pPr>
            <w:r>
              <w:t xml:space="preserve">DL 95% CI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Highest-scoring surrogate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spearman_unit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0.208 [−0.092, 0.509]</w:t>
            </w:r>
          </w:p>
        </w:tc>
        <w:tc>
          <w:tcPr/>
          <w:p>
            <w:pPr>
              <w:pStyle w:val="Compact"/>
            </w:pPr>
            <w:r>
              <w:t xml:space="preserve">[0.027, 0.389]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spearman_unit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0.206 [−0.119, 0.530]</w:t>
            </w:r>
          </w:p>
        </w:tc>
        <w:tc>
          <w:tcPr/>
          <w:p>
            <w:pPr>
              <w:pStyle w:val="Compact"/>
            </w:pPr>
            <w:r>
              <w:t xml:space="preserve">[0.006, 0.406]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spearman_unit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0.186 [−0.170, 0.542]</w:t>
            </w:r>
          </w:p>
        </w:tc>
        <w:tc>
          <w:tcPr/>
          <w:p>
            <w:pPr>
              <w:pStyle w:val="Compact"/>
            </w:pPr>
            <w:r>
              <w:t xml:space="preserve">[−0.022, 0.393]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spearman_unit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0.167 [−0.205, 0.540]</w:t>
            </w:r>
          </w:p>
        </w:tc>
        <w:tc>
          <w:tcPr/>
          <w:p>
            <w:pPr>
              <w:pStyle w:val="Compact"/>
            </w:pPr>
            <w:r>
              <w:t xml:space="preserve">[−0.048, 0.383]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spearman_unit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0.123 [−0.206, 0.452]</w:t>
            </w:r>
          </w:p>
        </w:tc>
        <w:tc>
          <w:tcPr/>
          <w:p>
            <w:pPr>
              <w:pStyle w:val="Compact"/>
            </w:pPr>
            <w:r>
              <w:t xml:space="preserve">[−0.077, 0.323]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spearman_unit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0.106 [−0.237, 0.449]</w:t>
            </w:r>
          </w:p>
        </w:tc>
        <w:tc>
          <w:tcPr/>
          <w:p>
            <w:pPr>
              <w:pStyle w:val="Compact"/>
            </w:pPr>
            <w:r>
              <w:t xml:space="preserve">[−0.097, 0.309]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spearman_area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−0.100 [−1.081, 0.881]</w:t>
            </w:r>
          </w:p>
        </w:tc>
        <w:tc>
          <w:tcPr/>
          <w:p>
            <w:pPr>
              <w:pStyle w:val="Compact"/>
            </w:pPr>
            <w:r>
              <w:t xml:space="preserve">[−0.705, 0.504]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spearman_area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−0.120 [−1.109, 0.870]</w:t>
            </w:r>
          </w:p>
        </w:tc>
        <w:tc>
          <w:tcPr/>
          <w:p>
            <w:pPr>
              <w:pStyle w:val="Compact"/>
            </w:pPr>
            <w:r>
              <w:t xml:space="preserve">[−0.729, 0.490]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spearman_area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−0.108 [−1.101, 0.885]</w:t>
            </w:r>
          </w:p>
        </w:tc>
        <w:tc>
          <w:tcPr/>
          <w:p>
            <w:pPr>
              <w:pStyle w:val="Compact"/>
            </w:pPr>
            <w:r>
              <w:t xml:space="preserve">[−0.720, 0.503]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spearman_area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−0.116 [−1.093, 0.861]</w:t>
            </w:r>
          </w:p>
        </w:tc>
        <w:tc>
          <w:tcPr/>
          <w:p>
            <w:pPr>
              <w:pStyle w:val="Compact"/>
            </w:pPr>
            <w:r>
              <w:t xml:space="preserve">[−0.718, 0.486]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spearman_area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−0.109 [−1.117, 0.899]</w:t>
            </w:r>
          </w:p>
        </w:tc>
        <w:tc>
          <w:tcPr/>
          <w:p>
            <w:pPr>
              <w:pStyle w:val="Compact"/>
            </w:pPr>
            <w:r>
              <w:t xml:space="preserve">[−0.729, 0.512]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spearman_area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−0.126 [−1.102, 0.850]</w:t>
            </w:r>
          </w:p>
        </w:tc>
        <w:tc>
          <w:tcPr/>
          <w:p>
            <w:pPr>
              <w:pStyle w:val="Compact"/>
            </w:pPr>
            <w:r>
              <w:t xml:space="preserve">[−0.727, 0.475]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auc_ge4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0.158 [−0.003, 0.320]</w:t>
            </w:r>
          </w:p>
        </w:tc>
        <w:tc>
          <w:tcPr/>
          <w:p>
            <w:pPr>
              <w:pStyle w:val="Compact"/>
            </w:pPr>
            <w:r>
              <w:t xml:space="preserve">[0.059, 0.258]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auc_ge4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0.162 [−0.023, 0.346]</w:t>
            </w:r>
          </w:p>
        </w:tc>
        <w:tc>
          <w:tcPr/>
          <w:p>
            <w:pPr>
              <w:pStyle w:val="Compact"/>
            </w:pPr>
            <w:r>
              <w:t xml:space="preserve">[0.048, 0.275]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auc_ge4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0.216 [−0.051, 0.482]</w:t>
            </w:r>
          </w:p>
        </w:tc>
        <w:tc>
          <w:tcPr/>
          <w:p>
            <w:pPr>
              <w:pStyle w:val="Compact"/>
            </w:pPr>
            <w:r>
              <w:t xml:space="preserve">[0.051, 0.380]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auc_ge4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0.215 [−0.079, 0.508]</w:t>
            </w:r>
          </w:p>
        </w:tc>
        <w:tc>
          <w:tcPr/>
          <w:p>
            <w:pPr>
              <w:pStyle w:val="Compact"/>
            </w:pPr>
            <w:r>
              <w:t xml:space="preserve">[0.034, 0.395]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auc_ge4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0.120 [0.019, 0.220]</w:t>
            </w:r>
          </w:p>
        </w:tc>
        <w:tc>
          <w:tcPr/>
          <w:p>
            <w:pPr>
              <w:pStyle w:val="Compact"/>
            </w:pPr>
            <w:r>
              <w:t xml:space="preserve">[0.058, 0.182]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auc_ge4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0.130 [−0.022, 0.282]</w:t>
            </w:r>
          </w:p>
        </w:tc>
        <w:tc>
          <w:tcPr/>
          <w:p>
            <w:pPr>
              <w:pStyle w:val="Compact"/>
            </w:pPr>
            <w:r>
              <w:t xml:space="preserve">[0.037, 0.223]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auc_eq5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0.095 [−0.794, 0.983]</w:t>
            </w:r>
          </w:p>
        </w:tc>
        <w:tc>
          <w:tcPr/>
          <w:p>
            <w:pPr>
              <w:pStyle w:val="Compact"/>
            </w:pPr>
            <w:r>
              <w:t xml:space="preserve">[−0.310, 0.499]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auc_eq5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0.094 [−0.788, 0.976]</w:t>
            </w:r>
          </w:p>
        </w:tc>
        <w:tc>
          <w:tcPr/>
          <w:p>
            <w:pPr>
              <w:pStyle w:val="Compact"/>
            </w:pPr>
            <w:r>
              <w:t xml:space="preserve">[−0.308, 0.496]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auc_eq5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−0.003 [−1.218, 1.213]</w:t>
            </w:r>
          </w:p>
        </w:tc>
        <w:tc>
          <w:tcPr/>
          <w:p>
            <w:pPr>
              <w:pStyle w:val="Compact"/>
            </w:pPr>
            <w:r>
              <w:t xml:space="preserve">[−0.556, 0.551]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auc_eq5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−0.006 [−1.259, 1.248]</w:t>
            </w:r>
          </w:p>
        </w:tc>
        <w:tc>
          <w:tcPr/>
          <w:p>
            <w:pPr>
              <w:pStyle w:val="Compact"/>
            </w:pPr>
            <w:r>
              <w:t xml:space="preserve">[−0.577, 0.565]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auc_eq5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−0.031 [−1.180, 1.118]</w:t>
            </w:r>
          </w:p>
        </w:tc>
        <w:tc>
          <w:tcPr/>
          <w:p>
            <w:pPr>
              <w:pStyle w:val="Compact"/>
            </w:pPr>
            <w:r>
              <w:t xml:space="preserve">[−0.554, 0.493]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auc_eq5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−0.032 [−1.174, 1.110]</w:t>
            </w:r>
          </w:p>
        </w:tc>
        <w:tc>
          <w:tcPr/>
          <w:p>
            <w:pPr>
              <w:pStyle w:val="Compact"/>
            </w:pPr>
            <w:r>
              <w:t xml:space="preserve">[−0.552, 0.488]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kendall_tau_b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0.171 [−0.068, 0.410]</w:t>
            </w:r>
          </w:p>
        </w:tc>
        <w:tc>
          <w:tcPr/>
          <w:p>
            <w:pPr>
              <w:pStyle w:val="Compact"/>
            </w:pPr>
            <w:r>
              <w:t xml:space="preserve">[0.026, 0.317]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kendall_tau_b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0.164 [−0.087, 0.415]</w:t>
            </w:r>
          </w:p>
        </w:tc>
        <w:tc>
          <w:tcPr/>
          <w:p>
            <w:pPr>
              <w:pStyle w:val="Compact"/>
            </w:pPr>
            <w:r>
              <w:t xml:space="preserve">[0.010, 0.318]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kendall_tau_b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0.148 [−0.143, 0.439]</w:t>
            </w:r>
          </w:p>
        </w:tc>
        <w:tc>
          <w:tcPr/>
          <w:p>
            <w:pPr>
              <w:pStyle w:val="Compact"/>
            </w:pPr>
            <w:r>
              <w:t xml:space="preserve">[−0.024, 0.320]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kendall_tau_b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0.127 [−0.175, 0.429]</w:t>
            </w:r>
          </w:p>
        </w:tc>
        <w:tc>
          <w:tcPr/>
          <w:p>
            <w:pPr>
              <w:pStyle w:val="Compact"/>
            </w:pPr>
            <w:r>
              <w:t xml:space="preserve">[−0.045, 0.299]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kendall_tau_b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0.093 [−0.189, 0.375]</w:t>
            </w:r>
          </w:p>
        </w:tc>
        <w:tc>
          <w:tcPr/>
          <w:p>
            <w:pPr>
              <w:pStyle w:val="Compact"/>
            </w:pPr>
            <w:r>
              <w:t xml:space="preserve">[−0.081, 0.266]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kendall_tau_b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0.075 [−0.211, 0.361]</w:t>
            </w:r>
          </w:p>
        </w:tc>
        <w:tc>
          <w:tcPr/>
          <w:p>
            <w:pPr>
              <w:pStyle w:val="Compact"/>
            </w:pPr>
            <w:r>
              <w:t xml:space="preserve">[−0.097, 0.247]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S2. NVIS agreement after removing rare vegetation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Polygons removed</w:t>
            </w:r>
          </w:p>
        </w:tc>
        <w:tc>
          <w:tcPr/>
          <w:p>
            <w:pPr>
              <w:pStyle w:val="Compact"/>
            </w:pPr>
            <w:r>
              <w:t xml:space="preserve">ρ per polygon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rarity=0.319 (share BIORISK&gt;=4: 0.90)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rarity=0.420 (share BIORISK&gt;=4: 0.96)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all rarity&gt;=0.25</w:t>
            </w:r>
          </w:p>
        </w:tc>
        <w:tc>
          <w:tcPr/>
          <w:p>
            <w:pPr>
              <w:pStyle w:val="Compact"/>
            </w:pPr>
            <w:r>
              <w:t xml:space="preserve">928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all rarity&gt;=0.25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rarity=0.262 (share BIORISK&gt;=4: 0.99)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rarity=0.477 (share BIORISK&gt;=4: 1.00)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all rarity&gt;=0.25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rarity=0.477 (share BIORISK&gt;=4: 1.00)</w:t>
            </w:r>
          </w:p>
        </w:tc>
        <w:tc>
          <w:tcPr/>
          <w:p>
            <w:pPr>
              <w:pStyle w:val="Compact"/>
            </w:pPr>
            <w:r>
              <w:t xml:space="preserve">1668</w:t>
            </w:r>
          </w:p>
        </w:tc>
        <w:tc>
          <w:tcPr/>
          <w:p>
            <w:pPr>
              <w:pStyle w:val="Compac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rarity=0.383 (share BIORISK&gt;=4: 0.74)</w:t>
            </w:r>
          </w:p>
        </w:tc>
        <w:tc>
          <w:tcPr/>
          <w:p>
            <w:pPr>
              <w:pStyle w:val="Compact"/>
            </w:pPr>
            <w:r>
              <w:t xml:space="preserve">1454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rarity=0.517 (share BIORISK&gt;=4: 0.94)</w:t>
            </w:r>
          </w:p>
        </w:tc>
        <w:tc>
          <w:tcPr/>
          <w:p>
            <w:pPr>
              <w:pStyle w:val="Compact"/>
            </w:pPr>
            <w:r>
              <w:t xml:space="preserve">1181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rarity=0.319 (share BIORISK&gt;=4: 0.85)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rarity=0.262 (share BIORISK&gt;=4: 1.00)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all rarity&gt;=0.25</w:t>
            </w:r>
          </w:p>
        </w:tc>
        <w:tc>
          <w:tcPr/>
          <w:p>
            <w:pPr>
              <w:pStyle w:val="Compact"/>
            </w:pPr>
            <w:r>
              <w:t xml:space="preserve">7421</w:t>
            </w:r>
          </w:p>
        </w:tc>
        <w:tc>
          <w:tcPr/>
          <w:p>
            <w:pPr>
              <w:pStyle w:val="Compact"/>
            </w:pPr>
            <w:r>
              <w:t xml:space="preserve">−0.043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Well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Well</w:t>
            </w:r>
          </w:p>
        </w:tc>
        <w:tc>
          <w:tcPr/>
          <w:p>
            <w:pPr>
              <w:pStyle w:val="Compact"/>
            </w:pPr>
            <w:r>
              <w:t xml:space="preserve">all rarity&gt;=0.25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Weddell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Weddell</w:t>
            </w:r>
          </w:p>
        </w:tc>
        <w:tc>
          <w:tcPr/>
          <w:p>
            <w:pPr>
              <w:pStyle w:val="Compact"/>
            </w:pPr>
            <w:r>
              <w:t xml:space="preserve">rarity=0.477 (share BIORISK&gt;=4: 0.98)</w:t>
            </w:r>
          </w:p>
        </w:tc>
        <w:tc>
          <w:tcPr/>
          <w:p>
            <w:pPr>
              <w:pStyle w:val="Compact"/>
            </w:pPr>
            <w:r>
              <w:t xml:space="preserve">1537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Weddell</w:t>
            </w:r>
          </w:p>
        </w:tc>
        <w:tc>
          <w:tcPr/>
          <w:p>
            <w:pPr>
              <w:pStyle w:val="Compact"/>
            </w:pPr>
            <w:r>
              <w:t xml:space="preserve">all rarity&gt;=0.25</w:t>
            </w:r>
          </w:p>
        </w:tc>
        <w:tc>
          <w:tcPr/>
          <w:p>
            <w:pPr>
              <w:pStyle w:val="Compact"/>
            </w:pPr>
            <w:r>
              <w:t xml:space="preserve">2828</w:t>
            </w:r>
          </w:p>
        </w:tc>
        <w:tc>
          <w:tcPr/>
          <w:p>
            <w:pPr>
              <w:pStyle w:val="Compact"/>
            </w:pPr>
            <w:r>
              <w:t xml:space="preserve">−0.034</w:t>
            </w:r>
          </w:p>
        </w:tc>
      </w:tr>
    </w:tbl>
    <w:p>
      <w:pPr>
        <w:pStyle w:val="BodyText"/>
      </w:pPr>
      <w:r>
        <w:t xml:space="preserve">Groups are identified by their NT-wide rarity value (rounded to 3 d.p.); share of BIORISK ≥ 4 in brackets.</w:t>
      </w:r>
    </w:p>
    <w:p>
      <w:pPr>
        <w:pStyle w:val="BodyText"/>
      </w:pPr>
      <w:r>
        <w:rPr>
          <w:b/>
          <w:bCs/>
        </w:rPr>
        <w:t xml:space="preserve">Table S3. Pooled per-polygon ρ after excluding class 1 (nil or highly modified).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ρ [mHKSJ 95% CI]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0.088 [−0.013, 0.187]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0.220 [0.057, 0.371]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0.076 [−0.176, 0.318]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0.021 [−0.506, 0.537]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−0.015 [−0.222, 0.193]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S4. Pooled estimates under three random-effects interval methods.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ρ</w:t>
            </w:r>
          </w:p>
        </w:tc>
        <w:tc>
          <w:tcPr/>
          <w:p>
            <w:pPr>
              <w:pStyle w:val="Compact"/>
            </w:pPr>
            <w:r>
              <w:t xml:space="preserve">DerSimonian–Laird</w:t>
            </w:r>
          </w:p>
        </w:tc>
        <w:tc>
          <w:tcPr/>
          <w:p>
            <w:pPr>
              <w:pStyle w:val="Compact"/>
            </w:pPr>
            <w:r>
              <w:t xml:space="preserve">HKSJ</w:t>
            </w:r>
          </w:p>
        </w:tc>
        <w:tc>
          <w:tcPr/>
          <w:p>
            <w:pPr>
              <w:pStyle w:val="Compact"/>
            </w:pPr>
            <w:r>
              <w:t xml:space="preserve">Modified HKSJ</w:t>
            </w:r>
          </w:p>
        </w:tc>
        <w:tc>
          <w:tcPr/>
          <w:p>
            <w:pPr>
              <w:pStyle w:val="Compact"/>
            </w:pPr>
            <w:r>
              <w:t xml:space="preserve">I² (%)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Leave-one-out range</w:t>
            </w:r>
          </w:p>
        </w:tc>
        <w:tc>
          <w:tcPr/>
          <w:p>
            <w:pPr>
              <w:pStyle w:val="Compact"/>
            </w:pPr>
            <w:r>
              <w:t xml:space="preserve">Catchments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[0.031, 0.152]</w:t>
            </w:r>
          </w:p>
        </w:tc>
        <w:tc>
          <w:tcPr/>
          <w:p>
            <w:pPr>
              <w:pStyle w:val="Compact"/>
            </w:pPr>
            <w:r>
              <w:t xml:space="preserve">[0.030, 0.153]</w:t>
            </w:r>
          </w:p>
        </w:tc>
        <w:tc>
          <w:tcPr/>
          <w:p>
            <w:pPr>
              <w:pStyle w:val="Compact"/>
            </w:pPr>
            <w:r>
              <w:t xml:space="preserve">[−0.008, 0.189]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[0.076, 0.118]</w:t>
            </w:r>
          </w:p>
        </w:tc>
        <w:tc>
          <w:tcPr/>
          <w:p>
            <w:pPr>
              <w:pStyle w:val="Compact"/>
            </w:pPr>
            <w:r>
              <w:t xml:space="preserve">Roper;Larrimah;Wadeye;GunnPoint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[0.080, 0.427]</w:t>
            </w:r>
          </w:p>
        </w:tc>
        <w:tc>
          <w:tcPr/>
          <w:p>
            <w:pPr>
              <w:pStyle w:val="Compact"/>
            </w:pPr>
            <w:r>
              <w:t xml:space="preserve">[0.017, 0.477]</w:t>
            </w:r>
          </w:p>
        </w:tc>
        <w:tc>
          <w:tcPr/>
          <w:p>
            <w:pPr>
              <w:pStyle w:val="Compact"/>
            </w:pPr>
            <w:r>
              <w:t xml:space="preserve">[−0.037, 0.518]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[0.228, 0.305]</w:t>
            </w:r>
          </w:p>
        </w:tc>
        <w:tc>
          <w:tcPr/>
          <w:p>
            <w:pPr>
              <w:pStyle w:val="Compact"/>
            </w:pPr>
            <w:r>
              <w:t xml:space="preserve">Roper;Larrimah;Wadeye;GunnPoint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[0.147, 0.312]</w:t>
            </w:r>
          </w:p>
        </w:tc>
        <w:tc>
          <w:tcPr/>
          <w:p>
            <w:pPr>
              <w:pStyle w:val="Compact"/>
            </w:pPr>
            <w:r>
              <w:t xml:space="preserve">[0.083, 0.369]</w:t>
            </w:r>
          </w:p>
        </w:tc>
        <w:tc>
          <w:tcPr/>
          <w:p>
            <w:pPr>
              <w:pStyle w:val="Compact"/>
            </w:pPr>
            <w:r>
              <w:t xml:space="preserve">[0.083, 0.369]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[0.216, 0.279]</w:t>
            </w:r>
          </w:p>
        </w:tc>
        <w:tc>
          <w:tcPr/>
          <w:p>
            <w:pPr>
              <w:pStyle w:val="Compact"/>
            </w:pPr>
            <w:r>
              <w:t xml:space="preserve">Roper;Larrimah;Wadeye;GunnPoint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0.245</w:t>
            </w:r>
          </w:p>
        </w:tc>
        <w:tc>
          <w:tcPr/>
          <w:p>
            <w:pPr>
              <w:pStyle w:val="Compact"/>
            </w:pPr>
            <w:r>
              <w:t xml:space="preserve">[−0.350, 0.700]</w:t>
            </w:r>
          </w:p>
        </w:tc>
        <w:tc>
          <w:tcPr/>
          <w:p>
            <w:pPr>
              <w:pStyle w:val="Compact"/>
            </w:pPr>
            <w:r>
              <w:t xml:space="preserve">[−0.504, 0.784]</w:t>
            </w:r>
          </w:p>
        </w:tc>
        <w:tc>
          <w:tcPr/>
          <w:p>
            <w:pPr>
              <w:pStyle w:val="Compact"/>
            </w:pPr>
            <w:r>
              <w:t xml:space="preserve">[−0.635, 0.848]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[0.067, 0.538]</w:t>
            </w:r>
          </w:p>
        </w:tc>
        <w:tc>
          <w:tcPr/>
          <w:p>
            <w:pPr>
              <w:pStyle w:val="Compact"/>
            </w:pPr>
            <w:r>
              <w:t xml:space="preserve">Roper;Larrimah;Wadeye;GunnPoint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[−0.069, 0.248]</w:t>
            </w:r>
          </w:p>
        </w:tc>
        <w:tc>
          <w:tcPr/>
          <w:p>
            <w:pPr>
              <w:pStyle w:val="Compact"/>
            </w:pPr>
            <w:r>
              <w:t xml:space="preserve">[−0.100, 0.276]</w:t>
            </w:r>
          </w:p>
        </w:tc>
        <w:tc>
          <w:tcPr/>
          <w:p>
            <w:pPr>
              <w:pStyle w:val="Compact"/>
            </w:pPr>
            <w:r>
              <w:t xml:space="preserve">[−0.168, 0.339]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[0.008, 0.191]</w:t>
            </w:r>
          </w:p>
        </w:tc>
        <w:tc>
          <w:tcPr/>
          <w:p>
            <w:pPr>
              <w:pStyle w:val="Compact"/>
            </w:pPr>
            <w:r>
              <w:t xml:space="preserve">Roper;Larrimah;Wadeye;GunnPoint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−0.088</w:t>
            </w:r>
          </w:p>
        </w:tc>
        <w:tc>
          <w:tcPr/>
          <w:p>
            <w:pPr>
              <w:pStyle w:val="Compact"/>
            </w:pPr>
            <w:r>
              <w:t xml:space="preserve">[−0.239, 0.067]</w:t>
            </w:r>
          </w:p>
        </w:tc>
        <w:tc>
          <w:tcPr/>
          <w:p>
            <w:pPr>
              <w:pStyle w:val="Compact"/>
            </w:pPr>
            <w:r>
              <w:t xml:space="preserve">[−0.182, 0.007]</w:t>
            </w:r>
          </w:p>
        </w:tc>
        <w:tc>
          <w:tcPr/>
          <w:p>
            <w:pPr>
              <w:pStyle w:val="Compact"/>
            </w:pPr>
            <w:r>
              <w:t xml:space="preserve">[−0.328, 0.163]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[−0.106, −0.069]</w:t>
            </w:r>
          </w:p>
        </w:tc>
        <w:tc>
          <w:tcPr/>
          <w:p>
            <w:pPr>
              <w:pStyle w:val="Compact"/>
            </w:pPr>
            <w:r>
              <w:t xml:space="preserve">Roper;Larrimah;Wadeye;GunnPoint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[−0.176, 0.269]</w:t>
            </w:r>
          </w:p>
        </w:tc>
        <w:tc>
          <w:tcPr/>
          <w:p>
            <w:pPr>
              <w:pStyle w:val="Compact"/>
            </w:pPr>
            <w:r>
              <w:t xml:space="preserve">[−0.351, 0.434]</w:t>
            </w:r>
          </w:p>
        </w:tc>
        <w:tc>
          <w:tcPr/>
          <w:p>
            <w:pPr>
              <w:pStyle w:val="Compact"/>
            </w:pPr>
            <w:r>
              <w:t xml:space="preserve">[−0.421, 0.499]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[−0.075, 0.194]</w:t>
            </w:r>
          </w:p>
        </w:tc>
        <w:tc>
          <w:tcPr/>
          <w:p>
            <w:pPr>
              <w:pStyle w:val="Compact"/>
            </w:pPr>
            <w:r>
              <w:t xml:space="preserve">Roper;Larrimah;GunnPoint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[−0.152, 0.246]</w:t>
            </w:r>
          </w:p>
        </w:tc>
        <w:tc>
          <w:tcPr/>
          <w:p>
            <w:pPr>
              <w:pStyle w:val="Compact"/>
            </w:pPr>
            <w:r>
              <w:t xml:space="preserve">[−0.124, 0.219]</w:t>
            </w:r>
          </w:p>
        </w:tc>
        <w:tc>
          <w:tcPr/>
          <w:p>
            <w:pPr>
              <w:pStyle w:val="Compact"/>
            </w:pPr>
            <w:r>
              <w:t xml:space="preserve">[−0.376, 0.457]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[−0.046, 0.078]</w:t>
            </w:r>
          </w:p>
        </w:tc>
        <w:tc>
          <w:tcPr/>
          <w:p>
            <w:pPr>
              <w:pStyle w:val="Compact"/>
            </w:pPr>
            <w:r>
              <w:t xml:space="preserve">Roper;Larrimah;GunnPoint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−0.017</w:t>
            </w:r>
          </w:p>
        </w:tc>
        <w:tc>
          <w:tcPr/>
          <w:p>
            <w:pPr>
              <w:pStyle w:val="Compact"/>
            </w:pPr>
            <w:r>
              <w:t xml:space="preserve">[−0.051, 0.018]</w:t>
            </w:r>
          </w:p>
        </w:tc>
        <w:tc>
          <w:tcPr/>
          <w:p>
            <w:pPr>
              <w:pStyle w:val="Compact"/>
            </w:pPr>
            <w:r>
              <w:t xml:space="preserve">[−0.032, −0.001]</w:t>
            </w:r>
          </w:p>
        </w:tc>
        <w:tc>
          <w:tcPr/>
          <w:p>
            <w:pPr>
              <w:pStyle w:val="Compact"/>
            </w:pPr>
            <w:r>
              <w:t xml:space="preserve">[−0.235, 0.204]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n.e.</w:t>
            </w:r>
          </w:p>
        </w:tc>
        <w:tc>
          <w:tcPr/>
          <w:p>
            <w:pPr>
              <w:pStyle w:val="Compact"/>
            </w:pPr>
            <w:r>
              <w:t xml:space="preserve">Roper;GunnPoint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−0.236</w:t>
            </w:r>
          </w:p>
        </w:tc>
        <w:tc>
          <w:tcPr/>
          <w:p>
            <w:pPr>
              <w:pStyle w:val="Compact"/>
            </w:pPr>
            <w:r>
              <w:t xml:space="preserve">[−0.444, −0.003]</w:t>
            </w:r>
          </w:p>
        </w:tc>
        <w:tc>
          <w:tcPr/>
          <w:p>
            <w:pPr>
              <w:pStyle w:val="Compact"/>
            </w:pPr>
            <w:r>
              <w:t xml:space="preserve">[−0.908, 0.777]</w:t>
            </w:r>
          </w:p>
        </w:tc>
        <w:tc>
          <w:tcPr/>
          <w:p>
            <w:pPr>
              <w:pStyle w:val="Compact"/>
            </w:pPr>
            <w:r>
              <w:t xml:space="preserve">[−0.944, 0.861]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n.e.</w:t>
            </w:r>
          </w:p>
        </w:tc>
        <w:tc>
          <w:tcPr/>
          <w:p>
            <w:pPr>
              <w:pStyle w:val="Compact"/>
            </w:pPr>
            <w:r>
              <w:t xml:space="preserve">Roper;GunnPoint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NVIS, partial (land-system, convertibility)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  <w:r>
              <w:t xml:space="preserve">[0.075, 0.259]</w:t>
            </w:r>
          </w:p>
        </w:tc>
        <w:tc>
          <w:tcPr/>
          <w:p>
            <w:pPr>
              <w:pStyle w:val="Compact"/>
            </w:pPr>
            <w:r>
              <w:t xml:space="preserve">[−0.022, 0.347]</w:t>
            </w:r>
          </w:p>
        </w:tc>
        <w:tc>
          <w:tcPr/>
          <w:p>
            <w:pPr>
              <w:pStyle w:val="Compact"/>
            </w:pPr>
            <w:r>
              <w:t xml:space="preserve">[−0.022, 0.347]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[0.137, 0.241]</w:t>
            </w:r>
          </w:p>
        </w:tc>
        <w:tc>
          <w:tcPr/>
          <w:p>
            <w:pPr>
              <w:pStyle w:val="Compact"/>
            </w:pPr>
            <w:r>
              <w:t xml:space="preserve">Roper;Larrimah;Wadeye;GunnPoint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S5. Greater Weddell (biodiversity-values scale; not pooled).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ρ</w:t>
            </w:r>
          </w:p>
        </w:tc>
        <w:tc>
          <w:tcPr/>
          <w:p>
            <w:pPr>
              <w:pStyle w:val="Compact"/>
            </w:pPr>
            <w:r>
              <w:t xml:space="preserve">Polygons</w:t>
            </w:r>
          </w:p>
        </w:tc>
        <w:tc>
          <w:tcPr/>
          <w:p>
            <w:pPr>
              <w:pStyle w:val="Compact"/>
            </w:pPr>
            <w:r>
              <w:t xml:space="preserve">10 km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−0.096</w:t>
            </w:r>
          </w:p>
        </w:tc>
        <w:tc>
          <w:tcPr/>
          <w:p>
            <w:pPr>
              <w:pStyle w:val="Compact"/>
            </w:pPr>
            <w:r>
              <w:t xml:space="preserve">20437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−0.123</w:t>
            </w:r>
          </w:p>
        </w:tc>
        <w:tc>
          <w:tcPr/>
          <w:p>
            <w:pPr>
              <w:pStyle w:val="Compact"/>
            </w:pPr>
            <w:r>
              <w:t xml:space="preserve">20437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  <w:tc>
          <w:tcPr/>
          <w:p>
            <w:pPr>
              <w:pStyle w:val="Compact"/>
            </w:pPr>
            <w:r>
              <w:t xml:space="preserve">19251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0.434</w:t>
            </w:r>
          </w:p>
        </w:tc>
        <w:tc>
          <w:tcPr/>
          <w:p>
            <w:pPr>
              <w:pStyle w:val="Compact"/>
            </w:pPr>
            <w:r>
              <w:t xml:space="preserve">19251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−0.033</w:t>
            </w:r>
          </w:p>
        </w:tc>
        <w:tc>
          <w:tcPr/>
          <w:p>
            <w:pPr>
              <w:pStyle w:val="Compact"/>
            </w:pPr>
            <w:r>
              <w:t xml:space="preserve">12994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12994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18412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18412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20481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20481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NVIS, partial (land-system, convertibility)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17187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S6. Results under the originally pre-specified inference (KNN effective sample size).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ρ [95% CI]</w:t>
            </w:r>
          </w:p>
        </w:tc>
        <w:tc>
          <w:tcPr/>
          <w:p>
            <w:pPr>
              <w:pStyle w:val="Compact"/>
            </w:pPr>
            <w:r>
              <w:t xml:space="preserve">I² (%)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0.106 [0.057, 0.155]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0.301 [0.264, 0.336]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0.262 [0.179, 0.342]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0.287 [−0.424, 0.779]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0.085 [−0.104, 0.269]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−0.034 [−0.062, −0.006]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0.079 [−0.167, 0.315]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−0.025 [−0.173, 0.124]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E-UNIT</w:t>
            </w:r>
          </w:p>
        </w:tc>
        <w:tc>
          <w:tcPr/>
          <w:p>
            <w:pPr>
              <w:pStyle w:val="Compact"/>
            </w:pPr>
            <w:r>
              <w:t xml:space="preserve">−0.019 [−0.049, 0.012]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E-AREA</w:t>
            </w:r>
          </w:p>
        </w:tc>
        <w:tc>
          <w:tcPr/>
          <w:p>
            <w:pPr>
              <w:pStyle w:val="Compact"/>
            </w:pPr>
            <w:r>
              <w:t xml:space="preserve">−0.418 [−0.698, −0.027]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Pre-specified method (P3.PR2.2), replaced by the spatial block bootstrap after it was found to under-represent long-range dependence (Section 2.5).</w:t>
      </w:r>
    </w:p>
    <w:p>
      <w:pPr>
        <w:pStyle w:val="BodyText"/>
      </w:pPr>
      <w:r>
        <w:rPr>
          <w:b/>
          <w:bCs/>
        </w:rPr>
        <w:t xml:space="preserve">Table S7. Area-weighted ρ before and after removing the largest 5% of polygons.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All polygons</w:t>
            </w:r>
          </w:p>
        </w:tc>
        <w:tc>
          <w:tcPr/>
          <w:p>
            <w:pPr>
              <w:pStyle w:val="Compact"/>
            </w:pPr>
            <w:r>
              <w:t xml:space="preserve">Largest 5%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−0.157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−0.044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−0.082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−0.228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0.516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−0.362</w:t>
            </w:r>
          </w:p>
        </w:tc>
        <w:tc>
          <w:tcPr/>
          <w:p>
            <w:pPr>
              <w:pStyle w:val="Compact"/>
            </w:pPr>
            <w:r>
              <w:t xml:space="preserve">0.326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−0.263</w:t>
            </w:r>
          </w:p>
        </w:tc>
        <w:tc>
          <w:tcPr/>
          <w:p>
            <w:pPr>
              <w:pStyle w:val="Compact"/>
            </w:pPr>
            <w:r>
              <w:t xml:space="preserve">0.457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0.408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0.658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−0.079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0.308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−0.028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−0.577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Well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−0.004</w:t>
            </w:r>
          </w:p>
        </w:tc>
        <w:tc>
          <w:tcPr/>
          <w:p>
            <w:pPr>
              <w:pStyle w:val="Compact"/>
            </w:pPr>
            <w:r>
              <w:t xml:space="preserve">n.e.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Well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n.e.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Well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−0.422</w:t>
            </w:r>
          </w:p>
        </w:tc>
        <w:tc>
          <w:tcPr/>
          <w:p>
            <w:pPr>
              <w:pStyle w:val="Compact"/>
            </w:pPr>
            <w:r>
              <w:t xml:space="preserve">n.e.</w:t>
            </w:r>
          </w:p>
        </w:tc>
      </w:tr>
    </w:tbl>
    <w:p>
      <w:pPr>
        <w:pStyle w:val="BodyText"/>
      </w:pPr>
      <w:r>
        <w:t xml:space="preserve">Pre-specified leverage check (P3.PR2.5), applied to every surrogate. P3 weighting (unweighted ranks).</w:t>
      </w:r>
    </w:p>
    <w:p>
      <w:pPr>
        <w:pStyle w:val="BodyText"/>
      </w:pPr>
      <w:r>
        <w:rPr>
          <w:b/>
          <w:bCs/>
        </w:rPr>
        <w:t xml:space="preserve">Table S8. Per-polygon ρ as polygons below a minimum area are removed.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≥ 0.01 ha</w:t>
            </w:r>
          </w:p>
        </w:tc>
        <w:tc>
          <w:tcPr/>
          <w:p>
            <w:pPr>
              <w:pStyle w:val="Compact"/>
            </w:pPr>
            <w:r>
              <w:t xml:space="preserve">≥ 0.1 ha</w:t>
            </w:r>
          </w:p>
        </w:tc>
        <w:tc>
          <w:tcPr/>
          <w:p>
            <w:pPr>
              <w:pStyle w:val="Compact"/>
            </w:pPr>
            <w:r>
              <w:t xml:space="preserve">≥ 0.5 ha</w:t>
            </w:r>
          </w:p>
        </w:tc>
        <w:tc>
          <w:tcPr/>
          <w:p>
            <w:pPr>
              <w:pStyle w:val="Compact"/>
            </w:pPr>
            <w:r>
              <w:t xml:space="preserve">≥ 1 ha</w:t>
            </w:r>
          </w:p>
        </w:tc>
        <w:tc>
          <w:tcPr/>
          <w:p>
            <w:pPr>
              <w:pStyle w:val="Compact"/>
            </w:pPr>
            <w:r>
              <w:t xml:space="preserve">≥ 5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Well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Well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Well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−0.057</w:t>
            </w:r>
          </w:p>
        </w:tc>
        <w:tc>
          <w:tcPr/>
          <w:p>
            <w:pPr>
              <w:pStyle w:val="Compact"/>
            </w:pPr>
            <w:r>
              <w:t xml:space="preserve">−0.058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0.196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−0.020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  <w:tc>
          <w:tcPr/>
          <w:p>
            <w:pPr>
              <w:pStyle w:val="Compact"/>
            </w:pPr>
            <w:r>
              <w:t xml:space="preserve">0.355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 Point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−0.032</w:t>
            </w:r>
          </w:p>
        </w:tc>
        <w:tc>
          <w:tcPr/>
          <w:p>
            <w:pPr>
              <w:pStyle w:val="Compact"/>
            </w:pPr>
            <w:r>
              <w:t xml:space="preserve">−0.032</w:t>
            </w:r>
          </w:p>
        </w:tc>
        <w:tc>
          <w:tcPr/>
          <w:p>
            <w:pPr>
              <w:pStyle w:val="Compact"/>
            </w:pPr>
            <w:r>
              <w:t xml:space="preserve">−0.032</w:t>
            </w:r>
          </w:p>
        </w:tc>
        <w:tc>
          <w:tcPr/>
          <w:p>
            <w:pPr>
              <w:pStyle w:val="Compact"/>
            </w:pPr>
            <w:r>
              <w:t xml:space="preserve">−0.032</w:t>
            </w:r>
          </w:p>
        </w:tc>
        <w:tc>
          <w:tcPr/>
          <w:p>
            <w:pPr>
              <w:pStyle w:val="Compact"/>
            </w:pPr>
            <w:r>
              <w:t xml:space="preserve">−0.032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Larrimah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0.234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−0.079</w:t>
            </w:r>
          </w:p>
        </w:tc>
        <w:tc>
          <w:tcPr/>
          <w:p>
            <w:pPr>
              <w:pStyle w:val="Compact"/>
            </w:pPr>
            <w:r>
              <w:t xml:space="preserve">−0.082</w:t>
            </w:r>
          </w:p>
        </w:tc>
        <w:tc>
          <w:tcPr/>
          <w:p>
            <w:pPr>
              <w:pStyle w:val="Compact"/>
            </w:pPr>
            <w:r>
              <w:t xml:space="preserve">−0.082</w:t>
            </w:r>
          </w:p>
        </w:tc>
        <w:tc>
          <w:tcPr/>
          <w:p>
            <w:pPr>
              <w:pStyle w:val="Compact"/>
            </w:pPr>
            <w:r>
              <w:t xml:space="preserve">−0.061</w:t>
            </w:r>
          </w:p>
        </w:tc>
        <w:tc>
          <w:tcPr/>
          <w:p>
            <w:pPr>
              <w:pStyle w:val="Compact"/>
            </w:pPr>
            <w:r>
              <w:t xml:space="preserve">−0.051</w:t>
            </w:r>
          </w:p>
        </w:tc>
        <w:tc>
          <w:tcPr/>
          <w:p>
            <w:pPr>
              <w:pStyle w:val="Compact"/>
            </w:pPr>
            <w:r>
              <w:t xml:space="preserve">−0.049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−0.016</w:t>
            </w:r>
          </w:p>
        </w:tc>
        <w:tc>
          <w:tcPr/>
          <w:p>
            <w:pPr>
              <w:pStyle w:val="Compact"/>
            </w:pPr>
            <w:r>
              <w:t xml:space="preserve">−0.019</w:t>
            </w:r>
          </w:p>
        </w:tc>
        <w:tc>
          <w:tcPr/>
          <w:p>
            <w:pPr>
              <w:pStyle w:val="Compact"/>
            </w:pPr>
            <w:r>
              <w:t xml:space="preserve">−0.017</w:t>
            </w:r>
          </w:p>
        </w:tc>
        <w:tc>
          <w:tcPr/>
          <w:p>
            <w:pPr>
              <w:pStyle w:val="Compact"/>
            </w:pPr>
            <w:r>
              <w:t xml:space="preserve">−0.013</w:t>
            </w:r>
          </w:p>
        </w:tc>
        <w:tc>
          <w:tcPr/>
          <w:p>
            <w:pPr>
              <w:pStyle w:val="Compact"/>
            </w:pPr>
            <w:r>
              <w:t xml:space="preserve">−0.014</w:t>
            </w:r>
          </w:p>
        </w:tc>
        <w:tc>
          <w:tcPr/>
          <w:p>
            <w:pPr>
              <w:pStyle w:val="Compact"/>
            </w:pPr>
            <w:r>
              <w:t xml:space="preserve">−0.025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Roper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0.223</w:t>
            </w:r>
          </w:p>
        </w:tc>
        <w:tc>
          <w:tcPr/>
          <w:p>
            <w:pPr>
              <w:pStyle w:val="Compact"/>
            </w:pPr>
            <w:r>
              <w:t xml:space="preserve">0.234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Wadeye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0.569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Weddell</w:t>
            </w:r>
          </w:p>
        </w:tc>
        <w:tc>
          <w:tcPr/>
          <w:p>
            <w:pPr>
              <w:pStyle w:val="Compact"/>
            </w:pPr>
            <w:r>
              <w:t xml:space="preserve">Vegetation cover (DEA)</w:t>
            </w:r>
          </w:p>
        </w:tc>
        <w:tc>
          <w:tcPr/>
          <w:p>
            <w:pPr>
              <w:pStyle w:val="Compact"/>
            </w:pPr>
            <w:r>
              <w:t xml:space="preserve">−0.033</w:t>
            </w:r>
          </w:p>
        </w:tc>
        <w:tc>
          <w:tcPr/>
          <w:p>
            <w:pPr>
              <w:pStyle w:val="Compact"/>
            </w:pPr>
            <w:r>
              <w:t xml:space="preserve">−0.033</w:t>
            </w:r>
          </w:p>
        </w:tc>
        <w:tc>
          <w:tcPr/>
          <w:p>
            <w:pPr>
              <w:pStyle w:val="Compact"/>
            </w:pPr>
            <w:r>
              <w:t xml:space="preserve">−0.034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Weddell</w:t>
            </w:r>
          </w:p>
        </w:tc>
        <w:tc>
          <w:tcPr/>
          <w:p>
            <w:pPr>
              <w:pStyle w:val="Compact"/>
            </w:pPr>
            <w:r>
              <w:t xml:space="preserve">Convertibility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0.252</w:t>
            </w:r>
          </w:p>
        </w:tc>
        <w:tc>
          <w:tcPr/>
          <w:p>
            <w:pPr>
              <w:pStyle w:val="Compact"/>
            </w:pPr>
            <w:r>
              <w:t xml:space="preserve">0.265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Weddell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Weddell</w:t>
            </w:r>
          </w:p>
        </w:tc>
        <w:tc>
          <w:tcPr/>
          <w:p>
            <w:pPr>
              <w:pStyle w:val="Compact"/>
            </w:pPr>
            <w:r>
              <w:t xml:space="preserve">Land-system rarity</w:t>
            </w:r>
          </w:p>
        </w:tc>
        <w:tc>
          <w:tcPr/>
          <w:p>
            <w:pPr>
              <w:pStyle w:val="Compact"/>
            </w:pPr>
            <w:r>
              <w:t xml:space="preserve">−0.096</w:t>
            </w:r>
          </w:p>
        </w:tc>
        <w:tc>
          <w:tcPr/>
          <w:p>
            <w:pPr>
              <w:pStyle w:val="Compact"/>
            </w:pPr>
            <w:r>
              <w:t xml:space="preserve">−0.118</w:t>
            </w:r>
          </w:p>
        </w:tc>
        <w:tc>
          <w:tcPr/>
          <w:p>
            <w:pPr>
              <w:pStyle w:val="Compact"/>
            </w:pPr>
            <w:r>
              <w:t xml:space="preserve">−0.130</w:t>
            </w:r>
          </w:p>
        </w:tc>
        <w:tc>
          <w:tcPr/>
          <w:p>
            <w:pPr>
              <w:pStyle w:val="Compact"/>
            </w:pPr>
            <w:r>
              <w:t xml:space="preserve">−0.059</w:t>
            </w:r>
          </w:p>
        </w:tc>
        <w:tc>
          <w:tcPr/>
          <w:p>
            <w:pPr>
              <w:pStyle w:val="Compact"/>
            </w:pPr>
            <w:r>
              <w:t xml:space="preserve">−0.032</w:t>
            </w:r>
          </w:p>
        </w:tc>
        <w:tc>
          <w:tcPr/>
          <w:p>
            <w:pPr>
              <w:pStyle w:val="Compact"/>
            </w:pPr>
            <w:r>
              <w:t xml:space="preserve">−0.064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Greater Weddell</w:t>
            </w:r>
          </w:p>
        </w:tc>
        <w:tc>
          <w:tcPr/>
          <w:p>
            <w:pPr>
              <w:pStyle w:val="Compact"/>
            </w:pPr>
            <w:r>
              <w:t xml:space="preserve">Vegetation-type rarity (NVIS)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  <w:tc>
          <w:tcPr/>
          <w:p>
            <w:pPr>
              <w:pStyle w:val="Compact"/>
            </w:pPr>
            <w:r>
              <w:t xml:space="preserve">0.409</w:t>
            </w:r>
          </w:p>
        </w:tc>
        <w:tc>
          <w:tcPr/>
          <w:p>
            <w:pPr>
              <w:pStyle w:val="Compact"/>
            </w:pPr>
            <w:r>
              <w:t xml:space="preserve">0.385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Appendix S1. Surrogate construction.</w:t>
      </w:r>
      <w:r>
        <w:t xml:space="preserve"> </w:t>
      </w:r>
      <w:r>
        <w:t xml:space="preserve">Convertibility scores by Australian Land Use and Management</w:t>
      </w:r>
      <w:r>
        <w:t xml:space="preserve"> </w:t>
      </w:r>
      <w:r>
        <w:t xml:space="preserve">primary class: conservation and natural environments 0.1; production from relatively natural</w:t>
      </w:r>
      <w:r>
        <w:t xml:space="preserve"> </w:t>
      </w:r>
      <w:r>
        <w:t xml:space="preserve">environments 1.0; dryland agriculture and plantations 0.4; irrigated agriculture 0.2; intensive uses</w:t>
      </w:r>
      <w:r>
        <w:t xml:space="preserve"> </w:t>
      </w:r>
      <w:r>
        <w:t xml:space="preserve">0.0; water missing. NVIS Major Vegetation Group codes treated as missing: 25 (cleared, non-native</w:t>
      </w:r>
      <w:r>
        <w:t xml:space="preserve"> </w:t>
      </w:r>
      <w:r>
        <w:t xml:space="preserve">vegetation, buildings), 27 (naturally bare), 28 (sea and estuaries) and 99 (unknown). Surrogate values</w:t>
      </w:r>
      <w:r>
        <w:t xml:space="preserve"> </w:t>
      </w:r>
      <w:r>
        <w:t xml:space="preserve">are rounded to four decimal places before analysis. Each surrogate is analysed on the polygons where</w:t>
      </w:r>
      <w:r>
        <w:t xml:space="preserve"> </w:t>
      </w:r>
      <w:r>
        <w:t xml:space="preserve">it is defined (pairwise deletion). Polygons coded 0 (not assessed) or 9 (water) are excluded.</w:t>
      </w:r>
    </w:p>
    <w:p>
      <w:pPr>
        <w:pStyle w:val="BodyText"/>
      </w:pPr>
      <w:r>
        <w:rPr>
          <w:b/>
          <w:bCs/>
        </w:rPr>
        <w:t xml:space="preserve">Appendix S2. Analysis plan and departures, with dates.</w:t>
      </w:r>
      <w:r>
        <w:t xml:space="preserve"> </w:t>
      </w:r>
      <w:r>
        <w:t xml:space="preserve">The research log records the co-primary</w:t>
      </w:r>
      <w:r>
        <w:t xml:space="preserve"> </w:t>
      </w:r>
      <w:r>
        <w:t xml:space="preserve">estimands (P3.PR1) and the confirmatory specification (P3.PR2) before the confirmatory runs. The</w:t>
      </w:r>
      <w:r>
        <w:t xml:space="preserve"> </w:t>
      </w:r>
      <w:r>
        <w:t xml:space="preserve">project was first committed to version control on 14 July 2026, with the log and the confirmatory</w:t>
      </w:r>
      <w:r>
        <w:t xml:space="preserve"> </w:t>
      </w:r>
      <w:r>
        <w:t xml:space="preserve">results in the same commit. Departures, all described in Section 2.8:</w:t>
      </w:r>
    </w:p>
    <w:p>
      <w:pPr>
        <w:pStyle w:val="Compact"/>
        <w:numPr>
          <w:ilvl w:val="0"/>
          <w:numId w:val="1001"/>
        </w:numPr>
      </w:pPr>
      <w:r>
        <w:t xml:space="preserve">July 2026, before the first commit: the spatial block bootstrap replaced the pre-specified</w:t>
      </w:r>
      <w:r>
        <w:t xml:space="preserve"> </w:t>
      </w:r>
      <w:r>
        <w:t xml:space="preserve">nearest-neighbour effective sample size; the joint model and its cross-validation were added after</w:t>
      </w:r>
      <w:r>
        <w:t xml:space="preserve"> </w:t>
      </w:r>
      <w:r>
        <w:t xml:space="preserve">the single-surrogate results.</w:t>
      </w:r>
    </w:p>
    <w:p>
      <w:pPr>
        <w:pStyle w:val="Compact"/>
        <w:numPr>
          <w:ilvl w:val="0"/>
          <w:numId w:val="1001"/>
        </w:numPr>
      </w:pPr>
      <w:r>
        <w:t xml:space="preserve">3 October 2026 (pre-submission audit): rounding of overlay values to four decimal places; paired</w:t>
      </w:r>
      <w:r>
        <w:t xml:space="preserve"> </w:t>
      </w:r>
      <w:r>
        <w:t xml:space="preserve">comparisons of the joint model and of the two rarity surrogates; Hartung–Knapp–Sidik–Jonkman</w:t>
      </w:r>
      <w:r>
        <w:t xml:space="preserve"> </w:t>
      </w:r>
      <w:r>
        <w:t xml:space="preserve">intervals; area-weighted mid-ranks; the multiverse and mechanism analyses (exploratory).</w:t>
      </w:r>
    </w:p>
    <w:p>
      <w:pPr>
        <w:pStyle w:val="Compact"/>
        <w:numPr>
          <w:ilvl w:val="0"/>
          <w:numId w:val="1001"/>
        </w:numPr>
      </w:pPr>
      <w:r>
        <w:t xml:space="preserve">4 October 2026 (final run): the Roper benchmark read from the published layer instead of an</w:t>
      </w:r>
      <w:r>
        <w:t xml:space="preserve"> </w:t>
      </w:r>
      <w:r>
        <w:t xml:space="preserve">earlier intersection with the land-use map; BIORISK class definitions checked against each</w:t>
      </w:r>
      <w:r>
        <w:t xml:space="preserve"> </w:t>
      </w:r>
      <w:r>
        <w:t xml:space="preserve">dataset (Appendix S3).</w:t>
      </w:r>
    </w:p>
    <w:p>
      <w:pPr>
        <w:pStyle w:val="FirstParagraph"/>
      </w:pPr>
      <w:r>
        <w:rPr>
          <w:b/>
          <w:bCs/>
        </w:rPr>
        <w:t xml:space="preserve">Appendix S3. BIORISK class definitions by dataset,</w:t>
      </w:r>
      <w:r>
        <w:t xml:space="preserve"> </w:t>
      </w:r>
      <w:r>
        <w:t xml:space="preserve">from each dataset’s attribute fields and</w:t>
      </w:r>
      <w:r>
        <w:t xml:space="preserve"> </w:t>
      </w:r>
      <w:r>
        <w:t xml:space="preserve">class-description tables (</w:t>
      </w:r>
      <w:r>
        <w:rPr>
          <w:rStyle w:val="VerbatimChar"/>
        </w:rPr>
        <w:t xml:space="preserve">data/meta/P4_DATA_CHECKS.md</w:t>
      </w:r>
      <w:r>
        <w:t xml:space="preserve">). All five use codes 1–5 in the same order,</w:t>
      </w:r>
      <w:r>
        <w:t xml:space="preserve"> </w:t>
      </w:r>
      <w:r>
        <w:t xml:space="preserve">0 for not assessed and 9 for water.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Roper (2024)</w:t>
            </w:r>
          </w:p>
        </w:tc>
        <w:tc>
          <w:tcPr/>
          <w:p>
            <w:pPr>
              <w:pStyle w:val="Compact"/>
            </w:pPr>
            <w:r>
              <w:t xml:space="preserve">Larrimah (2021)</w:t>
            </w:r>
          </w:p>
        </w:tc>
        <w:tc>
          <w:tcPr/>
          <w:p>
            <w:pPr>
              <w:pStyle w:val="Compact"/>
            </w:pPr>
            <w:r>
              <w:t xml:space="preserve">Wadeye (2021)</w:t>
            </w:r>
          </w:p>
        </w:tc>
        <w:tc>
          <w:tcPr/>
          <w:p>
            <w:pPr>
              <w:pStyle w:val="Compact"/>
            </w:pPr>
            <w:r>
              <w:t xml:space="preserve">Gunn Point (2020)</w:t>
            </w:r>
          </w:p>
        </w:tc>
        <w:tc>
          <w:tcPr/>
          <w:p>
            <w:pPr>
              <w:pStyle w:val="Compact"/>
            </w:pPr>
            <w:r>
              <w:t xml:space="preserve">Deep Well (2021)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Nil: highly modified</w:t>
            </w:r>
          </w:p>
        </w:tc>
        <w:tc>
          <w:tcPr/>
          <w:p>
            <w:pPr>
              <w:pStyle w:val="Compact"/>
            </w:pPr>
            <w:r>
              <w:t xml:space="preserve">Nil: highly modified*</w:t>
            </w:r>
          </w:p>
        </w:tc>
        <w:tc>
          <w:tcPr/>
          <w:p>
            <w:pPr>
              <w:pStyle w:val="Compact"/>
            </w:pPr>
            <w:r>
              <w:t xml:space="preserve">Nil: highly modified*</w:t>
            </w:r>
          </w:p>
        </w:tc>
        <w:tc>
          <w:tcPr/>
          <w:p>
            <w:pPr>
              <w:pStyle w:val="Compact"/>
            </w:pPr>
            <w:r>
              <w:t xml:space="preserve">Nil: highly modified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  <w:tc>
          <w:tcPr/>
          <w:p>
            <w:pPr>
              <w:pStyle w:val="Compact"/>
            </w:pPr>
            <w:r>
              <w:t xml:space="preserve">Low: no significant biodiversity value*</w:t>
            </w:r>
          </w:p>
        </w:tc>
        <w:tc>
          <w:tcPr/>
          <w:p>
            <w:pPr>
              <w:pStyle w:val="Compact"/>
            </w:pPr>
            <w:r>
              <w:t xml:space="preserve">Low: no significant value</w:t>
            </w:r>
          </w:p>
        </w:tc>
        <w:tc>
          <w:tcPr/>
          <w:p>
            <w:pPr>
              <w:pStyle w:val="Compact"/>
            </w:pPr>
            <w:r>
              <w:t xml:space="preserve">Low: no significant biodiversity value</w:t>
            </w:r>
          </w:p>
        </w:tc>
        <w:tc>
          <w:tcPr/>
          <w:p>
            <w:pPr>
              <w:pStyle w:val="Compact"/>
            </w:pPr>
            <w:r>
              <w:t xml:space="preserve">Low: no significant biodiversity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Mitigable: apply the mitigation hierarchy</w:t>
            </w:r>
          </w:p>
        </w:tc>
        <w:tc>
          <w:tcPr/>
          <w:p>
            <w:pPr>
              <w:pStyle w:val="Compact"/>
            </w:pPr>
            <w:r>
              <w:t xml:space="preserve">Mitigable: apply land management strategies</w:t>
            </w:r>
          </w:p>
        </w:tc>
        <w:tc>
          <w:tcPr/>
          <w:p>
            <w:pPr>
              <w:pStyle w:val="Compact"/>
            </w:pPr>
            <w:r>
              <w:t xml:space="preserve">Mitigable*</w:t>
            </w:r>
          </w:p>
        </w:tc>
        <w:tc>
          <w:tcPr/>
          <w:p>
            <w:pPr>
              <w:pStyle w:val="Compact"/>
            </w:pPr>
            <w:r>
              <w:t xml:space="preserve">Uncertain: requires further biodiversity assessment</w:t>
            </w:r>
          </w:p>
        </w:tc>
        <w:tc>
          <w:tcPr/>
          <w:p>
            <w:pPr>
              <w:pStyle w:val="Compact"/>
            </w:pPr>
            <w:r>
              <w:t xml:space="preserve">Mitigable: apply land management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Moderate: sensitive or significant vegetation, including groundwater-dependent ecosystems, or species of conservation interest</w:t>
            </w:r>
          </w:p>
        </w:tc>
        <w:tc>
          <w:tcPr/>
          <w:p>
            <w:pPr>
              <w:pStyle w:val="Compact"/>
            </w:pPr>
            <w:r>
              <w:t xml:space="preserve">Moderate: sensitive or significant vegetation, or species of conservation interest</w:t>
            </w:r>
          </w:p>
        </w:tc>
        <w:tc>
          <w:tcPr/>
          <w:p>
            <w:pPr>
              <w:pStyle w:val="Compact"/>
            </w:pPr>
            <w:r>
              <w:t xml:space="preserve">Moderate: sensitive or significant vegetation, or species of conservation interest</w:t>
            </w:r>
          </w:p>
        </w:tc>
        <w:tc>
          <w:tcPr/>
          <w:p>
            <w:pPr>
              <w:pStyle w:val="Compact"/>
            </w:pPr>
            <w:r>
              <w:t xml:space="preserve">Moderate: sensitive or significant vegetation types</w:t>
            </w:r>
          </w:p>
        </w:tc>
        <w:tc>
          <w:tcPr/>
          <w:p>
            <w:pPr>
              <w:pStyle w:val="Compact"/>
            </w:pPr>
            <w:r>
              <w:t xml:space="preserve">Moderate: sensitive or significant vegetation, or species of conservation interest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High: significant vegetation community and/or threatened-species habitat</w:t>
            </w:r>
          </w:p>
        </w:tc>
        <w:tc>
          <w:tcPr/>
          <w:p>
            <w:pPr>
              <w:pStyle w:val="Compact"/>
            </w:pPr>
            <w:r>
              <w:t xml:space="preserve">High*</w:t>
            </w:r>
          </w:p>
        </w:tc>
        <w:tc>
          <w:tcPr/>
          <w:p>
            <w:pPr>
              <w:pStyle w:val="Compact"/>
            </w:pPr>
            <w:r>
              <w:t xml:space="preserve">High: significant vegetation community and/or threatened-species habitat</w:t>
            </w:r>
          </w:p>
        </w:tc>
        <w:tc>
          <w:tcPr/>
          <w:p>
            <w:pPr>
              <w:pStyle w:val="Compact"/>
            </w:pPr>
            <w:r>
              <w:t xml:space="preserve">High: significant vegetation community in combination with threatened-species records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</w:tr>
    </w:tbl>
    <w:p>
      <w:pPr>
        <w:pStyle w:val="BodyText"/>
      </w:pPr>
      <w:r>
        <w:t xml:space="preserve">* Defined in the dataset’s class-description table but not present among its polygons.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2026-10-04T13:44:40Z</dcterms:created>
  <dcterms:modified xsi:type="dcterms:W3CDTF">2026-10-04T13:44:40Z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