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Customer Analytics and Repeat Purchase Prediction</w:t>
      </w:r>
    </w:p>
    <w:p>
      <w:r>
        <w:t>Student project guide  |  Data analysis, machine learning and Power BI</w:t>
      </w:r>
    </w:p>
    <w:p>
      <w:r>
        <w:t>Audience: students with basic Python, pandas and Power BI knowledge. Duration: six weeks. Team size: two to four. The goal is to turn historical retail transactions into an analytical report and a defensible customer purchase prediction, then explain the business decisions the results support.</w:t>
      </w:r>
    </w:p>
    <w:p>
      <w:pPr>
        <w:pStyle w:val="Heading1"/>
      </w:pPr>
      <w:r>
        <w:t>1 Business requirements</w:t>
      </w:r>
    </w:p>
    <w:p>
      <w:r>
        <w:t>A retail manager wants to understand sales trends, customer behavior and which known customers are likely to make another purchase. Students must present insights that can be checked against the underlying data and explain how they would use the predictions for customer outreach.</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DEAF3"/>
          </w:tcPr>
          <w:p>
            <w:pPr>
              <w:spacing w:after="40"/>
            </w:pPr>
            <w:r>
              <w:rPr>
                <w:sz w:val="16"/>
              </w:rPr>
              <w:t>ID</w:t>
            </w:r>
          </w:p>
        </w:tc>
        <w:tc>
          <w:tcPr>
            <w:tcW w:type="dxa" w:w="3293"/>
            <w:shd w:fill="DDEAF3"/>
          </w:tcPr>
          <w:p>
            <w:pPr>
              <w:spacing w:after="40"/>
            </w:pPr>
            <w:r>
              <w:rPr>
                <w:sz w:val="16"/>
              </w:rPr>
              <w:t>Requirement</w:t>
            </w:r>
          </w:p>
        </w:tc>
        <w:tc>
          <w:tcPr>
            <w:tcW w:type="dxa" w:w="3293"/>
            <w:shd w:fill="DDEAF3"/>
          </w:tcPr>
          <w:p>
            <w:pPr>
              <w:spacing w:after="40"/>
            </w:pPr>
            <w:r>
              <w:rPr>
                <w:sz w:val="16"/>
              </w:rPr>
              <w:t>Acceptance evidence</w:t>
            </w:r>
          </w:p>
        </w:tc>
      </w:tr>
      <w:tr>
        <w:tc>
          <w:tcPr>
            <w:tcW w:type="dxa" w:w="3293"/>
          </w:tcPr>
          <w:p>
            <w:pPr>
              <w:spacing w:after="40"/>
            </w:pPr>
            <w:r>
              <w:rPr>
                <w:sz w:val="16"/>
              </w:rPr>
              <w:t>BR1</w:t>
            </w:r>
          </w:p>
        </w:tc>
        <w:tc>
          <w:tcPr>
            <w:tcW w:type="dxa" w:w="3293"/>
          </w:tcPr>
          <w:p>
            <w:pPr>
              <w:spacing w:after="40"/>
            </w:pPr>
            <w:r>
              <w:rPr>
                <w:sz w:val="16"/>
              </w:rPr>
              <w:t>Clean and document transaction data</w:t>
            </w:r>
          </w:p>
        </w:tc>
        <w:tc>
          <w:tcPr>
            <w:tcW w:type="dxa" w:w="3293"/>
          </w:tcPr>
          <w:p>
            <w:pPr>
              <w:spacing w:after="40"/>
            </w:pPr>
            <w:r>
              <w:rPr>
                <w:sz w:val="16"/>
              </w:rPr>
              <w:t>Reproducible script and before/after counts</w:t>
            </w:r>
          </w:p>
        </w:tc>
      </w:tr>
      <w:tr>
        <w:tc>
          <w:tcPr>
            <w:tcW w:type="dxa" w:w="3293"/>
          </w:tcPr>
          <w:p>
            <w:pPr>
              <w:spacing w:after="40"/>
            </w:pPr>
            <w:r>
              <w:rPr>
                <w:sz w:val="16"/>
              </w:rPr>
              <w:t>BR2</w:t>
            </w:r>
          </w:p>
        </w:tc>
        <w:tc>
          <w:tcPr>
            <w:tcW w:type="dxa" w:w="3293"/>
          </w:tcPr>
          <w:p>
            <w:pPr>
              <w:spacing w:after="40"/>
            </w:pPr>
            <w:r>
              <w:rPr>
                <w:sz w:val="16"/>
              </w:rPr>
              <w:t>Analyze sales and customers</w:t>
            </w:r>
          </w:p>
        </w:tc>
        <w:tc>
          <w:tcPr>
            <w:tcW w:type="dxa" w:w="3293"/>
          </w:tcPr>
          <w:p>
            <w:pPr>
              <w:spacing w:after="40"/>
            </w:pPr>
            <w:r>
              <w:rPr>
                <w:sz w:val="16"/>
              </w:rPr>
              <w:t>EDA notebook with at least five findings</w:t>
            </w:r>
          </w:p>
        </w:tc>
      </w:tr>
      <w:tr>
        <w:tc>
          <w:tcPr>
            <w:tcW w:type="dxa" w:w="3293"/>
          </w:tcPr>
          <w:p>
            <w:pPr>
              <w:spacing w:after="40"/>
            </w:pPr>
            <w:r>
              <w:rPr>
                <w:sz w:val="16"/>
              </w:rPr>
              <w:t>BR3</w:t>
            </w:r>
          </w:p>
        </w:tc>
        <w:tc>
          <w:tcPr>
            <w:tcW w:type="dxa" w:w="3293"/>
          </w:tcPr>
          <w:p>
            <w:pPr>
              <w:spacing w:after="40"/>
            </w:pPr>
            <w:r>
              <w:rPr>
                <w:sz w:val="16"/>
              </w:rPr>
              <w:t>Predict repeat purchase</w:t>
            </w:r>
          </w:p>
        </w:tc>
        <w:tc>
          <w:tcPr>
            <w:tcW w:type="dxa" w:w="3293"/>
          </w:tcPr>
          <w:p>
            <w:pPr>
              <w:spacing w:after="40"/>
            </w:pPr>
            <w:r>
              <w:rPr>
                <w:sz w:val="16"/>
              </w:rPr>
              <w:t>Time ordered evaluation and baseline comparison</w:t>
            </w:r>
          </w:p>
        </w:tc>
      </w:tr>
      <w:tr>
        <w:tc>
          <w:tcPr>
            <w:tcW w:type="dxa" w:w="3293"/>
          </w:tcPr>
          <w:p>
            <w:pPr>
              <w:spacing w:after="40"/>
            </w:pPr>
            <w:r>
              <w:rPr>
                <w:sz w:val="16"/>
              </w:rPr>
              <w:t>BR4</w:t>
            </w:r>
          </w:p>
        </w:tc>
        <w:tc>
          <w:tcPr>
            <w:tcW w:type="dxa" w:w="3293"/>
          </w:tcPr>
          <w:p>
            <w:pPr>
              <w:spacing w:after="40"/>
            </w:pPr>
            <w:r>
              <w:rPr>
                <w:sz w:val="16"/>
              </w:rPr>
              <w:t>Build an interactive Power BI report</w:t>
            </w:r>
          </w:p>
        </w:tc>
        <w:tc>
          <w:tcPr>
            <w:tcW w:type="dxa" w:w="3293"/>
          </w:tcPr>
          <w:p>
            <w:pPr>
              <w:spacing w:after="40"/>
            </w:pPr>
            <w:r>
              <w:rPr>
                <w:sz w:val="16"/>
              </w:rPr>
              <w:t>Three pages with tested filters and measures</w:t>
            </w:r>
          </w:p>
        </w:tc>
      </w:tr>
      <w:tr>
        <w:tc>
          <w:tcPr>
            <w:tcW w:type="dxa" w:w="3293"/>
          </w:tcPr>
          <w:p>
            <w:pPr>
              <w:spacing w:after="40"/>
            </w:pPr>
            <w:r>
              <w:rPr>
                <w:sz w:val="16"/>
              </w:rPr>
              <w:t>BR5</w:t>
            </w:r>
          </w:p>
        </w:tc>
        <w:tc>
          <w:tcPr>
            <w:tcW w:type="dxa" w:w="3293"/>
          </w:tcPr>
          <w:p>
            <w:pPr>
              <w:spacing w:after="40"/>
            </w:pPr>
            <w:r>
              <w:rPr>
                <w:sz w:val="16"/>
              </w:rPr>
              <w:t>Communicate decisions and limitations</w:t>
            </w:r>
          </w:p>
        </w:tc>
        <w:tc>
          <w:tcPr>
            <w:tcW w:type="dxa" w:w="3293"/>
          </w:tcPr>
          <w:p>
            <w:pPr>
              <w:spacing w:after="40"/>
            </w:pPr>
            <w:r>
              <w:rPr>
                <w:sz w:val="16"/>
              </w:rPr>
              <w:t>README and short presentation</w:t>
            </w:r>
          </w:p>
        </w:tc>
      </w:tr>
    </w:tbl>
    <w:p/>
    <w:p>
      <w:r>
        <w:t>Scope: historical batch analysis and a static prediction export. A live API, production marketing integration and real time scoring are optional extensions, not required deliverables.</w:t>
      </w:r>
    </w:p>
    <w:p>
      <w:pPr>
        <w:pStyle w:val="Heading1"/>
      </w:pPr>
      <w:r>
        <w:t>2 Data and business definitions</w:t>
      </w:r>
    </w:p>
    <w:p>
      <w:r>
        <w:t>Source: UCI Online Retail II, https://archive.ics.uci.edu/dataset/502/online+retail+ii . Download the original workbook and record its download date. This is historical UK based online retail transaction data from December 2009 through December 2011; amounts are in the source currency and must not be relabeled as INR.</w:t>
      </w:r>
    </w:p>
    <w:p>
      <w:pPr>
        <w:pStyle w:val="ListBullet"/>
      </w:pPr>
      <w:r>
        <w:t>Keep raw files unchanged. Inspect column names because the workbook may contain multiple year sheets and inconsistent customer ID formatting.</w:t>
      </w:r>
    </w:p>
    <w:p>
      <w:pPr>
        <w:pStyle w:val="ListBullet"/>
      </w:pPr>
      <w:r>
        <w:t>Treat invoice numbers beginning with C, negative quantities and returns separately. Define gross sales, returns and net sales explicitly; never silently count a return as a sale.</w:t>
      </w:r>
    </w:p>
    <w:p>
      <w:pPr>
        <w:pStyle w:val="ListBullet"/>
      </w:pPr>
      <w:r>
        <w:t>Exclude missing customer IDs from customer level ML. Report how many rows and how much value this removes. Such rows can still appear in appropriately labeled aggregate sales analysis.</w:t>
      </w:r>
    </w:p>
    <w:p>
      <w:pPr>
        <w:pStyle w:val="ListBullet"/>
      </w:pPr>
      <w:r>
        <w:t>Remove exact duplicate records only after inspecting whether repeated rows represent legitimate items. Flag nonproduct or anomalous prices and quantities with a documented rule.</w:t>
      </w:r>
    </w:p>
    <w:p>
      <w:pPr>
        <w:pStyle w:val="Heading2"/>
      </w:pPr>
      <w:r>
        <w:t>Metric definitions</w:t>
      </w:r>
    </w:p>
    <w:tbl>
      <w:tblPr>
        <w:tblStyle w:val="TableGrid"/>
        <w:tblW w:type="auto" w:w="0"/>
        <w:jc w:val="center"/>
        <w:tblLook w:firstColumn="1" w:firstRow="1" w:lastColumn="0" w:lastRow="0" w:noHBand="0" w:noVBand="1" w:val="04A0"/>
      </w:tblPr>
      <w:tblGrid>
        <w:gridCol w:w="4939"/>
        <w:gridCol w:w="4939"/>
      </w:tblGrid>
      <w:tr>
        <w:tc>
          <w:tcPr>
            <w:tcW w:type="dxa" w:w="4939"/>
            <w:shd w:fill="DDEAF3"/>
          </w:tcPr>
          <w:p>
            <w:pPr>
              <w:spacing w:after="40"/>
            </w:pPr>
            <w:r>
              <w:rPr>
                <w:sz w:val="16"/>
              </w:rPr>
              <w:t>Metric</w:t>
            </w:r>
          </w:p>
        </w:tc>
        <w:tc>
          <w:tcPr>
            <w:tcW w:type="dxa" w:w="4939"/>
            <w:shd w:fill="DDEAF3"/>
          </w:tcPr>
          <w:p>
            <w:pPr>
              <w:spacing w:after="40"/>
            </w:pPr>
            <w:r>
              <w:rPr>
                <w:sz w:val="16"/>
              </w:rPr>
              <w:t>Definition</w:t>
            </w:r>
          </w:p>
        </w:tc>
      </w:tr>
      <w:tr>
        <w:tc>
          <w:tcPr>
            <w:tcW w:type="dxa" w:w="4939"/>
          </w:tcPr>
          <w:p>
            <w:pPr>
              <w:spacing w:after="40"/>
            </w:pPr>
            <w:r>
              <w:rPr>
                <w:sz w:val="16"/>
              </w:rPr>
              <w:t>Order</w:t>
            </w:r>
          </w:p>
        </w:tc>
        <w:tc>
          <w:tcPr>
            <w:tcW w:type="dxa" w:w="4939"/>
          </w:tcPr>
          <w:p>
            <w:pPr>
              <w:spacing w:after="40"/>
            </w:pPr>
            <w:r>
              <w:rPr>
                <w:sz w:val="16"/>
              </w:rPr>
              <w:t>Distinct valid invoice with a positive sale; use the same rule throughout</w:t>
            </w:r>
          </w:p>
        </w:tc>
      </w:tr>
      <w:tr>
        <w:tc>
          <w:tcPr>
            <w:tcW w:type="dxa" w:w="4939"/>
          </w:tcPr>
          <w:p>
            <w:pPr>
              <w:spacing w:after="40"/>
            </w:pPr>
            <w:r>
              <w:rPr>
                <w:sz w:val="16"/>
              </w:rPr>
              <w:t>Gross sales</w:t>
            </w:r>
          </w:p>
        </w:tc>
        <w:tc>
          <w:tcPr>
            <w:tcW w:type="dxa" w:w="4939"/>
          </w:tcPr>
          <w:p>
            <w:pPr>
              <w:spacing w:after="40"/>
            </w:pPr>
            <w:r>
              <w:rPr>
                <w:sz w:val="16"/>
              </w:rPr>
              <w:t>Sum of quantity × unit price for valid positive sale lines</w:t>
            </w:r>
          </w:p>
        </w:tc>
      </w:tr>
      <w:tr>
        <w:tc>
          <w:tcPr>
            <w:tcW w:type="dxa" w:w="4939"/>
          </w:tcPr>
          <w:p>
            <w:pPr>
              <w:spacing w:after="40"/>
            </w:pPr>
            <w:r>
              <w:rPr>
                <w:sz w:val="16"/>
              </w:rPr>
              <w:t>Net sales</w:t>
            </w:r>
          </w:p>
        </w:tc>
        <w:tc>
          <w:tcPr>
            <w:tcW w:type="dxa" w:w="4939"/>
          </w:tcPr>
          <w:p>
            <w:pPr>
              <w:spacing w:after="40"/>
            </w:pPr>
            <w:r>
              <w:rPr>
                <w:sz w:val="16"/>
              </w:rPr>
              <w:t>Gross sales plus separately classified return values when matching is defensible</w:t>
            </w:r>
          </w:p>
        </w:tc>
      </w:tr>
      <w:tr>
        <w:tc>
          <w:tcPr>
            <w:tcW w:type="dxa" w:w="4939"/>
          </w:tcPr>
          <w:p>
            <w:pPr>
              <w:spacing w:after="40"/>
            </w:pPr>
            <w:r>
              <w:rPr>
                <w:sz w:val="16"/>
              </w:rPr>
              <w:t>Active customers</w:t>
            </w:r>
          </w:p>
        </w:tc>
        <w:tc>
          <w:tcPr>
            <w:tcW w:type="dxa" w:w="4939"/>
          </w:tcPr>
          <w:p>
            <w:pPr>
              <w:spacing w:after="40"/>
            </w:pPr>
            <w:r>
              <w:rPr>
                <w:sz w:val="16"/>
              </w:rPr>
              <w:t>Distinct nonmissing customer IDs with valid orders</w:t>
            </w:r>
          </w:p>
        </w:tc>
      </w:tr>
      <w:tr>
        <w:tc>
          <w:tcPr>
            <w:tcW w:type="dxa" w:w="4939"/>
          </w:tcPr>
          <w:p>
            <w:pPr>
              <w:spacing w:after="40"/>
            </w:pPr>
            <w:r>
              <w:rPr>
                <w:sz w:val="16"/>
              </w:rPr>
              <w:t>Repeat purchase</w:t>
            </w:r>
          </w:p>
        </w:tc>
        <w:tc>
          <w:tcPr>
            <w:tcW w:type="dxa" w:w="4939"/>
          </w:tcPr>
          <w:p>
            <w:pPr>
              <w:spacing w:after="40"/>
            </w:pPr>
            <w:r>
              <w:rPr>
                <w:sz w:val="16"/>
              </w:rPr>
              <w:t>At least one valid order in the label window after the snapshot date</w:t>
            </w:r>
          </w:p>
        </w:tc>
      </w:tr>
    </w:tbl>
    <w:p/>
    <w:p>
      <w:pPr>
        <w:pStyle w:val="Heading1"/>
      </w:pPr>
      <w:r>
        <w:t>3 Analytical questions</w:t>
      </w:r>
    </w:p>
    <w:p>
      <w:pPr>
        <w:pStyle w:val="ListBullet"/>
      </w:pPr>
      <w:r>
        <w:t>How do orders, revenue and active customers change by month?</w:t>
      </w:r>
    </w:p>
    <w:p>
      <w:pPr>
        <w:pStyle w:val="ListBullet"/>
      </w:pPr>
      <w:r>
        <w:t>Which products and countries contribute the most revenue? Distinguish volume from revenue.</w:t>
      </w:r>
    </w:p>
    <w:p>
      <w:pPr>
        <w:pStyle w:val="ListBullet"/>
      </w:pPr>
      <w:r>
        <w:t>What share of identified customers buy more than once? How does spending vary by cohort?</w:t>
      </w:r>
    </w:p>
    <w:p>
      <w:pPr>
        <w:pStyle w:val="ListBullet"/>
      </w:pPr>
      <w:r>
        <w:t>How do recency, order frequency and monetary value relate to future purchases?</w:t>
      </w:r>
    </w:p>
    <w:p>
      <w:pPr>
        <w:pStyle w:val="ListBullet"/>
      </w:pPr>
      <w:r>
        <w:t>Which segments deserve retention attention, and what evidence supports that recommendation?</w:t>
      </w:r>
    </w:p>
    <w:p>
      <w:pPr>
        <w:pStyle w:val="Heading1"/>
      </w:pPr>
      <w:r>
        <w:t>4 Machine learning protocol</w:t>
      </w:r>
    </w:p>
    <w:p>
      <w:r>
        <w:t>Unit of prediction: one identifiable customer at one snapshot date. Use the first year for an initial training snapshot, then later snapshots for validation and final testing. Exact dates must be chosen after inspecting available coverage. Each snapshot uses a 180 day historical feature window and a following 90 day label window; include only customers with at least one valid historical order. Snapshots may overlap for training, but no test label period may overlap training features or labels. A simpler acceptable version uses one earlier training period and one strictly later holdout period.</w:t>
      </w:r>
    </w:p>
    <w:p>
      <w:pPr>
        <w:pStyle w:val="ListBullet"/>
      </w:pPr>
      <w:r>
        <w:t>Candidate features: days since last order, number of orders, total and average spend, unique products, average basket value, purchase span, number of return events. Compute every feature as of the snapshot date.</w:t>
      </w:r>
    </w:p>
    <w:p>
      <w:pPr>
        <w:pStyle w:val="ListBullet"/>
      </w:pPr>
      <w:r>
        <w:t>Target: 1 if the customer makes a valid positive sale order in the next 90 days, otherwise 0, provided the full 90 day outcome window exists. Do not include transactions after snapshot in features.</w:t>
      </w:r>
    </w:p>
    <w:p>
      <w:pPr>
        <w:pStyle w:val="ListBullet"/>
      </w:pPr>
      <w:r>
        <w:t>Baselines: majority class and a simple recency rule. Compare logistic regression and random forest or gradient boosting. Fit preprocessing only on training data.</w:t>
      </w:r>
    </w:p>
    <w:p>
      <w:pPr>
        <w:pStyle w:val="ListBullet"/>
      </w:pPr>
      <w:r>
        <w:t>Evaluate with precision, recall, F1, ROC AUC and PR AUC where both classes exist; show a confusion matrix at a selected threshold and explain the business tradeoff. Avoid accuracy alone.</w:t>
      </w:r>
    </w:p>
    <w:p>
      <w:pPr>
        <w:pStyle w:val="ListBullet"/>
      </w:pPr>
      <w:r>
        <w:t>Set a random seed, report positive class prevalence, check customer overlap and temporal ordering, and show feature importance or coefficients cautiously. Do not claim causal effects.</w:t>
      </w:r>
    </w:p>
    <w:p>
      <w:r>
        <w:t>Deliver predictions.csv with snapshot_date, customer_id, repeat_purchase_probability, predicted_label and split. Keep any actual outcome in a separate evaluation export, so the dashboard does not imply the model knew future purchases when scoring.</w:t>
      </w:r>
    </w:p>
    <w:p>
      <w:pPr>
        <w:pStyle w:val="Heading1"/>
      </w:pPr>
      <w:r>
        <w:t>5 Power BI report specification</w:t>
      </w:r>
    </w:p>
    <w:tbl>
      <w:tblPr>
        <w:tblStyle w:val="TableGrid"/>
        <w:tblW w:type="auto" w:w="0"/>
        <w:jc w:val="center"/>
        <w:tblLook w:firstColumn="1" w:firstRow="1" w:lastColumn="0" w:lastRow="0" w:noHBand="0" w:noVBand="1" w:val="04A0"/>
      </w:tblPr>
      <w:tblGrid>
        <w:gridCol w:w="4939"/>
        <w:gridCol w:w="4939"/>
      </w:tblGrid>
      <w:tr>
        <w:tc>
          <w:tcPr>
            <w:tcW w:type="dxa" w:w="4939"/>
            <w:shd w:fill="DDEAF3"/>
          </w:tcPr>
          <w:p>
            <w:pPr>
              <w:spacing w:after="40"/>
            </w:pPr>
            <w:r>
              <w:rPr>
                <w:sz w:val="16"/>
              </w:rPr>
              <w:t>Page</w:t>
            </w:r>
          </w:p>
        </w:tc>
        <w:tc>
          <w:tcPr>
            <w:tcW w:type="dxa" w:w="4939"/>
            <w:shd w:fill="DDEAF3"/>
          </w:tcPr>
          <w:p>
            <w:pPr>
              <w:spacing w:after="40"/>
            </w:pPr>
            <w:r>
              <w:rPr>
                <w:sz w:val="16"/>
              </w:rPr>
              <w:t>Required content</w:t>
            </w:r>
          </w:p>
        </w:tc>
      </w:tr>
      <w:tr>
        <w:tc>
          <w:tcPr>
            <w:tcW w:type="dxa" w:w="4939"/>
          </w:tcPr>
          <w:p>
            <w:pPr>
              <w:spacing w:after="40"/>
            </w:pPr>
            <w:r>
              <w:rPr>
                <w:sz w:val="16"/>
              </w:rPr>
              <w:t>Sales overview</w:t>
            </w:r>
          </w:p>
        </w:tc>
        <w:tc>
          <w:tcPr>
            <w:tcW w:type="dxa" w:w="4939"/>
          </w:tcPr>
          <w:p>
            <w:pPr>
              <w:spacing w:after="40"/>
            </w:pPr>
            <w:r>
              <w:rPr>
                <w:sz w:val="16"/>
              </w:rPr>
              <w:t>Revenue, orders and active customers; monthly trend; country and product breakdown; date and country slicers</w:t>
            </w:r>
          </w:p>
        </w:tc>
      </w:tr>
      <w:tr>
        <w:tc>
          <w:tcPr>
            <w:tcW w:type="dxa" w:w="4939"/>
          </w:tcPr>
          <w:p>
            <w:pPr>
              <w:spacing w:after="40"/>
            </w:pPr>
            <w:r>
              <w:rPr>
                <w:sz w:val="16"/>
              </w:rPr>
              <w:t>Customer behavior</w:t>
            </w:r>
          </w:p>
        </w:tc>
        <w:tc>
          <w:tcPr>
            <w:tcW w:type="dxa" w:w="4939"/>
          </w:tcPr>
          <w:p>
            <w:pPr>
              <w:spacing w:after="40"/>
            </w:pPr>
            <w:r>
              <w:rPr>
                <w:sz w:val="16"/>
              </w:rPr>
              <w:t>Repeat rate, recency and purchase frequency distributions; RFM style segments; cohort or customer table</w:t>
            </w:r>
          </w:p>
        </w:tc>
      </w:tr>
      <w:tr>
        <w:tc>
          <w:tcPr>
            <w:tcW w:type="dxa" w:w="4939"/>
          </w:tcPr>
          <w:p>
            <w:pPr>
              <w:spacing w:after="40"/>
            </w:pPr>
            <w:r>
              <w:rPr>
                <w:sz w:val="16"/>
              </w:rPr>
              <w:t>Predictions</w:t>
            </w:r>
          </w:p>
        </w:tc>
        <w:tc>
          <w:tcPr>
            <w:tcW w:type="dxa" w:w="4939"/>
          </w:tcPr>
          <w:p>
            <w:pPr>
              <w:spacing w:after="40"/>
            </w:pPr>
            <w:r>
              <w:rPr>
                <w:sz w:val="16"/>
              </w:rPr>
              <w:t>Customers by score band, scored customer table, score distribution and observed evaluation metrics clearly labeled by test period</w:t>
            </w:r>
          </w:p>
        </w:tc>
      </w:tr>
    </w:tbl>
    <w:p/>
    <w:p>
      <w:r>
        <w:t>Suggested model: Dates one to many to Sales by invoice date; Customers one to many to Sales by customer ID; Customers one to many to Predictions only if there is one prediction per customer. If using multiple snapshots, add a snapshot key or separate snapshot dimension to avoid ambiguous relationships. Import cleaned CSV or Parquet exports and model predictions. Build measures for Revenue = SUMX(Sales, Sales[Quantity] * Sales[UnitPrice]), Orders = DISTINCTCOUNT(Sales[Invoice]), and Active Customers = DISTINCTCOUNT(Sales[CustomerID]); align each with the documented sale filters. Test slicers, totals and sample customer drill through.</w:t>
      </w:r>
    </w:p>
    <w:p>
      <w:pPr>
        <w:pStyle w:val="Heading1"/>
      </w:pPr>
      <w:r>
        <w:t>6 Deliverables and folder structure</w:t>
      </w:r>
    </w:p>
    <w:p>
      <w:r>
        <w:t>Submit a repository with the following layout. Large raw workbooks may be linked in the README if repository size limits prevent storing them.</w:t>
      </w:r>
    </w:p>
    <w:p>
      <w:r>
        <w:t>README.md — setup, source, business definitions, findings, results and limitations</w:t>
      </w:r>
    </w:p>
    <w:p>
      <w:r>
        <w:t>data/raw/ — original downloaded files or source instructions</w:t>
      </w:r>
    </w:p>
    <w:p>
      <w:r>
        <w:t>data/processed/ — cleaned transactions, customer features and dashboard exports</w:t>
      </w:r>
    </w:p>
    <w:p>
      <w:r>
        <w:t>notebooks/ — exploration and model experiments</w:t>
      </w:r>
    </w:p>
    <w:p>
      <w:r>
        <w:t>src/ — deterministic cleaning, feature, training and export scripts</w:t>
      </w:r>
    </w:p>
    <w:p>
      <w:r>
        <w:t>reports/ — figures, data quality log, model evaluation and final slides</w:t>
      </w:r>
    </w:p>
    <w:p>
      <w:r>
        <w:t>powerbi/ — .pbix report and dashboard screenshots</w:t>
      </w:r>
    </w:p>
    <w:p>
      <w:r>
        <w:t>requirements.txt — pinned or bounded dependencies</w:t>
      </w:r>
    </w:p>
    <w:p>
      <w:pPr>
        <w:pStyle w:val="Heading1"/>
      </w:pPr>
      <w:r>
        <w:t>7 Six week schedule</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DEAF3"/>
          </w:tcPr>
          <w:p>
            <w:pPr>
              <w:spacing w:after="40"/>
            </w:pPr>
            <w:r>
              <w:rPr>
                <w:sz w:val="16"/>
              </w:rPr>
              <w:t>Week</w:t>
            </w:r>
          </w:p>
        </w:tc>
        <w:tc>
          <w:tcPr>
            <w:tcW w:type="dxa" w:w="3293"/>
            <w:shd w:fill="DDEAF3"/>
          </w:tcPr>
          <w:p>
            <w:pPr>
              <w:spacing w:after="40"/>
            </w:pPr>
            <w:r>
              <w:rPr>
                <w:sz w:val="16"/>
              </w:rPr>
              <w:t>Milestone</w:t>
            </w:r>
          </w:p>
        </w:tc>
        <w:tc>
          <w:tcPr>
            <w:tcW w:type="dxa" w:w="3293"/>
            <w:shd w:fill="DDEAF3"/>
          </w:tcPr>
          <w:p>
            <w:pPr>
              <w:spacing w:after="40"/>
            </w:pPr>
            <w:r>
              <w:rPr>
                <w:sz w:val="16"/>
              </w:rPr>
              <w:t>Instructor review</w:t>
            </w:r>
          </w:p>
        </w:tc>
      </w:tr>
      <w:tr>
        <w:tc>
          <w:tcPr>
            <w:tcW w:type="dxa" w:w="3293"/>
          </w:tcPr>
          <w:p>
            <w:pPr>
              <w:spacing w:after="40"/>
            </w:pPr>
            <w:r>
              <w:rPr>
                <w:sz w:val="16"/>
              </w:rPr>
              <w:t>1</w:t>
            </w:r>
          </w:p>
        </w:tc>
        <w:tc>
          <w:tcPr>
            <w:tcW w:type="dxa" w:w="3293"/>
          </w:tcPr>
          <w:p>
            <w:pPr>
              <w:spacing w:after="40"/>
            </w:pPr>
            <w:r>
              <w:rPr>
                <w:sz w:val="16"/>
              </w:rPr>
              <w:t>Download, dictionary, requirements and data audit</w:t>
            </w:r>
          </w:p>
        </w:tc>
        <w:tc>
          <w:tcPr>
            <w:tcW w:type="dxa" w:w="3293"/>
          </w:tcPr>
          <w:p>
            <w:pPr>
              <w:spacing w:after="40"/>
            </w:pPr>
            <w:r>
              <w:rPr>
                <w:sz w:val="16"/>
              </w:rPr>
              <w:t>Definitions and raw data integrity</w:t>
            </w:r>
          </w:p>
        </w:tc>
      </w:tr>
      <w:tr>
        <w:tc>
          <w:tcPr>
            <w:tcW w:type="dxa" w:w="3293"/>
          </w:tcPr>
          <w:p>
            <w:pPr>
              <w:spacing w:after="40"/>
            </w:pPr>
            <w:r>
              <w:rPr>
                <w:sz w:val="16"/>
              </w:rPr>
              <w:t>2</w:t>
            </w:r>
          </w:p>
        </w:tc>
        <w:tc>
          <w:tcPr>
            <w:tcW w:type="dxa" w:w="3293"/>
          </w:tcPr>
          <w:p>
            <w:pPr>
              <w:spacing w:after="40"/>
            </w:pPr>
            <w:r>
              <w:rPr>
                <w:sz w:val="16"/>
              </w:rPr>
              <w:t>Cleaning pipeline and exploratory analysis</w:t>
            </w:r>
          </w:p>
        </w:tc>
        <w:tc>
          <w:tcPr>
            <w:tcW w:type="dxa" w:w="3293"/>
          </w:tcPr>
          <w:p>
            <w:pPr>
              <w:spacing w:after="40"/>
            </w:pPr>
            <w:r>
              <w:rPr>
                <w:sz w:val="16"/>
              </w:rPr>
              <w:t>Counts, returns and missing IDs</w:t>
            </w:r>
          </w:p>
        </w:tc>
      </w:tr>
      <w:tr>
        <w:tc>
          <w:tcPr>
            <w:tcW w:type="dxa" w:w="3293"/>
          </w:tcPr>
          <w:p>
            <w:pPr>
              <w:spacing w:after="40"/>
            </w:pPr>
            <w:r>
              <w:rPr>
                <w:sz w:val="16"/>
              </w:rPr>
              <w:t>3</w:t>
            </w:r>
          </w:p>
        </w:tc>
        <w:tc>
          <w:tcPr>
            <w:tcW w:type="dxa" w:w="3293"/>
          </w:tcPr>
          <w:p>
            <w:pPr>
              <w:spacing w:after="40"/>
            </w:pPr>
            <w:r>
              <w:rPr>
                <w:sz w:val="16"/>
              </w:rPr>
              <w:t>Feature and label design</w:t>
            </w:r>
          </w:p>
        </w:tc>
        <w:tc>
          <w:tcPr>
            <w:tcW w:type="dxa" w:w="3293"/>
          </w:tcPr>
          <w:p>
            <w:pPr>
              <w:spacing w:after="40"/>
            </w:pPr>
            <w:r>
              <w:rPr>
                <w:sz w:val="16"/>
              </w:rPr>
              <w:t>Temporal leakage and coverage</w:t>
            </w:r>
          </w:p>
        </w:tc>
      </w:tr>
      <w:tr>
        <w:tc>
          <w:tcPr>
            <w:tcW w:type="dxa" w:w="3293"/>
          </w:tcPr>
          <w:p>
            <w:pPr>
              <w:spacing w:after="40"/>
            </w:pPr>
            <w:r>
              <w:rPr>
                <w:sz w:val="16"/>
              </w:rPr>
              <w:t>4</w:t>
            </w:r>
          </w:p>
        </w:tc>
        <w:tc>
          <w:tcPr>
            <w:tcW w:type="dxa" w:w="3293"/>
          </w:tcPr>
          <w:p>
            <w:pPr>
              <w:spacing w:after="40"/>
            </w:pPr>
            <w:r>
              <w:rPr>
                <w:sz w:val="16"/>
              </w:rPr>
              <w:t>Baseline, models and evaluation</w:t>
            </w:r>
          </w:p>
        </w:tc>
        <w:tc>
          <w:tcPr>
            <w:tcW w:type="dxa" w:w="3293"/>
          </w:tcPr>
          <w:p>
            <w:pPr>
              <w:spacing w:after="40"/>
            </w:pPr>
            <w:r>
              <w:rPr>
                <w:sz w:val="16"/>
              </w:rPr>
              <w:t>Holdout evidence and tradeoffs</w:t>
            </w:r>
          </w:p>
        </w:tc>
      </w:tr>
      <w:tr>
        <w:tc>
          <w:tcPr>
            <w:tcW w:type="dxa" w:w="3293"/>
          </w:tcPr>
          <w:p>
            <w:pPr>
              <w:spacing w:after="40"/>
            </w:pPr>
            <w:r>
              <w:rPr>
                <w:sz w:val="16"/>
              </w:rPr>
              <w:t>5</w:t>
            </w:r>
          </w:p>
        </w:tc>
        <w:tc>
          <w:tcPr>
            <w:tcW w:type="dxa" w:w="3293"/>
          </w:tcPr>
          <w:p>
            <w:pPr>
              <w:spacing w:after="40"/>
            </w:pPr>
            <w:r>
              <w:rPr>
                <w:sz w:val="16"/>
              </w:rPr>
              <w:t>Power BI semantic model and three pages</w:t>
            </w:r>
          </w:p>
        </w:tc>
        <w:tc>
          <w:tcPr>
            <w:tcW w:type="dxa" w:w="3293"/>
          </w:tcPr>
          <w:p>
            <w:pPr>
              <w:spacing w:after="40"/>
            </w:pPr>
            <w:r>
              <w:rPr>
                <w:sz w:val="16"/>
              </w:rPr>
              <w:t>Totals and filter behavior</w:t>
            </w:r>
          </w:p>
        </w:tc>
      </w:tr>
      <w:tr>
        <w:tc>
          <w:tcPr>
            <w:tcW w:type="dxa" w:w="3293"/>
          </w:tcPr>
          <w:p>
            <w:pPr>
              <w:spacing w:after="40"/>
            </w:pPr>
            <w:r>
              <w:rPr>
                <w:sz w:val="16"/>
              </w:rPr>
              <w:t>6</w:t>
            </w:r>
          </w:p>
        </w:tc>
        <w:tc>
          <w:tcPr>
            <w:tcW w:type="dxa" w:w="3293"/>
          </w:tcPr>
          <w:p>
            <w:pPr>
              <w:spacing w:after="40"/>
            </w:pPr>
            <w:r>
              <w:rPr>
                <w:sz w:val="16"/>
              </w:rPr>
              <w:t>Documentation, presentation and handoff</w:t>
            </w:r>
          </w:p>
        </w:tc>
        <w:tc>
          <w:tcPr>
            <w:tcW w:type="dxa" w:w="3293"/>
          </w:tcPr>
          <w:p>
            <w:pPr>
              <w:spacing w:after="40"/>
            </w:pPr>
            <w:r>
              <w:rPr>
                <w:sz w:val="16"/>
              </w:rPr>
              <w:t>Reproducibility and findings</w:t>
            </w:r>
          </w:p>
        </w:tc>
      </w:tr>
    </w:tbl>
    <w:p/>
    <w:p>
      <w:pPr>
        <w:pStyle w:val="Heading1"/>
      </w:pPr>
      <w:r>
        <w:t>8 Assessment rubric</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DEAF3"/>
          </w:tcPr>
          <w:p>
            <w:pPr>
              <w:spacing w:after="40"/>
            </w:pPr>
            <w:r>
              <w:rPr>
                <w:sz w:val="16"/>
              </w:rPr>
              <w:t>Criterion</w:t>
            </w:r>
          </w:p>
        </w:tc>
        <w:tc>
          <w:tcPr>
            <w:tcW w:type="dxa" w:w="3293"/>
            <w:shd w:fill="DDEAF3"/>
          </w:tcPr>
          <w:p>
            <w:pPr>
              <w:spacing w:after="40"/>
            </w:pPr>
            <w:r>
              <w:rPr>
                <w:sz w:val="16"/>
              </w:rPr>
              <w:t>Points</w:t>
            </w:r>
          </w:p>
        </w:tc>
        <w:tc>
          <w:tcPr>
            <w:tcW w:type="dxa" w:w="3293"/>
            <w:shd w:fill="DDEAF3"/>
          </w:tcPr>
          <w:p>
            <w:pPr>
              <w:spacing w:after="40"/>
            </w:pPr>
            <w:r>
              <w:rPr>
                <w:sz w:val="16"/>
              </w:rPr>
              <w:t>What to check</w:t>
            </w:r>
          </w:p>
        </w:tc>
      </w:tr>
      <w:tr>
        <w:tc>
          <w:tcPr>
            <w:tcW w:type="dxa" w:w="3293"/>
          </w:tcPr>
          <w:p>
            <w:pPr>
              <w:spacing w:after="40"/>
            </w:pPr>
            <w:r>
              <w:rPr>
                <w:sz w:val="16"/>
              </w:rPr>
              <w:t>Data quality and reproducibility</w:t>
            </w:r>
          </w:p>
        </w:tc>
        <w:tc>
          <w:tcPr>
            <w:tcW w:type="dxa" w:w="3293"/>
          </w:tcPr>
          <w:p>
            <w:pPr>
              <w:spacing w:after="40"/>
            </w:pPr>
            <w:r>
              <w:rPr>
                <w:sz w:val="16"/>
              </w:rPr>
              <w:t>20</w:t>
            </w:r>
          </w:p>
        </w:tc>
        <w:tc>
          <w:tcPr>
            <w:tcW w:type="dxa" w:w="3293"/>
          </w:tcPr>
          <w:p>
            <w:pPr>
              <w:spacing w:after="40"/>
            </w:pPr>
            <w:r>
              <w:rPr>
                <w:sz w:val="16"/>
              </w:rPr>
              <w:t>Documented rules, sensible handling of returns and missing IDs</w:t>
            </w:r>
          </w:p>
        </w:tc>
      </w:tr>
      <w:tr>
        <w:tc>
          <w:tcPr>
            <w:tcW w:type="dxa" w:w="3293"/>
          </w:tcPr>
          <w:p>
            <w:pPr>
              <w:spacing w:after="40"/>
            </w:pPr>
            <w:r>
              <w:rPr>
                <w:sz w:val="16"/>
              </w:rPr>
              <w:t>Analysis and interpretation</w:t>
            </w:r>
          </w:p>
        </w:tc>
        <w:tc>
          <w:tcPr>
            <w:tcW w:type="dxa" w:w="3293"/>
          </w:tcPr>
          <w:p>
            <w:pPr>
              <w:spacing w:after="40"/>
            </w:pPr>
            <w:r>
              <w:rPr>
                <w:sz w:val="16"/>
              </w:rPr>
              <w:t>20</w:t>
            </w:r>
          </w:p>
        </w:tc>
        <w:tc>
          <w:tcPr>
            <w:tcW w:type="dxa" w:w="3293"/>
          </w:tcPr>
          <w:p>
            <w:pPr>
              <w:spacing w:after="40"/>
            </w:pPr>
            <w:r>
              <w:rPr>
                <w:sz w:val="16"/>
              </w:rPr>
              <w:t>Correct measures, useful visualizations and defensible conclusions</w:t>
            </w:r>
          </w:p>
        </w:tc>
      </w:tr>
      <w:tr>
        <w:tc>
          <w:tcPr>
            <w:tcW w:type="dxa" w:w="3293"/>
          </w:tcPr>
          <w:p>
            <w:pPr>
              <w:spacing w:after="40"/>
            </w:pPr>
            <w:r>
              <w:rPr>
                <w:sz w:val="16"/>
              </w:rPr>
              <w:t>ML design and evaluation</w:t>
            </w:r>
          </w:p>
        </w:tc>
        <w:tc>
          <w:tcPr>
            <w:tcW w:type="dxa" w:w="3293"/>
          </w:tcPr>
          <w:p>
            <w:pPr>
              <w:spacing w:after="40"/>
            </w:pPr>
            <w:r>
              <w:rPr>
                <w:sz w:val="16"/>
              </w:rPr>
              <w:t>25</w:t>
            </w:r>
          </w:p>
        </w:tc>
        <w:tc>
          <w:tcPr>
            <w:tcW w:type="dxa" w:w="3293"/>
          </w:tcPr>
          <w:p>
            <w:pPr>
              <w:spacing w:after="40"/>
            </w:pPr>
            <w:r>
              <w:rPr>
                <w:sz w:val="16"/>
              </w:rPr>
              <w:t>Time split, leakage prevention, baselines and suitable metrics</w:t>
            </w:r>
          </w:p>
        </w:tc>
      </w:tr>
      <w:tr>
        <w:tc>
          <w:tcPr>
            <w:tcW w:type="dxa" w:w="3293"/>
          </w:tcPr>
          <w:p>
            <w:pPr>
              <w:spacing w:after="40"/>
            </w:pPr>
            <w:r>
              <w:rPr>
                <w:sz w:val="16"/>
              </w:rPr>
              <w:t>Power BI model and usability</w:t>
            </w:r>
          </w:p>
        </w:tc>
        <w:tc>
          <w:tcPr>
            <w:tcW w:type="dxa" w:w="3293"/>
          </w:tcPr>
          <w:p>
            <w:pPr>
              <w:spacing w:after="40"/>
            </w:pPr>
            <w:r>
              <w:rPr>
                <w:sz w:val="16"/>
              </w:rPr>
              <w:t>20</w:t>
            </w:r>
          </w:p>
        </w:tc>
        <w:tc>
          <w:tcPr>
            <w:tcW w:type="dxa" w:w="3293"/>
          </w:tcPr>
          <w:p>
            <w:pPr>
              <w:spacing w:after="40"/>
            </w:pPr>
            <w:r>
              <w:rPr>
                <w:sz w:val="16"/>
              </w:rPr>
              <w:t>Correct relationships, measures, filters and readable report</w:t>
            </w:r>
          </w:p>
        </w:tc>
      </w:tr>
      <w:tr>
        <w:tc>
          <w:tcPr>
            <w:tcW w:type="dxa" w:w="3293"/>
          </w:tcPr>
          <w:p>
            <w:pPr>
              <w:spacing w:after="40"/>
            </w:pPr>
            <w:r>
              <w:rPr>
                <w:sz w:val="16"/>
              </w:rPr>
              <w:t>Communication and teamwork</w:t>
            </w:r>
          </w:p>
        </w:tc>
        <w:tc>
          <w:tcPr>
            <w:tcW w:type="dxa" w:w="3293"/>
          </w:tcPr>
          <w:p>
            <w:pPr>
              <w:spacing w:after="40"/>
            </w:pPr>
            <w:r>
              <w:rPr>
                <w:sz w:val="16"/>
              </w:rPr>
              <w:t>15</w:t>
            </w:r>
          </w:p>
        </w:tc>
        <w:tc>
          <w:tcPr>
            <w:tcW w:type="dxa" w:w="3293"/>
          </w:tcPr>
          <w:p>
            <w:pPr>
              <w:spacing w:after="40"/>
            </w:pPr>
            <w:r>
              <w:rPr>
                <w:sz w:val="16"/>
              </w:rPr>
              <w:t>README, limitations, demo and individual contribution</w:t>
            </w:r>
          </w:p>
        </w:tc>
      </w:tr>
    </w:tbl>
    <w:p/>
    <w:p>
      <w:pPr>
        <w:pStyle w:val="Heading1"/>
      </w:pPr>
      <w:r>
        <w:t>9 Completion criteria and stretch work</w:t>
      </w:r>
    </w:p>
    <w:p>
      <w:r>
        <w:t>The project is complete when a new reviewer can run the pipeline from the instructions, reconcile sample dashboard totals with processed data, reproduce the holdout metrics and explain every chart and model output. Students should disclose that this is one historical retailer and that predictive scores may not transfer to another business or time period.</w:t>
      </w:r>
    </w:p>
    <w:p>
      <w:r>
        <w:t>Optional extensions: customer segmentation, return prediction, model calibration, automated batch scoring, and a small FastAPI scoring endpoint. Complete the core project before adding extensions.</w:t>
      </w:r>
    </w:p>
    <w:sectPr w:rsidR="00FC693F" w:rsidRPr="0006063C" w:rsidSect="00034616">
      <w:footerReference w:type="default" r:id="rId9"/>
      <w:pgSz w:w="12240" w:h="15840"/>
      <w:pgMar w:top="1123"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 Customer Analytics Student Project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