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Krishna Filament Industries Limited</w:t>
        <w:br/>
      </w:r>
      <w:r>
        <w:rPr>
          <w:b/>
          <w:sz w:val="30"/>
        </w:rPr>
        <w:t>Supabase Investor Relations Integration – Developer Handover</w:t>
      </w:r>
    </w:p>
    <w:p>
      <w:pPr>
        <w:jc w:val="center"/>
      </w:pPr>
      <w:r>
        <w:rPr>
          <w:i/>
        </w:rPr>
        <w:t>Purpose: document the Supabase setup, SQL queries, storage structure, database records, RLS policies, and frontend integration completed so another developer can continue the project safely.</w:t>
      </w:r>
    </w:p>
    <w:p>
      <w:pPr>
        <w:pStyle w:val="Heading1"/>
      </w:pPr>
      <w:r>
        <w:t>1. Project Context</w:t>
      </w:r>
    </w:p>
    <w:p>
      <w:r>
        <w:t>The Krishna Filament website uses Supabase to manage Investor Relations (IR) documents. PDF files are stored in Supabase Storage, while document metadata is stored in PostgreSQL tables. The frontend is a Vite + React + TypeScript application.</w:t>
      </w:r>
    </w:p>
    <w:p>
      <w:pPr>
        <w:pStyle w:val="Heading1"/>
      </w:pPr>
      <w:r>
        <w:t>2. Frontend Project Structure</w:t>
      </w:r>
    </w:p>
    <w:p>
      <w:pPr>
        <w:pStyle w:val="NoSpacing"/>
      </w:pPr>
      <w:r>
        <w:t>src/</w:t>
      </w:r>
    </w:p>
    <w:p>
      <w:pPr>
        <w:pStyle w:val="NoSpacing"/>
      </w:pPr>
      <w:r>
        <w:t>├── components/</w:t>
      </w:r>
    </w:p>
    <w:p>
      <w:pPr>
        <w:pStyle w:val="NoSpacing"/>
      </w:pPr>
      <w:r>
        <w:t>├── data/</w:t>
      </w:r>
    </w:p>
    <w:p>
      <w:pPr>
        <w:pStyle w:val="NoSpacing"/>
      </w:pPr>
      <w:r>
        <w:t>├── lib/</w:t>
      </w:r>
    </w:p>
    <w:p>
      <w:pPr>
        <w:pStyle w:val="NoSpacing"/>
      </w:pPr>
      <w:r>
        <w:t>│   └── supabase.ts</w:t>
      </w:r>
    </w:p>
    <w:p>
      <w:pPr>
        <w:pStyle w:val="NoSpacing"/>
      </w:pPr>
      <w:r>
        <w:t>├── pages/</w:t>
      </w:r>
    </w:p>
    <w:p>
      <w:pPr>
        <w:pStyle w:val="NoSpacing"/>
      </w:pPr>
      <w:r>
        <w:t>│   ├── About.tsx</w:t>
      </w:r>
    </w:p>
    <w:p>
      <w:pPr>
        <w:pStyle w:val="NoSpacing"/>
      </w:pPr>
      <w:r>
        <w:t>│   ├── AdminLogin.tsx</w:t>
      </w:r>
    </w:p>
    <w:p>
      <w:pPr>
        <w:pStyle w:val="NoSpacing"/>
      </w:pPr>
      <w:r>
        <w:t>│   ├── Contact.tsx</w:t>
      </w:r>
    </w:p>
    <w:p>
      <w:pPr>
        <w:pStyle w:val="NoSpacing"/>
      </w:pPr>
      <w:r>
        <w:t>│   ├── Home.tsx</w:t>
      </w:r>
    </w:p>
    <w:p>
      <w:pPr>
        <w:pStyle w:val="NoSpacing"/>
      </w:pPr>
      <w:r>
        <w:t>│   ├── IRDetail.tsx</w:t>
      </w:r>
    </w:p>
    <w:p>
      <w:pPr>
        <w:pStyle w:val="NoSpacing"/>
      </w:pPr>
      <w:r>
        <w:t>│   └── SupabaseTest.tsx</w:t>
      </w:r>
    </w:p>
    <w:p>
      <w:pPr>
        <w:pStyle w:val="NoSpacing"/>
      </w:pPr>
      <w:r>
        <w:t>├── App.tsx</w:t>
      </w:r>
    </w:p>
    <w:p>
      <w:pPr>
        <w:pStyle w:val="NoSpacing"/>
      </w:pPr>
      <w:r>
        <w:t>├── index.css</w:t>
      </w:r>
    </w:p>
    <w:p>
      <w:pPr>
        <w:pStyle w:val="NoSpacing"/>
      </w:pPr>
      <w:r>
        <w:t>├── main.tsx</w:t>
      </w:r>
    </w:p>
    <w:p>
      <w:pPr>
        <w:pStyle w:val="NoSpacing"/>
      </w:pPr>
      <w:r>
        <w:t>└── router.tsx</w:t>
      </w:r>
    </w:p>
    <w:p>
      <w:pPr>
        <w:pStyle w:val="Heading1"/>
      </w:pPr>
      <w:r>
        <w:t>3. Supabase Project Setup</w:t>
      </w:r>
    </w:p>
    <w:p>
      <w:r>
        <w:t>Supabase project used: Krishna Filament. The project is on the main production branch.</w:t>
      </w:r>
    </w:p>
    <w:p>
      <w:r>
        <w:t>A browser Supabase client was created in src/lib/supabase.ts. The frontend reads the Supabase project URL and publishable/anonymous browser key from environment variables. Do not put a Supabase service-role/secret key in frontend code.</w:t>
      </w:r>
    </w:p>
    <w:p>
      <w:pPr>
        <w:pStyle w:val="Heading1"/>
      </w:pPr>
      <w:r>
        <w:t>4. Database Tables</w:t>
      </w:r>
    </w:p>
    <w:p>
      <w:r>
        <w:t>Two main public tables were created for Investor Relations: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Table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Important columns</w:t>
            </w:r>
          </w:p>
        </w:tc>
      </w:tr>
      <w:tr>
        <w:tc>
          <w:tcPr>
            <w:tcW w:type="dxa" w:w="3360"/>
          </w:tcPr>
          <w:p>
            <w:r>
              <w:t>public.ir_categories</w:t>
            </w:r>
          </w:p>
        </w:tc>
        <w:tc>
          <w:tcPr>
            <w:tcW w:type="dxa" w:w="3360"/>
          </w:tcPr>
          <w:p>
            <w:r>
              <w:t>Stores IR categories</w:t>
            </w:r>
          </w:p>
        </w:tc>
        <w:tc>
          <w:tcPr>
            <w:tcW w:type="dxa" w:w="3360"/>
          </w:tcPr>
          <w:p>
            <w:r>
              <w:t>id, slug, name, icon, sort_order, is_active, created_at</w:t>
            </w:r>
          </w:p>
        </w:tc>
      </w:tr>
      <w:tr>
        <w:tc>
          <w:tcPr>
            <w:tcW w:type="dxa" w:w="3360"/>
          </w:tcPr>
          <w:p>
            <w:r>
              <w:t>public.ir_documents</w:t>
            </w:r>
          </w:p>
        </w:tc>
        <w:tc>
          <w:tcPr>
            <w:tcW w:type="dxa" w:w="3360"/>
          </w:tcPr>
          <w:p>
            <w:r>
              <w:t>Stores PDF/document metadata</w:t>
            </w:r>
          </w:p>
        </w:tc>
        <w:tc>
          <w:tcPr>
            <w:tcW w:type="dxa" w:w="3360"/>
          </w:tcPr>
          <w:p>
            <w:r>
              <w:t>id, category_id, title, year, file_name, file_path, published_date, is_published, sort_order, created_at, updated_at</w:t>
            </w:r>
          </w:p>
        </w:tc>
      </w:tr>
    </w:tbl>
    <w:p>
      <w:pPr>
        <w:pStyle w:val="Heading1"/>
      </w:pPr>
      <w:r>
        <w:t>5. ir_categories Structure</w:t>
      </w:r>
    </w:p>
    <w:p>
      <w:r>
        <w:t>The category table was checked with:</w:t>
      </w:r>
    </w:p>
    <w:p>
      <w:pPr>
        <w:pStyle w:val="NoSpacing"/>
      </w:pPr>
      <w:r>
        <w:t>select *</w:t>
        <w:br/>
        <w:t>from public.ir_categories</w:t>
        <w:br/>
        <w:t>limit 1;</w:t>
      </w:r>
    </w:p>
    <w:p>
      <w:r>
        <w:t>The actual column names found were:</w:t>
      </w:r>
    </w:p>
    <w:p>
      <w:pPr>
        <w:pStyle w:val="ListBullet"/>
      </w:pPr>
      <w:r>
        <w:t>id (uuid)</w:t>
      </w:r>
    </w:p>
    <w:p>
      <w:pPr>
        <w:pStyle w:val="ListBullet"/>
      </w:pPr>
      <w:r>
        <w:t>slug (text)</w:t>
      </w:r>
    </w:p>
    <w:p>
      <w:pPr>
        <w:pStyle w:val="ListBullet"/>
      </w:pPr>
      <w:r>
        <w:t>name (text)</w:t>
      </w:r>
    </w:p>
    <w:p>
      <w:pPr>
        <w:pStyle w:val="ListBullet"/>
      </w:pPr>
      <w:r>
        <w:t>icon (text)</w:t>
      </w:r>
    </w:p>
    <w:p>
      <w:pPr>
        <w:pStyle w:val="ListBullet"/>
      </w:pPr>
      <w:r>
        <w:t>sort_order</w:t>
      </w:r>
    </w:p>
    <w:p>
      <w:pPr>
        <w:pStyle w:val="ListBullet"/>
      </w:pPr>
      <w:r>
        <w:t>is_active</w:t>
      </w:r>
    </w:p>
    <w:p>
      <w:pPr>
        <w:pStyle w:val="ListBullet"/>
      </w:pPr>
      <w:r>
        <w:t>created_at</w:t>
      </w:r>
    </w:p>
    <w:p>
      <w:r>
        <w:t>Important: the column is name, not label. An early frontend test queried label and produced the error: 'column ir_categories.label does not exist'. The SupabaseTest.tsx file was then corrected to use name.</w:t>
      </w:r>
    </w:p>
    <w:p>
      <w:pPr>
        <w:pStyle w:val="Heading1"/>
      </w:pPr>
      <w:r>
        <w:t>6. Categories Created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slug</w:t>
            </w:r>
          </w:p>
        </w:tc>
        <w:tc>
          <w:tcPr>
            <w:tcW w:type="dxa" w:w="5040"/>
          </w:tcPr>
          <w:p>
            <w:r>
              <w:t>name</w:t>
            </w:r>
          </w:p>
        </w:tc>
      </w:tr>
      <w:tr>
        <w:tc>
          <w:tcPr>
            <w:tcW w:type="dxa" w:w="5040"/>
          </w:tcPr>
          <w:p>
            <w:r>
              <w:t>policy</w:t>
            </w:r>
          </w:p>
        </w:tc>
        <w:tc>
          <w:tcPr>
            <w:tcW w:type="dxa" w:w="5040"/>
          </w:tcPr>
          <w:p>
            <w:r>
              <w:t>Policy</w:t>
            </w:r>
          </w:p>
        </w:tc>
      </w:tr>
      <w:tr>
        <w:tc>
          <w:tcPr>
            <w:tcW w:type="dxa" w:w="5040"/>
          </w:tcPr>
          <w:p>
            <w:r>
              <w:t>disclosures</w:t>
            </w:r>
          </w:p>
        </w:tc>
        <w:tc>
          <w:tcPr>
            <w:tcW w:type="dxa" w:w="5040"/>
          </w:tcPr>
          <w:p>
            <w:r>
              <w:t>Disclosures under Regulation 46 of SEBI (LODR) Regulations</w:t>
            </w:r>
          </w:p>
        </w:tc>
      </w:tr>
      <w:tr>
        <w:tc>
          <w:tcPr>
            <w:tcW w:type="dxa" w:w="5040"/>
          </w:tcPr>
          <w:p>
            <w:r>
              <w:t>board-of-directors</w:t>
            </w:r>
          </w:p>
        </w:tc>
        <w:tc>
          <w:tcPr>
            <w:tcW w:type="dxa" w:w="5040"/>
          </w:tcPr>
          <w:p>
            <w:r>
              <w:t>Board of Directors</w:t>
            </w:r>
          </w:p>
        </w:tc>
      </w:tr>
      <w:tr>
        <w:tc>
          <w:tcPr>
            <w:tcW w:type="dxa" w:w="5040"/>
          </w:tcPr>
          <w:p>
            <w:r>
              <w:t>committee-composition</w:t>
            </w:r>
          </w:p>
        </w:tc>
        <w:tc>
          <w:tcPr>
            <w:tcW w:type="dxa" w:w="5040"/>
          </w:tcPr>
          <w:p>
            <w:r>
              <w:t>Composition of Committee</w:t>
            </w:r>
          </w:p>
        </w:tc>
      </w:tr>
      <w:tr>
        <w:tc>
          <w:tcPr>
            <w:tcW w:type="dxa" w:w="5040"/>
          </w:tcPr>
          <w:p>
            <w:r>
              <w:t>financial-results</w:t>
            </w:r>
          </w:p>
        </w:tc>
        <w:tc>
          <w:tcPr>
            <w:tcW w:type="dxa" w:w="5040"/>
          </w:tcPr>
          <w:p>
            <w:r>
              <w:t>Financial Results</w:t>
            </w:r>
          </w:p>
        </w:tc>
      </w:tr>
      <w:tr>
        <w:tc>
          <w:tcPr>
            <w:tcW w:type="dxa" w:w="5040"/>
          </w:tcPr>
          <w:p>
            <w:r>
              <w:t>annual-reports</w:t>
            </w:r>
          </w:p>
        </w:tc>
        <w:tc>
          <w:tcPr>
            <w:tcW w:type="dxa" w:w="5040"/>
          </w:tcPr>
          <w:p>
            <w:r>
              <w:t>Annual Reports</w:t>
            </w:r>
          </w:p>
        </w:tc>
      </w:tr>
      <w:tr>
        <w:tc>
          <w:tcPr>
            <w:tcW w:type="dxa" w:w="5040"/>
          </w:tcPr>
          <w:p>
            <w:r>
              <w:t>annual-return</w:t>
            </w:r>
          </w:p>
        </w:tc>
        <w:tc>
          <w:tcPr>
            <w:tcW w:type="dxa" w:w="5040"/>
          </w:tcPr>
          <w:p>
            <w:r>
              <w:t>Annual Return</w:t>
            </w:r>
          </w:p>
        </w:tc>
      </w:tr>
      <w:tr>
        <w:tc>
          <w:tcPr>
            <w:tcW w:type="dxa" w:w="5040"/>
          </w:tcPr>
          <w:p>
            <w:r>
              <w:t>corporate-governance</w:t>
            </w:r>
          </w:p>
        </w:tc>
        <w:tc>
          <w:tcPr>
            <w:tcW w:type="dxa" w:w="5040"/>
          </w:tcPr>
          <w:p>
            <w:r>
              <w:t>Corporate Governance</w:t>
            </w:r>
          </w:p>
        </w:tc>
      </w:tr>
      <w:tr>
        <w:tc>
          <w:tcPr>
            <w:tcW w:type="dxa" w:w="5040"/>
          </w:tcPr>
          <w:p>
            <w:r>
              <w:t>shareholding-pattern</w:t>
            </w:r>
          </w:p>
        </w:tc>
        <w:tc>
          <w:tcPr>
            <w:tcW w:type="dxa" w:w="5040"/>
          </w:tcPr>
          <w:p>
            <w:r>
              <w:t>Shareholding Pattern</w:t>
            </w:r>
          </w:p>
        </w:tc>
      </w:tr>
      <w:tr>
        <w:tc>
          <w:tcPr>
            <w:tcW w:type="dxa" w:w="5040"/>
          </w:tcPr>
          <w:p>
            <w:r>
              <w:t>updates-announcements</w:t>
            </w:r>
          </w:p>
        </w:tc>
        <w:tc>
          <w:tcPr>
            <w:tcW w:type="dxa" w:w="5040"/>
          </w:tcPr>
          <w:p>
            <w:r>
              <w:t>Updates &amp; Announcements</w:t>
            </w:r>
          </w:p>
        </w:tc>
      </w:tr>
      <w:tr>
        <w:tc>
          <w:tcPr>
            <w:tcW w:type="dxa" w:w="5040"/>
          </w:tcPr>
          <w:p>
            <w:r>
              <w:t>investor-grievance</w:t>
            </w:r>
          </w:p>
        </w:tc>
        <w:tc>
          <w:tcPr>
            <w:tcW w:type="dxa" w:w="5040"/>
          </w:tcPr>
          <w:p>
            <w:r>
              <w:t>Investor Grievance</w:t>
            </w:r>
          </w:p>
        </w:tc>
      </w:tr>
    </w:tbl>
    <w:p>
      <w:pPr>
        <w:pStyle w:val="Heading1"/>
      </w:pPr>
      <w:r>
        <w:t>7. ir_documents Table Definition</w:t>
      </w:r>
    </w:p>
    <w:p>
      <w:r>
        <w:t>The table was created with the following structure. The table already existed when a duplicate CREATE TABLE query was run, which correctly returned 'relation ir_documents already exists'.</w:t>
      </w:r>
    </w:p>
    <w:p>
      <w:pPr>
        <w:pStyle w:val="NoSpacing"/>
      </w:pPr>
      <w:r>
        <w:t>create table public.ir_documents (</w:t>
        <w:br/>
        <w:t xml:space="preserve">  id uuid primary key default gen_random_uuid(),</w:t>
        <w:br/>
        <w:br/>
        <w:t xml:space="preserve">  category_id uuid not null</w:t>
        <w:br/>
        <w:t xml:space="preserve">    references public.ir_categories(id)</w:t>
        <w:br/>
        <w:t xml:space="preserve">    on delete restrict,</w:t>
        <w:br/>
        <w:br/>
        <w:t xml:space="preserve">  title text not null,</w:t>
        <w:br/>
        <w:t xml:space="preserve">  year text,</w:t>
        <w:br/>
        <w:t xml:space="preserve">  file_name text not null,</w:t>
        <w:br/>
        <w:t xml:space="preserve">  file_path text not null,</w:t>
        <w:br/>
        <w:t xml:space="preserve">  published_date date,</w:t>
        <w:br/>
        <w:br/>
        <w:t xml:space="preserve">  is_published boolean not null default false,</w:t>
        <w:br/>
        <w:t xml:space="preserve">  sort_order integer not null default 0,</w:t>
        <w:br/>
        <w:br/>
        <w:t xml:space="preserve">  created_at timestamptz not null default now(),</w:t>
        <w:br/>
        <w:t xml:space="preserve">  updated_at timestamptz not null default now()</w:t>
        <w:br/>
        <w:t>);</w:t>
      </w:r>
    </w:p>
    <w:p>
      <w:pPr>
        <w:pStyle w:val="Heading1"/>
      </w:pPr>
      <w:r>
        <w:t>8. Supabase Storage</w:t>
      </w:r>
    </w:p>
    <w:p>
      <w:r>
        <w:t>A Supabase Storage bucket named investor-documents was created and set to PUBLIC. The IR PDF files were uploaded there. The storage file names are used to build/open document URLs.</w:t>
      </w:r>
    </w:p>
    <w:p>
      <w:r>
        <w:t>Example uploaded file: AR 22-23.pdf (PDF, approximately 14 MB in the observed setup).</w:t>
      </w:r>
    </w:p>
    <w:p>
      <w:r>
        <w:t>The Storage explorer may show 'File size is too large to preview in the explorer' for large PDFs. That does not mean the upload failed; the file can still be downloaded/opened using its URL.</w:t>
      </w:r>
    </w:p>
    <w:p>
      <w:pPr>
        <w:pStyle w:val="Heading1"/>
      </w:pPr>
      <w:r>
        <w:t>9. Why File Metadata Is Also Stored in ir_documents</w:t>
      </w:r>
    </w:p>
    <w:p>
      <w:r>
        <w:t>Storage contains the actual PDF. ir_documents contains the searchable metadata needed by the website: title, category, year, filename, file path, publish status, and ordering. This separation allows the frontend to query/filter documents without hard-coding every PDF into the UI.</w:t>
      </w:r>
    </w:p>
    <w:p>
      <w:pPr>
        <w:pStyle w:val="Heading1"/>
      </w:pPr>
      <w:r>
        <w:t>10. Document Records Added</w:t>
      </w:r>
    </w:p>
    <w:p>
      <w:r>
        <w:t>At the time of handover, 21 document records were visible in ir_documents and all were published.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Title</w:t>
            </w:r>
          </w:p>
        </w:tc>
        <w:tc>
          <w:tcPr>
            <w:tcW w:type="dxa" w:w="2520"/>
          </w:tcPr>
          <w:p>
            <w:r>
              <w:t>Storage filename</w:t>
            </w:r>
          </w:p>
        </w:tc>
        <w:tc>
          <w:tcPr>
            <w:tcW w:type="dxa" w:w="2520"/>
          </w:tcPr>
          <w:p>
            <w:r>
              <w:t>Category</w:t>
            </w:r>
          </w:p>
        </w:tc>
        <w:tc>
          <w:tcPr>
            <w:tcW w:type="dxa" w:w="2520"/>
          </w:tcPr>
          <w:p>
            <w:r>
              <w:t>Year</w:t>
            </w:r>
          </w:p>
        </w:tc>
      </w:tr>
      <w:tr>
        <w:tc>
          <w:tcPr>
            <w:tcW w:type="dxa" w:w="2520"/>
          </w:tcPr>
          <w:p>
            <w:r>
              <w:t>Annual Report 2021-22</w:t>
            </w:r>
          </w:p>
        </w:tc>
        <w:tc>
          <w:tcPr>
            <w:tcW w:type="dxa" w:w="2520"/>
          </w:tcPr>
          <w:p>
            <w:r>
              <w:t>AR 21-22.pdf</w:t>
            </w:r>
          </w:p>
        </w:tc>
        <w:tc>
          <w:tcPr>
            <w:tcW w:type="dxa" w:w="2520"/>
          </w:tcPr>
          <w:p>
            <w:r>
              <w:t>Annual Reports</w:t>
            </w:r>
          </w:p>
        </w:tc>
        <w:tc>
          <w:tcPr>
            <w:tcW w:type="dxa" w:w="2520"/>
          </w:tcPr>
          <w:p>
            <w:r>
              <w:t>2021-22</w:t>
            </w:r>
          </w:p>
        </w:tc>
      </w:tr>
      <w:tr>
        <w:tc>
          <w:tcPr>
            <w:tcW w:type="dxa" w:w="2520"/>
          </w:tcPr>
          <w:p>
            <w:r>
              <w:t>Annual Report 2022-23</w:t>
            </w:r>
          </w:p>
        </w:tc>
        <w:tc>
          <w:tcPr>
            <w:tcW w:type="dxa" w:w="2520"/>
          </w:tcPr>
          <w:p>
            <w:r>
              <w:t>AR 22-23.pdf</w:t>
            </w:r>
          </w:p>
        </w:tc>
        <w:tc>
          <w:tcPr>
            <w:tcW w:type="dxa" w:w="2520"/>
          </w:tcPr>
          <w:p>
            <w:r>
              <w:t>Annual Reports</w:t>
            </w:r>
          </w:p>
        </w:tc>
        <w:tc>
          <w:tcPr>
            <w:tcW w:type="dxa" w:w="2520"/>
          </w:tcPr>
          <w:p>
            <w:r>
              <w:t>2022-23</w:t>
            </w:r>
          </w:p>
        </w:tc>
      </w:tr>
      <w:tr>
        <w:tc>
          <w:tcPr>
            <w:tcW w:type="dxa" w:w="2520"/>
          </w:tcPr>
          <w:p>
            <w:r>
              <w:t>Annual Report 2023-24</w:t>
            </w:r>
          </w:p>
        </w:tc>
        <w:tc>
          <w:tcPr>
            <w:tcW w:type="dxa" w:w="2520"/>
          </w:tcPr>
          <w:p>
            <w:r>
              <w:t>AR 23-24.pdf</w:t>
            </w:r>
          </w:p>
        </w:tc>
        <w:tc>
          <w:tcPr>
            <w:tcW w:type="dxa" w:w="2520"/>
          </w:tcPr>
          <w:p>
            <w:r>
              <w:t>Annual Reports</w:t>
            </w:r>
          </w:p>
        </w:tc>
        <w:tc>
          <w:tcPr>
            <w:tcW w:type="dxa" w:w="2520"/>
          </w:tcPr>
          <w:p>
            <w:r>
              <w:t>2023-24</w:t>
            </w:r>
          </w:p>
        </w:tc>
      </w:tr>
      <w:tr>
        <w:tc>
          <w:tcPr>
            <w:tcW w:type="dxa" w:w="2520"/>
          </w:tcPr>
          <w:p>
            <w:r>
              <w:t>Annual Report 2024-25</w:t>
            </w:r>
          </w:p>
        </w:tc>
        <w:tc>
          <w:tcPr>
            <w:tcW w:type="dxa" w:w="2520"/>
          </w:tcPr>
          <w:p>
            <w:r>
              <w:t>AR 24-25.pdf</w:t>
            </w:r>
          </w:p>
        </w:tc>
        <w:tc>
          <w:tcPr>
            <w:tcW w:type="dxa" w:w="2520"/>
          </w:tcPr>
          <w:p>
            <w:r>
              <w:t>Annual Reports</w:t>
            </w:r>
          </w:p>
        </w:tc>
        <w:tc>
          <w:tcPr>
            <w:tcW w:type="dxa" w:w="2520"/>
          </w:tcPr>
          <w:p>
            <w:r>
              <w:t>2024-25</w:t>
            </w:r>
          </w:p>
        </w:tc>
      </w:tr>
      <w:tr>
        <w:tc>
          <w:tcPr>
            <w:tcW w:type="dxa" w:w="2520"/>
          </w:tcPr>
          <w:p>
            <w:r>
              <w:t>June 2026 Financial Statement</w:t>
            </w:r>
          </w:p>
        </w:tc>
        <w:tc>
          <w:tcPr>
            <w:tcW w:type="dxa" w:w="2520"/>
          </w:tcPr>
          <w:p>
            <w:r>
              <w:t>KFIL June 2026 FS.pdf</w:t>
            </w:r>
          </w:p>
        </w:tc>
        <w:tc>
          <w:tcPr>
            <w:tcW w:type="dxa" w:w="2520"/>
          </w:tcPr>
          <w:p>
            <w:r>
              <w:t>Financial Results</w:t>
            </w:r>
          </w:p>
        </w:tc>
        <w:tc>
          <w:tcPr>
            <w:tcW w:type="dxa" w:w="2520"/>
          </w:tcPr>
          <w:p>
            <w:r>
              <w:t>2026</w:t>
            </w:r>
          </w:p>
        </w:tc>
      </w:tr>
      <w:tr>
        <w:tc>
          <w:tcPr>
            <w:tcW w:type="dxa" w:w="2520"/>
          </w:tcPr>
          <w:p>
            <w:r>
              <w:t>March 2026 Financial Statement</w:t>
            </w:r>
          </w:p>
        </w:tc>
        <w:tc>
          <w:tcPr>
            <w:tcW w:type="dxa" w:w="2520"/>
          </w:tcPr>
          <w:p>
            <w:r>
              <w:t>KFIL March 2026 FS.pdf</w:t>
            </w:r>
          </w:p>
        </w:tc>
        <w:tc>
          <w:tcPr>
            <w:tcW w:type="dxa" w:w="2520"/>
          </w:tcPr>
          <w:p>
            <w:r>
              <w:t>Financial Results</w:t>
            </w:r>
          </w:p>
        </w:tc>
        <w:tc>
          <w:tcPr>
            <w:tcW w:type="dxa" w:w="2520"/>
          </w:tcPr>
          <w:p>
            <w:r>
              <w:t>2026</w:t>
            </w:r>
          </w:p>
        </w:tc>
      </w:tr>
      <w:tr>
        <w:tc>
          <w:tcPr>
            <w:tcW w:type="dxa" w:w="2520"/>
          </w:tcPr>
          <w:p>
            <w:r>
              <w:t>Shareholding Pattern Q4 2025-26</w:t>
            </w:r>
          </w:p>
        </w:tc>
        <w:tc>
          <w:tcPr>
            <w:tcW w:type="dxa" w:w="2520"/>
          </w:tcPr>
          <w:p>
            <w:r>
              <w:t>SHP Q4 25-26.pdf</w:t>
            </w:r>
          </w:p>
        </w:tc>
        <w:tc>
          <w:tcPr>
            <w:tcW w:type="dxa" w:w="2520"/>
          </w:tcPr>
          <w:p>
            <w:r>
              <w:t>Shareholding Pattern</w:t>
            </w:r>
          </w:p>
        </w:tc>
        <w:tc>
          <w:tcPr>
            <w:tcW w:type="dxa" w:w="2520"/>
          </w:tcPr>
          <w:p>
            <w:r>
              <w:t>2025-26</w:t>
            </w:r>
          </w:p>
        </w:tc>
      </w:tr>
      <w:tr>
        <w:tc>
          <w:tcPr>
            <w:tcW w:type="dxa" w:w="2520"/>
          </w:tcPr>
          <w:p>
            <w:r>
              <w:t>Shareholding Pattern Q1 2026-27</w:t>
            </w:r>
          </w:p>
        </w:tc>
        <w:tc>
          <w:tcPr>
            <w:tcW w:type="dxa" w:w="2520"/>
          </w:tcPr>
          <w:p>
            <w:r>
              <w:t>SHP Q1 26-27.pdf</w:t>
            </w:r>
          </w:p>
        </w:tc>
        <w:tc>
          <w:tcPr>
            <w:tcW w:type="dxa" w:w="2520"/>
          </w:tcPr>
          <w:p>
            <w:r>
              <w:t>Shareholding Pattern</w:t>
            </w:r>
          </w:p>
        </w:tc>
        <w:tc>
          <w:tcPr>
            <w:tcW w:type="dxa" w:w="2520"/>
          </w:tcPr>
          <w:p>
            <w:r>
              <w:t>2026-27</w:t>
            </w:r>
          </w:p>
        </w:tc>
      </w:tr>
      <w:tr>
        <w:tc>
          <w:tcPr>
            <w:tcW w:type="dxa" w:w="2520"/>
          </w:tcPr>
          <w:p>
            <w:r>
              <w:t>Outcome of Board Meeting 16.05.2026</w:t>
            </w:r>
          </w:p>
        </w:tc>
        <w:tc>
          <w:tcPr>
            <w:tcW w:type="dxa" w:w="2520"/>
          </w:tcPr>
          <w:p>
            <w:r>
              <w:t>OutcomeofBM16052026KFIL.pdf</w:t>
            </w:r>
          </w:p>
        </w:tc>
        <w:tc>
          <w:tcPr>
            <w:tcW w:type="dxa" w:w="2520"/>
          </w:tcPr>
          <w:p>
            <w:r>
              <w:t>Updates &amp; Announcements</w:t>
            </w:r>
          </w:p>
        </w:tc>
        <w:tc>
          <w:tcPr>
            <w:tcW w:type="dxa" w:w="2520"/>
          </w:tcPr>
          <w:p>
            <w:r>
              <w:t>2026</w:t>
            </w:r>
          </w:p>
        </w:tc>
      </w:tr>
      <w:tr>
        <w:tc>
          <w:tcPr>
            <w:tcW w:type="dxa" w:w="2520"/>
          </w:tcPr>
          <w:p>
            <w:r>
              <w:t>Outcome of Board Meeting 22.07.2026</w:t>
            </w:r>
          </w:p>
        </w:tc>
        <w:tc>
          <w:tcPr>
            <w:tcW w:type="dxa" w:w="2520"/>
          </w:tcPr>
          <w:p>
            <w:r>
              <w:t>OutcomeofBM22072026KFIL.pdf</w:t>
            </w:r>
          </w:p>
        </w:tc>
        <w:tc>
          <w:tcPr>
            <w:tcW w:type="dxa" w:w="2520"/>
          </w:tcPr>
          <w:p>
            <w:r>
              <w:t>Updates &amp; Announcements</w:t>
            </w:r>
          </w:p>
        </w:tc>
        <w:tc>
          <w:tcPr>
            <w:tcW w:type="dxa" w:w="2520"/>
          </w:tcPr>
          <w:p>
            <w:r>
              <w:t>2026</w:t>
            </w:r>
          </w:p>
        </w:tc>
      </w:tr>
      <w:tr>
        <w:tc>
          <w:tcPr>
            <w:tcW w:type="dxa" w:w="2520"/>
          </w:tcPr>
          <w:p>
            <w:r>
              <w:t>SE BM Intimation 16.05.2026</w:t>
            </w:r>
          </w:p>
        </w:tc>
        <w:tc>
          <w:tcPr>
            <w:tcW w:type="dxa" w:w="2520"/>
          </w:tcPr>
          <w:p>
            <w:r>
              <w:t>SE BM Intimation_16.05.2026 KFIL.pdf</w:t>
            </w:r>
          </w:p>
        </w:tc>
        <w:tc>
          <w:tcPr>
            <w:tcW w:type="dxa" w:w="2520"/>
          </w:tcPr>
          <w:p>
            <w:r>
              <w:t>Updates &amp; Announcements</w:t>
            </w:r>
          </w:p>
        </w:tc>
        <w:tc>
          <w:tcPr>
            <w:tcW w:type="dxa" w:w="2520"/>
          </w:tcPr>
          <w:p>
            <w:r>
              <w:t>2026</w:t>
            </w:r>
          </w:p>
        </w:tc>
      </w:tr>
      <w:tr>
        <w:tc>
          <w:tcPr>
            <w:tcW w:type="dxa" w:w="2520"/>
          </w:tcPr>
          <w:p>
            <w:r>
              <w:t>SE BM Intimation 18.07.2026</w:t>
            </w:r>
          </w:p>
        </w:tc>
        <w:tc>
          <w:tcPr>
            <w:tcW w:type="dxa" w:w="2520"/>
          </w:tcPr>
          <w:p>
            <w:r>
              <w:t>SEBMIntimation18072026 KFIL.pdf</w:t>
            </w:r>
          </w:p>
        </w:tc>
        <w:tc>
          <w:tcPr>
            <w:tcW w:type="dxa" w:w="2520"/>
          </w:tcPr>
          <w:p>
            <w:r>
              <w:t>Updates &amp; Announcements</w:t>
            </w:r>
          </w:p>
        </w:tc>
        <w:tc>
          <w:tcPr>
            <w:tcW w:type="dxa" w:w="2520"/>
          </w:tcPr>
          <w:p>
            <w:r>
              <w:t>2026</w:t>
            </w:r>
          </w:p>
        </w:tc>
      </w:tr>
      <w:tr>
        <w:tc>
          <w:tcPr>
            <w:tcW w:type="dxa" w:w="2520"/>
          </w:tcPr>
          <w:p>
            <w:r>
              <w:t>SE final letter dated 11.08.2025</w:t>
            </w:r>
          </w:p>
        </w:tc>
        <w:tc>
          <w:tcPr>
            <w:tcW w:type="dxa" w:w="2520"/>
          </w:tcPr>
          <w:p>
            <w:r>
              <w:t>SE final letter dated 11.08.2025.pdf</w:t>
            </w:r>
          </w:p>
        </w:tc>
        <w:tc>
          <w:tcPr>
            <w:tcW w:type="dxa" w:w="2520"/>
          </w:tcPr>
          <w:p>
            <w:r>
              <w:t>Updates &amp; Announcements</w:t>
            </w:r>
          </w:p>
        </w:tc>
        <w:tc>
          <w:tcPr>
            <w:tcW w:type="dxa" w:w="2520"/>
          </w:tcPr>
          <w:p>
            <w:r>
              <w:t>2025</w:t>
            </w:r>
          </w:p>
        </w:tc>
      </w:tr>
      <w:tr>
        <w:tc>
          <w:tcPr>
            <w:tcW w:type="dxa" w:w="2520"/>
          </w:tcPr>
          <w:p>
            <w:r>
              <w:t>SE letter final signed 05.08.2025</w:t>
            </w:r>
          </w:p>
        </w:tc>
        <w:tc>
          <w:tcPr>
            <w:tcW w:type="dxa" w:w="2520"/>
          </w:tcPr>
          <w:p>
            <w:r>
              <w:t>SE letter final signed_05.08.2025.pdf</w:t>
            </w:r>
          </w:p>
        </w:tc>
        <w:tc>
          <w:tcPr>
            <w:tcW w:type="dxa" w:w="2520"/>
          </w:tcPr>
          <w:p>
            <w:r>
              <w:t>Updates &amp; Announcements</w:t>
            </w:r>
          </w:p>
        </w:tc>
        <w:tc>
          <w:tcPr>
            <w:tcW w:type="dxa" w:w="2520"/>
          </w:tcPr>
          <w:p>
            <w:r>
              <w:t>2025</w:t>
            </w:r>
          </w:p>
        </w:tc>
      </w:tr>
      <w:tr>
        <w:tc>
          <w:tcPr>
            <w:tcW w:type="dxa" w:w="2520"/>
          </w:tcPr>
          <w:p>
            <w:r>
              <w:t>SE letter final signed 06.08.2025</w:t>
            </w:r>
          </w:p>
        </w:tc>
        <w:tc>
          <w:tcPr>
            <w:tcW w:type="dxa" w:w="2520"/>
          </w:tcPr>
          <w:p>
            <w:r>
              <w:t>SE letter final signed_06.02.2026.pdf</w:t>
            </w:r>
          </w:p>
        </w:tc>
        <w:tc>
          <w:tcPr>
            <w:tcW w:type="dxa" w:w="2520"/>
          </w:tcPr>
          <w:p>
            <w:r>
              <w:t>Updates &amp; Announcements</w:t>
            </w:r>
          </w:p>
        </w:tc>
        <w:tc>
          <w:tcPr>
            <w:tcW w:type="dxa" w:w="2520"/>
          </w:tcPr>
          <w:p>
            <w:r>
              <w:t>2025</w:t>
            </w:r>
          </w:p>
        </w:tc>
      </w:tr>
      <w:tr>
        <w:tc>
          <w:tcPr>
            <w:tcW w:type="dxa" w:w="2520"/>
          </w:tcPr>
          <w:p>
            <w:r>
              <w:t>SE letter final signed 08.11.2025</w:t>
            </w:r>
          </w:p>
        </w:tc>
        <w:tc>
          <w:tcPr>
            <w:tcW w:type="dxa" w:w="2520"/>
          </w:tcPr>
          <w:p>
            <w:r>
              <w:t>SE letter final signed_08.11.2025.pdf</w:t>
            </w:r>
          </w:p>
        </w:tc>
        <w:tc>
          <w:tcPr>
            <w:tcW w:type="dxa" w:w="2520"/>
          </w:tcPr>
          <w:p>
            <w:r>
              <w:t>Updates &amp; Announcements</w:t>
            </w:r>
          </w:p>
        </w:tc>
        <w:tc>
          <w:tcPr>
            <w:tcW w:type="dxa" w:w="2520"/>
          </w:tcPr>
          <w:p>
            <w:r>
              <w:t>2025</w:t>
            </w:r>
          </w:p>
        </w:tc>
      </w:tr>
      <w:tr>
        <w:tc>
          <w:tcPr>
            <w:tcW w:type="dxa" w:w="2520"/>
          </w:tcPr>
          <w:p>
            <w:r>
              <w:t>SE letter final signed 13.11.2025</w:t>
            </w:r>
          </w:p>
        </w:tc>
        <w:tc>
          <w:tcPr>
            <w:tcW w:type="dxa" w:w="2520"/>
          </w:tcPr>
          <w:p>
            <w:r>
              <w:t>SE letter final signed_13.11.2025.pdf</w:t>
            </w:r>
          </w:p>
        </w:tc>
        <w:tc>
          <w:tcPr>
            <w:tcW w:type="dxa" w:w="2520"/>
          </w:tcPr>
          <w:p>
            <w:r>
              <w:t>Updates &amp; Announcements</w:t>
            </w:r>
          </w:p>
        </w:tc>
        <w:tc>
          <w:tcPr>
            <w:tcW w:type="dxa" w:w="2520"/>
          </w:tcPr>
          <w:p>
            <w:r>
              <w:t>2025</w:t>
            </w:r>
          </w:p>
        </w:tc>
      </w:tr>
      <w:tr>
        <w:tc>
          <w:tcPr>
            <w:tcW w:type="dxa" w:w="2520"/>
          </w:tcPr>
          <w:p>
            <w:r>
              <w:t>SE letter final signed 27.05.2025</w:t>
            </w:r>
          </w:p>
        </w:tc>
        <w:tc>
          <w:tcPr>
            <w:tcW w:type="dxa" w:w="2520"/>
          </w:tcPr>
          <w:p>
            <w:r>
              <w:t>SE letter final signed_27.05.2025.pdf</w:t>
            </w:r>
          </w:p>
        </w:tc>
        <w:tc>
          <w:tcPr>
            <w:tcW w:type="dxa" w:w="2520"/>
          </w:tcPr>
          <w:p>
            <w:r>
              <w:t>Updates &amp; Announcements</w:t>
            </w:r>
          </w:p>
        </w:tc>
        <w:tc>
          <w:tcPr>
            <w:tcW w:type="dxa" w:w="2520"/>
          </w:tcPr>
          <w:p>
            <w:r>
              <w:t>2025</w:t>
            </w:r>
          </w:p>
        </w:tc>
      </w:tr>
      <w:tr>
        <w:tc>
          <w:tcPr>
            <w:tcW w:type="dxa" w:w="2520"/>
          </w:tcPr>
          <w:p>
            <w:r>
              <w:t>SE letter signed 14.02.2026</w:t>
            </w:r>
          </w:p>
        </w:tc>
        <w:tc>
          <w:tcPr>
            <w:tcW w:type="dxa" w:w="2520"/>
          </w:tcPr>
          <w:p>
            <w:r>
              <w:t>SE letter signed_14.02.2026.pdf</w:t>
            </w:r>
          </w:p>
        </w:tc>
        <w:tc>
          <w:tcPr>
            <w:tcW w:type="dxa" w:w="2520"/>
          </w:tcPr>
          <w:p>
            <w:r>
              <w:t>Updates &amp; Announcements</w:t>
            </w:r>
          </w:p>
        </w:tc>
        <w:tc>
          <w:tcPr>
            <w:tcW w:type="dxa" w:w="2520"/>
          </w:tcPr>
          <w:p>
            <w:r>
              <w:t>2025</w:t>
            </w:r>
          </w:p>
        </w:tc>
      </w:tr>
      <w:tr>
        <w:tc>
          <w:tcPr>
            <w:tcW w:type="dxa" w:w="2520"/>
          </w:tcPr>
          <w:p>
            <w:r>
              <w:t>SE letter signed 20.05.2025</w:t>
            </w:r>
          </w:p>
        </w:tc>
        <w:tc>
          <w:tcPr>
            <w:tcW w:type="dxa" w:w="2520"/>
          </w:tcPr>
          <w:p>
            <w:r>
              <w:t>SE letter signed_20.05.2025.pdf</w:t>
            </w:r>
          </w:p>
        </w:tc>
        <w:tc>
          <w:tcPr>
            <w:tcW w:type="dxa" w:w="2520"/>
          </w:tcPr>
          <w:p>
            <w:r>
              <w:t>Updates &amp; Announcements</w:t>
            </w:r>
          </w:p>
        </w:tc>
        <w:tc>
          <w:tcPr>
            <w:tcW w:type="dxa" w:w="2520"/>
          </w:tcPr>
          <w:p>
            <w:r>
              <w:t>2025</w:t>
            </w:r>
          </w:p>
        </w:tc>
      </w:tr>
      <w:tr>
        <w:tc>
          <w:tcPr>
            <w:tcW w:type="dxa" w:w="2520"/>
          </w:tcPr>
          <w:p>
            <w:r>
              <w:t>SEmayank 09.09.2025</w:t>
            </w:r>
          </w:p>
        </w:tc>
        <w:tc>
          <w:tcPr>
            <w:tcW w:type="dxa" w:w="2520"/>
          </w:tcPr>
          <w:p>
            <w:r>
              <w:t>SEmayank 09.09.2025.pdf</w:t>
            </w:r>
          </w:p>
        </w:tc>
        <w:tc>
          <w:tcPr>
            <w:tcW w:type="dxa" w:w="2520"/>
          </w:tcPr>
          <w:p>
            <w:r>
              <w:t>Updates &amp; Announcements</w:t>
            </w:r>
          </w:p>
        </w:tc>
        <w:tc>
          <w:tcPr>
            <w:tcW w:type="dxa" w:w="2520"/>
          </w:tcPr>
          <w:p>
            <w:r>
              <w:t>2025</w:t>
            </w:r>
          </w:p>
        </w:tc>
      </w:tr>
    </w:tbl>
    <w:p>
      <w:pPr>
        <w:pStyle w:val="Heading1"/>
      </w:pPr>
      <w:r>
        <w:t>11. Verification Query Used</w:t>
      </w:r>
    </w:p>
    <w:p>
      <w:r>
        <w:t>To verify document records and category relationships, the following query was used:</w:t>
      </w:r>
    </w:p>
    <w:p>
      <w:pPr>
        <w:pStyle w:val="NoSpacing"/>
      </w:pPr>
      <w:r>
        <w:t>select</w:t>
        <w:br/>
        <w:t xml:space="preserve">  d.id,</w:t>
        <w:br/>
        <w:t xml:space="preserve">  d.title,</w:t>
        <w:br/>
        <w:t xml:space="preserve">  d.year,</w:t>
        <w:br/>
        <w:t xml:space="preserve">  d.file_name,</w:t>
        <w:br/>
        <w:t xml:space="preserve">  d.file_path,</w:t>
        <w:br/>
        <w:t xml:space="preserve">  d.is_published,</w:t>
        <w:br/>
        <w:t xml:space="preserve">  c.slug as category_slug,</w:t>
        <w:br/>
        <w:t xml:space="preserve">  c.name as category_name</w:t>
        <w:br/>
        <w:t>from public.ir_documents d</w:t>
        <w:br/>
        <w:t>join public.ir_categories c</w:t>
        <w:br/>
        <w:t xml:space="preserve">  on c.id = d.category_id</w:t>
        <w:br/>
        <w:t>order by c.sort_order, d.sort_order, d.year;</w:t>
      </w:r>
    </w:p>
    <w:p>
      <w:pPr>
        <w:pStyle w:val="Heading1"/>
      </w:pPr>
      <w:r>
        <w:t>12. RLS Policies</w:t>
      </w:r>
    </w:p>
    <w:p>
      <w:r>
        <w:t>Row Level Security was enabled on ir_documents. The following policies were visible in Supabase:</w:t>
      </w:r>
    </w:p>
    <w:p>
      <w:pPr>
        <w:pStyle w:val="ListBullet"/>
      </w:pPr>
      <w:r>
        <w:t>Public can read published IR documents — SELECT — anon/authenticated — using (is_published = true).</w:t>
      </w:r>
    </w:p>
    <w:p>
      <w:pPr>
        <w:pStyle w:val="ListBullet"/>
      </w:pPr>
      <w:r>
        <w:t>Authenticated users can view all IR documents — SELECT — authenticated.</w:t>
      </w:r>
    </w:p>
    <w:p>
      <w:pPr>
        <w:pStyle w:val="ListBullet"/>
      </w:pPr>
      <w:r>
        <w:t>Authenticated users can insert IR documents — INSERT — authenticated.</w:t>
      </w:r>
    </w:p>
    <w:p>
      <w:pPr>
        <w:pStyle w:val="ListBullet"/>
      </w:pPr>
      <w:r>
        <w:t>Authenticated users can update IR documents — UPDATE — authenticated.</w:t>
      </w:r>
    </w:p>
    <w:p>
      <w:pPr>
        <w:pStyle w:val="ListBullet"/>
      </w:pPr>
      <w:r>
        <w:t>Authenticated users can delete IR documents — DELETE — authenticated.</w:t>
      </w:r>
    </w:p>
    <w:p>
      <w:r>
        <w:t>The public read policy was created with:</w:t>
      </w:r>
    </w:p>
    <w:p>
      <w:pPr>
        <w:pStyle w:val="NoSpacing"/>
      </w:pPr>
      <w:r>
        <w:t>create policy "Public can read published IR documents"</w:t>
        <w:br/>
        <w:t>on public.ir_documents</w:t>
        <w:br/>
        <w:t>for select</w:t>
        <w:br/>
        <w:t>to anon, authenticated</w:t>
        <w:br/>
        <w:t>using (is_published = true);</w:t>
      </w:r>
    </w:p>
    <w:p>
      <w:r>
        <w:t>The authenticated CRUD policies were configured in Supabase so the admin area can manage documents while the public website can read published documents.</w:t>
      </w:r>
    </w:p>
    <w:p>
      <w:pPr>
        <w:pStyle w:val="Heading1"/>
      </w:pPr>
      <w:r>
        <w:t>13. Supabase Connection Test</w:t>
      </w:r>
    </w:p>
    <w:p>
      <w:r>
        <w:t>A temporary test page was created at src/pages/SupabaseTest.tsx to verify the browser connection and category query.</w:t>
      </w:r>
    </w:p>
    <w:p>
      <w:pPr>
        <w:pStyle w:val="NoSpacing"/>
      </w:pPr>
      <w:r>
        <w:t>import { useEffect, useState } from 'react';</w:t>
        <w:br/>
        <w:t>import { supabase } from '@/lib/supabase';</w:t>
        <w:br/>
        <w:br/>
        <w:t>type Category = {</w:t>
        <w:br/>
        <w:t xml:space="preserve">  id: string;</w:t>
        <w:br/>
        <w:t xml:space="preserve">  slug: string;</w:t>
        <w:br/>
        <w:t xml:space="preserve">  name: string;</w:t>
        <w:br/>
        <w:t>};</w:t>
        <w:br/>
        <w:br/>
        <w:t>export default function SupabaseTest() {</w:t>
        <w:br/>
        <w:t xml:space="preserve">  const [categories, setCategories] = useState&lt;Category[]&gt;([]);</w:t>
        <w:br/>
        <w:t xml:space="preserve">  const [error, setError] = useState&lt;string | null&gt;(null);</w:t>
        <w:br/>
        <w:t xml:space="preserve">  const [loading, setLoading] = useState(true);</w:t>
        <w:br/>
        <w:br/>
        <w:t xml:space="preserve">  useEffect(() =&gt; {</w:t>
        <w:br/>
        <w:t xml:space="preserve">    async function loadCategories() {</w:t>
        <w:br/>
        <w:t xml:space="preserve">      const { data, error } = await supabase</w:t>
        <w:br/>
        <w:t xml:space="preserve">        .from('ir_categories')</w:t>
        <w:br/>
        <w:t xml:space="preserve">        .select('id, slug, name')</w:t>
        <w:br/>
        <w:t xml:space="preserve">        .eq('is_active', true)</w:t>
        <w:br/>
        <w:t xml:space="preserve">        .order('sort_order', { ascending: true });</w:t>
        <w:br/>
        <w:br/>
        <w:t xml:space="preserve">      if (error) {</w:t>
        <w:br/>
        <w:t xml:space="preserve">        console.error(error);</w:t>
        <w:br/>
        <w:t xml:space="preserve">        setError(error.message);</w:t>
        <w:br/>
        <w:t xml:space="preserve">      } else {</w:t>
        <w:br/>
        <w:t xml:space="preserve">        setCategories(data ?? []);</w:t>
        <w:br/>
        <w:t xml:space="preserve">      }</w:t>
        <w:br/>
        <w:br/>
        <w:t xml:space="preserve">      setLoading(false);</w:t>
        <w:br/>
        <w:t xml:space="preserve">    }</w:t>
        <w:br/>
        <w:br/>
        <w:t xml:space="preserve">    loadCategories();</w:t>
        <w:br/>
        <w:t xml:space="preserve">  }, []);</w:t>
        <w:br/>
        <w:br/>
        <w:t xml:space="preserve">  if (loading) return &lt;div className="p-8"&gt;Loading...&lt;/div&gt;;</w:t>
        <w:br/>
        <w:br/>
        <w:t xml:space="preserve">  if (error) {</w:t>
        <w:br/>
        <w:t xml:space="preserve">    return (</w:t>
        <w:br/>
        <w:t xml:space="preserve">      &lt;div className="p-8"&gt;</w:t>
        <w:br/>
        <w:t xml:space="preserve">        &lt;h1 className="text-xl font-bold text-red-600"&gt;Supabase Error&lt;/h1&gt;</w:t>
        <w:br/>
        <w:t xml:space="preserve">        &lt;p className="mt-2"&gt;{error}&lt;/p&gt;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className="p-8"&gt;</w:t>
        <w:br/>
        <w:t xml:space="preserve">      &lt;h1 className="text-2xl font-bold"&gt;Supabase Connection Test&lt;/h1&gt;</w:t>
        <w:br/>
        <w:t xml:space="preserve">      &lt;p className="mt-2 text-green-600"&gt;Connected successfully.&lt;/p&gt;</w:t>
        <w:br/>
        <w:br/>
        <w:t xml:space="preserve">      &lt;div className="mt-6 space-y-2"&gt;</w:t>
        <w:br/>
        <w:t xml:space="preserve">        {categories.map((category) =&gt; (</w:t>
        <w:br/>
        <w:t xml:space="preserve">          &lt;div key={category.id} className="rounded-lg border p-4"&gt;</w:t>
        <w:br/>
        <w:t xml:space="preserve">            &lt;div className="font-semibold"&gt;{category.name}&lt;/div&gt;</w:t>
        <w:br/>
        <w:t xml:space="preserve">            &lt;div className="text-sm text-gray-500"&gt;{category.slug}&lt;/div&gt;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r>
        <w:t>The test initially failed because the code queried ir_categories.label. The actual schema uses ir_categories.name. After changing label → name, the test successfully returned all active categories.</w:t>
      </w:r>
    </w:p>
    <w:p>
      <w:pPr>
        <w:pStyle w:val="Heading1"/>
      </w:pPr>
      <w:r>
        <w:t>14. Frontend IR Data Flow</w:t>
      </w:r>
    </w:p>
    <w:p>
      <w:pPr>
        <w:pStyle w:val="ListNumber"/>
      </w:pPr>
      <w:r>
        <w:t>User opens an Investor Relations category.</w:t>
      </w:r>
    </w:p>
    <w:p>
      <w:pPr>
        <w:pStyle w:val="ListNumber"/>
      </w:pPr>
      <w:r>
        <w:t>Frontend uses the category slug to identify the category.</w:t>
      </w:r>
    </w:p>
    <w:p>
      <w:pPr>
        <w:pStyle w:val="ListNumber"/>
      </w:pPr>
      <w:r>
        <w:t>Supabase is queried for ir_documents joined/related to ir_categories.</w:t>
      </w:r>
    </w:p>
    <w:p>
      <w:pPr>
        <w:pStyle w:val="ListNumber"/>
      </w:pPr>
      <w:r>
        <w:t>Only published documents should be shown on the public site.</w:t>
      </w:r>
    </w:p>
    <w:p>
      <w:pPr>
        <w:pStyle w:val="ListNumber"/>
      </w:pPr>
      <w:r>
        <w:t>The document's file_path/file_name is used to open the corresponding PDF in Storage.</w:t>
      </w:r>
    </w:p>
    <w:p>
      <w:pPr>
        <w:pStyle w:val="ListNumber"/>
      </w:pPr>
      <w:r>
        <w:t>The admin area can list documents and perform View / Publish-Unpublish / Delete actions according to the configured auth/RLS rules.</w:t>
      </w:r>
    </w:p>
    <w:p>
      <w:pPr>
        <w:pStyle w:val="Heading1"/>
      </w:pPr>
      <w:r>
        <w:t>15. Hard-Coded File Arrays vs Supabase</w:t>
      </w:r>
    </w:p>
    <w:p>
      <w:r>
        <w:t>Before the database integration, document filenames were maintained in frontend arrays such as annualReports, financialResults, shareholdingReports, and updateAnnouncementsByYear. These arrays contained entries like:</w:t>
      </w:r>
    </w:p>
    <w:p>
      <w:pPr>
        <w:pStyle w:val="NoSpacing"/>
      </w:pPr>
      <w:r>
        <w:t>const annualReports = [</w:t>
        <w:br/>
        <w:t xml:space="preserve">  { year: '2021-22', file: 'AR 21-22.pdf' },</w:t>
        <w:br/>
        <w:t xml:space="preserve">  { year: '2022-23', file: 'AR 22-23.pdf' },</w:t>
        <w:br/>
        <w:t xml:space="preserve">  { year: '2023-24', file: 'AR 23-24.pdf' },</w:t>
        <w:br/>
        <w:t xml:space="preserve">  { year: '2024-25', file: 'AR 24-25.pdf' },</w:t>
        <w:br/>
        <w:t>];</w:t>
      </w:r>
    </w:p>
    <w:p>
      <w:r>
        <w:t>The new approach moves this metadata into ir_documents. Therefore, adding a new PDF should not require editing large frontend arrays; the developer/admin can upload the PDF to Storage and create/update the corresponding database record.</w:t>
      </w:r>
    </w:p>
    <w:p>
      <w:pPr>
        <w:pStyle w:val="Heading1"/>
      </w:pPr>
      <w:r>
        <w:t>16. Admin Authentication / Session Behavior</w:t>
      </w:r>
    </w:p>
    <w:p>
      <w:r>
        <w:t>The project includes src/pages/AdminLogin.tsx. Supabase Auth persists the browser session by default. Therefore, refreshing the admin page does not normally require logging in again. An access token is short-lived and Supabase can refresh the session using its refresh-token mechanism. The exact session lifetime should be treated as a Supabase Auth configuration concern rather than assuming that every page refresh means a new login.</w:t>
      </w:r>
    </w:p>
    <w:p>
      <w:r>
        <w:t>Recommended admin flow:</w:t>
      </w:r>
    </w:p>
    <w:p>
      <w:pPr>
        <w:pStyle w:val="ListNumber"/>
      </w:pPr>
      <w:r>
        <w:t>Admin opens /admin/login.</w:t>
      </w:r>
    </w:p>
    <w:p>
      <w:pPr>
        <w:pStyle w:val="ListNumber"/>
      </w:pPr>
      <w:r>
        <w:t>Admin signs in through Supabase Auth.</w:t>
      </w:r>
    </w:p>
    <w:p>
      <w:pPr>
        <w:pStyle w:val="ListNumber"/>
      </w:pPr>
      <w:r>
        <w:t>Authenticated session is restored after refresh.</w:t>
      </w:r>
    </w:p>
    <w:p>
      <w:pPr>
        <w:pStyle w:val="ListNumber"/>
      </w:pPr>
      <w:r>
        <w:t>Protected admin page checks for an active session.</w:t>
      </w:r>
    </w:p>
    <w:p>
      <w:pPr>
        <w:pStyle w:val="ListNumber"/>
      </w:pPr>
      <w:r>
        <w:t>If there is no valid session, redirect to /admin/login.</w:t>
      </w:r>
    </w:p>
    <w:p>
      <w:pPr>
        <w:pStyle w:val="ListNumber"/>
      </w:pPr>
      <w:r>
        <w:t>Logout explicitly signs the user out.</w:t>
      </w:r>
    </w:p>
    <w:p>
      <w:pPr>
        <w:pStyle w:val="Heading1"/>
      </w:pPr>
      <w:r>
        <w:t>17. Important Troubleshooting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Issue</w:t>
            </w:r>
          </w:p>
        </w:tc>
        <w:tc>
          <w:tcPr>
            <w:tcW w:type="dxa" w:w="5040"/>
          </w:tcPr>
          <w:p>
            <w:r>
              <w:t>Resolution / guidance</w:t>
            </w:r>
          </w:p>
        </w:tc>
      </w:tr>
      <w:tr>
        <w:tc>
          <w:tcPr>
            <w:tcW w:type="dxa" w:w="5040"/>
          </w:tcPr>
          <w:p>
            <w:r>
              <w:t>White screen / Supabase test issue</w:t>
            </w:r>
          </w:p>
        </w:tc>
        <w:tc>
          <w:tcPr>
            <w:tcW w:type="dxa" w:w="5040"/>
          </w:tcPr>
          <w:p>
            <w:r>
              <w:t>The application initially showed Supabase errors after adding the test page. Check the browser console and Supabase client/environment variables first.</w:t>
            </w:r>
          </w:p>
        </w:tc>
      </w:tr>
      <w:tr>
        <w:tc>
          <w:tcPr>
            <w:tcW w:type="dxa" w:w="5040"/>
          </w:tcPr>
          <w:p>
            <w:r>
              <w:t>Invalid path specified in request URL</w:t>
            </w:r>
          </w:p>
        </w:tc>
        <w:tc>
          <w:tcPr>
            <w:tcW w:type="dxa" w:w="5040"/>
          </w:tcPr>
          <w:p>
            <w:r>
              <w:t>This indicated an incorrect Supabase request/client URL configuration. Verify the Supabase project URL and browser client setup.</w:t>
            </w:r>
          </w:p>
        </w:tc>
      </w:tr>
      <w:tr>
        <w:tc>
          <w:tcPr>
            <w:tcW w:type="dxa" w:w="5040"/>
          </w:tcPr>
          <w:p>
            <w:r>
              <w:t>column ir_categories.label does not exist</w:t>
            </w:r>
          </w:p>
        </w:tc>
        <w:tc>
          <w:tcPr>
            <w:tcW w:type="dxa" w:w="5040"/>
          </w:tcPr>
          <w:p>
            <w:r>
              <w:t>The actual column is name. Query/select name instead of label.</w:t>
            </w:r>
          </w:p>
        </w:tc>
      </w:tr>
      <w:tr>
        <w:tc>
          <w:tcPr>
            <w:tcW w:type="dxa" w:w="5040"/>
          </w:tcPr>
          <w:p>
            <w:r>
              <w:t>relation ir_documents already exists</w:t>
            </w:r>
          </w:p>
        </w:tc>
        <w:tc>
          <w:tcPr>
            <w:tcW w:type="dxa" w:w="5040"/>
          </w:tcPr>
          <w:p>
            <w:r>
              <w:t>The CREATE TABLE statement was executed after the table had already been created. This is not a data-loss issue; do not recreate the table. Inspect/alter the existing table instead.</w:t>
            </w:r>
          </w:p>
        </w:tc>
      </w:tr>
      <w:tr>
        <w:tc>
          <w:tcPr>
            <w:tcW w:type="dxa" w:w="5040"/>
          </w:tcPr>
          <w:p>
            <w:r>
              <w:t>Storage PDF too large to preview</w:t>
            </w:r>
          </w:p>
        </w:tc>
        <w:tc>
          <w:tcPr>
            <w:tcW w:type="dxa" w:w="5040"/>
          </w:tcPr>
          <w:p>
            <w:r>
              <w:t>Large PDFs may not preview inside the Storage explorer. The uploaded file can still be used/downloaded through its Storage URL.</w:t>
            </w:r>
          </w:p>
        </w:tc>
      </w:tr>
      <w:tr>
        <w:tc>
          <w:tcPr>
            <w:tcW w:type="dxa" w:w="5040"/>
          </w:tcPr>
          <w:p>
            <w:r>
              <w:t>404 after login</w:t>
            </w:r>
          </w:p>
        </w:tc>
        <w:tc>
          <w:tcPr>
            <w:tcW w:type="dxa" w:w="5040"/>
          </w:tcPr>
          <w:p>
            <w:r>
              <w:t>This was an application routing/protected-route issue, separate from Supabase database storage. Ensure the router has the admin route and the authenticated page exists.</w:t>
            </w:r>
          </w:p>
        </w:tc>
      </w:tr>
    </w:tbl>
    <w:p>
      <w:pPr>
        <w:pStyle w:val="Heading1"/>
      </w:pPr>
      <w:r>
        <w:t>18. Safe Procedure for Adding a New IR PDF</w:t>
      </w:r>
    </w:p>
    <w:p>
      <w:pPr>
        <w:pStyle w:val="ListNumber"/>
      </w:pPr>
      <w:r>
        <w:t>Upload the PDF to Storage → investor-documents.</w:t>
      </w:r>
    </w:p>
    <w:p>
      <w:pPr>
        <w:pStyle w:val="ListNumber"/>
      </w:pPr>
      <w:r>
        <w:t>Copy/confirm the exact Storage filename. Spaces, underscores, punctuation, and capitalization matter.</w:t>
      </w:r>
    </w:p>
    <w:p>
      <w:pPr>
        <w:pStyle w:val="ListNumber"/>
      </w:pPr>
      <w:r>
        <w:t>Identify the correct ir_categories row using its slug/name.</w:t>
      </w:r>
    </w:p>
    <w:p>
      <w:pPr>
        <w:pStyle w:val="ListNumber"/>
      </w:pPr>
      <w:r>
        <w:t>Insert a row into public.ir_documents with category_id, title, year, file_name, file_path, published_date, is_published, and sort_order as appropriate.</w:t>
      </w:r>
    </w:p>
    <w:p>
      <w:pPr>
        <w:pStyle w:val="ListNumber"/>
      </w:pPr>
      <w:r>
        <w:t>Verify the row with a SELECT query.</w:t>
      </w:r>
    </w:p>
    <w:p>
      <w:pPr>
        <w:pStyle w:val="ListNumber"/>
      </w:pPr>
      <w:r>
        <w:t>Open the public IR page and confirm the document is visible if is_published = true.</w:t>
      </w:r>
    </w:p>
    <w:p>
      <w:pPr>
        <w:pStyle w:val="ListNumber"/>
      </w:pPr>
      <w:r>
        <w:t>Open the PDF URL and verify the Storage file resolves correctly.</w:t>
      </w:r>
    </w:p>
    <w:p>
      <w:pPr>
        <w:pStyle w:val="Heading1"/>
      </w:pPr>
      <w:r>
        <w:t>19. Useful SQL Queries for Future Developers</w:t>
      </w:r>
    </w:p>
    <w:p>
      <w:pPr>
        <w:pStyle w:val="Heading3"/>
      </w:pPr>
      <w:r>
        <w:t>List all categories</w:t>
      </w:r>
    </w:p>
    <w:p>
      <w:pPr>
        <w:pStyle w:val="NoSpacing"/>
      </w:pPr>
      <w:r>
        <w:t>select *</w:t>
        <w:br/>
        <w:t>from public.ir_categories</w:t>
        <w:br/>
        <w:t>order by sort_order;</w:t>
      </w:r>
    </w:p>
    <w:p>
      <w:pPr>
        <w:pStyle w:val="Heading3"/>
      </w:pPr>
      <w:r>
        <w:t>List all documents</w:t>
      </w:r>
    </w:p>
    <w:p>
      <w:pPr>
        <w:pStyle w:val="NoSpacing"/>
      </w:pPr>
      <w:r>
        <w:t>select *</w:t>
        <w:br/>
        <w:t>from public.ir_documents</w:t>
        <w:br/>
        <w:t>order by created_at desc;</w:t>
      </w:r>
    </w:p>
    <w:p>
      <w:pPr>
        <w:pStyle w:val="Heading3"/>
      </w:pPr>
      <w:r>
        <w:t>Find a document by filename</w:t>
      </w:r>
    </w:p>
    <w:p>
      <w:pPr>
        <w:pStyle w:val="NoSpacing"/>
      </w:pPr>
      <w:r>
        <w:t>select *</w:t>
        <w:br/>
        <w:t>from public.ir_documents</w:t>
        <w:br/>
        <w:t>where file_name = 'AR 24-25.pdf';</w:t>
      </w:r>
    </w:p>
    <w:p>
      <w:pPr>
        <w:pStyle w:val="Heading3"/>
      </w:pPr>
      <w:r>
        <w:t>List published documents with category names</w:t>
      </w:r>
    </w:p>
    <w:p>
      <w:pPr>
        <w:pStyle w:val="NoSpacing"/>
      </w:pPr>
      <w:r>
        <w:t>select</w:t>
        <w:br/>
        <w:t xml:space="preserve">  d.title,</w:t>
        <w:br/>
        <w:t xml:space="preserve">  d.year,</w:t>
        <w:br/>
        <w:t xml:space="preserve">  d.file_name,</w:t>
        <w:br/>
        <w:t xml:space="preserve">  d.file_path,</w:t>
        <w:br/>
        <w:t xml:space="preserve">  c.slug as category_slug,</w:t>
        <w:br/>
        <w:t xml:space="preserve">  c.name as category_name</w:t>
        <w:br/>
        <w:t>from public.ir_documents d</w:t>
        <w:br/>
        <w:t>join public.ir_categories c</w:t>
        <w:br/>
        <w:t xml:space="preserve">  on c.id = d.category_id</w:t>
        <w:br/>
        <w:t>where d.is_published = true</w:t>
        <w:br/>
        <w:t>order by c.sort_order, d.sort_order, d.year;</w:t>
      </w:r>
    </w:p>
    <w:p>
      <w:pPr>
        <w:pStyle w:val="Heading3"/>
      </w:pPr>
      <w:r>
        <w:t>Count documents</w:t>
      </w:r>
    </w:p>
    <w:p>
      <w:pPr>
        <w:pStyle w:val="NoSpacing"/>
      </w:pPr>
      <w:r>
        <w:t>select count(*)</w:t>
        <w:br/>
        <w:t>from public.ir_documents;</w:t>
      </w:r>
    </w:p>
    <w:p>
      <w:pPr>
        <w:pStyle w:val="Heading3"/>
      </w:pPr>
      <w:r>
        <w:t>Count published documents</w:t>
      </w:r>
    </w:p>
    <w:p>
      <w:pPr>
        <w:pStyle w:val="NoSpacing"/>
      </w:pPr>
      <w:r>
        <w:t>select count(*)</w:t>
        <w:br/>
        <w:t>from public.ir_documents</w:t>
        <w:br/>
        <w:t>where is_published = true;</w:t>
      </w:r>
    </w:p>
    <w:p>
      <w:pPr>
        <w:pStyle w:val="Heading1"/>
      </w:pPr>
      <w:r>
        <w:t>20. Important Security Notes</w:t>
      </w:r>
    </w:p>
    <w:p>
      <w:pPr>
        <w:pStyle w:val="ListBullet"/>
      </w:pPr>
      <w:r>
        <w:t>Never expose the Supabase service-role/secret key in Vite/React frontend code.</w:t>
      </w:r>
    </w:p>
    <w:p>
      <w:pPr>
        <w:pStyle w:val="ListBullet"/>
      </w:pPr>
      <w:r>
        <w:t>Use the publishable/anonymous browser key for client-side access.</w:t>
      </w:r>
    </w:p>
    <w:p>
      <w:pPr>
        <w:pStyle w:val="ListBullet"/>
      </w:pPr>
      <w:r>
        <w:t>Keep RLS enabled on database tables that are accessed from the browser.</w:t>
      </w:r>
    </w:p>
    <w:p>
      <w:pPr>
        <w:pStyle w:val="ListBullet"/>
      </w:pPr>
      <w:r>
        <w:t>Do not make all INSERT/UPDATE/DELETE operations public just to fix an RLS error.</w:t>
      </w:r>
    </w:p>
    <w:p>
      <w:pPr>
        <w:pStyle w:val="ListBullet"/>
      </w:pPr>
      <w:r>
        <w:t>Admin authorization should be enforced with authenticated sessions and appropriate RLS policies.</w:t>
      </w:r>
    </w:p>
    <w:p>
      <w:pPr>
        <w:pStyle w:val="ListBullet"/>
      </w:pPr>
      <w:r>
        <w:t>If role-based admin access is added later, enforce the role on the server/database side rather than relying only on hiding UI buttons.</w:t>
      </w:r>
    </w:p>
    <w:p>
      <w:pPr>
        <w:pStyle w:val="Heading1"/>
      </w:pPr>
      <w:r>
        <w:t>21. Current Handover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Status</w:t>
            </w:r>
          </w:p>
        </w:tc>
      </w:tr>
      <w:tr>
        <w:tc>
          <w:tcPr>
            <w:tcW w:type="dxa" w:w="5040"/>
          </w:tcPr>
          <w:p>
            <w:r>
              <w:t>Supabase project</w:t>
            </w:r>
          </w:p>
        </w:tc>
        <w:tc>
          <w:tcPr>
            <w:tcW w:type="dxa" w:w="5040"/>
          </w:tcPr>
          <w:p>
            <w:r>
              <w:t>Configured</w:t>
            </w:r>
          </w:p>
        </w:tc>
      </w:tr>
      <w:tr>
        <w:tc>
          <w:tcPr>
            <w:tcW w:type="dxa" w:w="5040"/>
          </w:tcPr>
          <w:p>
            <w:r>
              <w:t>ir_categories</w:t>
            </w:r>
          </w:p>
        </w:tc>
        <w:tc>
          <w:tcPr>
            <w:tcW w:type="dxa" w:w="5040"/>
          </w:tcPr>
          <w:p>
            <w:r>
              <w:t>Created and populated</w:t>
            </w:r>
          </w:p>
        </w:tc>
      </w:tr>
      <w:tr>
        <w:tc>
          <w:tcPr>
            <w:tcW w:type="dxa" w:w="5040"/>
          </w:tcPr>
          <w:p>
            <w:r>
              <w:t>ir_documents</w:t>
            </w:r>
          </w:p>
        </w:tc>
        <w:tc>
          <w:tcPr>
            <w:tcW w:type="dxa" w:w="5040"/>
          </w:tcPr>
          <w:p>
            <w:r>
              <w:t>Created and populated</w:t>
            </w:r>
          </w:p>
        </w:tc>
      </w:tr>
      <w:tr>
        <w:tc>
          <w:tcPr>
            <w:tcW w:type="dxa" w:w="5040"/>
          </w:tcPr>
          <w:p>
            <w:r>
              <w:t>Storage bucket investor-documents</w:t>
            </w:r>
          </w:p>
        </w:tc>
        <w:tc>
          <w:tcPr>
            <w:tcW w:type="dxa" w:w="5040"/>
          </w:tcPr>
          <w:p>
            <w:r>
              <w:t>Created, public, PDFs uploaded</w:t>
            </w:r>
          </w:p>
        </w:tc>
      </w:tr>
      <w:tr>
        <w:tc>
          <w:tcPr>
            <w:tcW w:type="dxa" w:w="5040"/>
          </w:tcPr>
          <w:p>
            <w:r>
              <w:t>Document metadata</w:t>
            </w:r>
          </w:p>
        </w:tc>
        <w:tc>
          <w:tcPr>
            <w:tcW w:type="dxa" w:w="5040"/>
          </w:tcPr>
          <w:p>
            <w:r>
              <w:t>21 records visible at handover</w:t>
            </w:r>
          </w:p>
        </w:tc>
      </w:tr>
      <w:tr>
        <w:tc>
          <w:tcPr>
            <w:tcW w:type="dxa" w:w="5040"/>
          </w:tcPr>
          <w:p>
            <w:r>
              <w:t>Published documents</w:t>
            </w:r>
          </w:p>
        </w:tc>
        <w:tc>
          <w:tcPr>
            <w:tcW w:type="dxa" w:w="5040"/>
          </w:tcPr>
          <w:p>
            <w:r>
              <w:t>21</w:t>
            </w:r>
          </w:p>
        </w:tc>
      </w:tr>
      <w:tr>
        <w:tc>
          <w:tcPr>
            <w:tcW w:type="dxa" w:w="5040"/>
          </w:tcPr>
          <w:p>
            <w:r>
              <w:t>Unpublished documents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Supabase connection test</w:t>
            </w:r>
          </w:p>
        </w:tc>
        <w:tc>
          <w:tcPr>
            <w:tcW w:type="dxa" w:w="5040"/>
          </w:tcPr>
          <w:p>
            <w:r>
              <w:t>Working</w:t>
            </w:r>
          </w:p>
        </w:tc>
      </w:tr>
      <w:tr>
        <w:tc>
          <w:tcPr>
            <w:tcW w:type="dxa" w:w="5040"/>
          </w:tcPr>
          <w:p>
            <w:r>
              <w:t>Public published-document SELECT policy</w:t>
            </w:r>
          </w:p>
        </w:tc>
        <w:tc>
          <w:tcPr>
            <w:tcW w:type="dxa" w:w="5040"/>
          </w:tcPr>
          <w:p>
            <w:r>
              <w:t>Configured</w:t>
            </w:r>
          </w:p>
        </w:tc>
      </w:tr>
      <w:tr>
        <w:tc>
          <w:tcPr>
            <w:tcW w:type="dxa" w:w="5040"/>
          </w:tcPr>
          <w:p>
            <w:r>
              <w:t>Authenticated document CRUD policies</w:t>
            </w:r>
          </w:p>
        </w:tc>
        <w:tc>
          <w:tcPr>
            <w:tcW w:type="dxa" w:w="5040"/>
          </w:tcPr>
          <w:p>
            <w:r>
              <w:t>Configured</w:t>
            </w:r>
          </w:p>
        </w:tc>
      </w:tr>
      <w:tr>
        <w:tc>
          <w:tcPr>
            <w:tcW w:type="dxa" w:w="5040"/>
          </w:tcPr>
          <w:p>
            <w:r>
              <w:t>Admin login/session</w:t>
            </w:r>
          </w:p>
        </w:tc>
        <w:tc>
          <w:tcPr>
            <w:tcW w:type="dxa" w:w="5040"/>
          </w:tcPr>
          <w:p>
            <w:r>
              <w:t>Implemented; session persists across refresh</w:t>
            </w:r>
          </w:p>
        </w:tc>
      </w:tr>
    </w:tbl>
    <w:p>
      <w:pPr>
        <w:pStyle w:val="Heading1"/>
      </w:pPr>
      <w:r>
        <w:t>22. Final Developer Checklist</w:t>
      </w:r>
    </w:p>
    <w:p>
      <w:pPr>
        <w:pStyle w:val="ListBullet"/>
      </w:pPr>
      <w:r>
        <w:t>Check .env/.env.local before debugging Supabase connection errors.</w:t>
      </w:r>
    </w:p>
    <w:p>
      <w:pPr>
        <w:pStyle w:val="ListBullet"/>
      </w:pPr>
      <w:r>
        <w:t>Check the exact database column names before writing .select(...) queries.</w:t>
      </w:r>
    </w:p>
    <w:p>
      <w:pPr>
        <w:pStyle w:val="ListBullet"/>
      </w:pPr>
      <w:r>
        <w:t>Use ir_categories.name, not label.</w:t>
      </w:r>
    </w:p>
    <w:p>
      <w:pPr>
        <w:pStyle w:val="ListBullet"/>
      </w:pPr>
      <w:r>
        <w:t>Use category_id UUID values from ir_categories when inserting ir_documents.</w:t>
      </w:r>
    </w:p>
    <w:p>
      <w:pPr>
        <w:pStyle w:val="ListBullet"/>
      </w:pPr>
      <w:r>
        <w:t>Keep Storage filenames exactly synchronized with ir_documents.file_name/file_path.</w:t>
      </w:r>
    </w:p>
    <w:p>
      <w:pPr>
        <w:pStyle w:val="ListBullet"/>
      </w:pPr>
      <w:r>
        <w:t>Do not recreate ir_documents if it already exists.</w:t>
      </w:r>
    </w:p>
    <w:p>
      <w:pPr>
        <w:pStyle w:val="ListBullet"/>
      </w:pPr>
      <w:r>
        <w:t>Check RLS policies when browser queries return empty results or permission errors.</w:t>
      </w:r>
    </w:p>
    <w:p>
      <w:pPr>
        <w:pStyle w:val="ListBullet"/>
      </w:pPr>
      <w:r>
        <w:t>Test both anonymous/public access and authenticated/admin access.</w:t>
      </w:r>
    </w:p>
    <w:p>
      <w:pPr>
        <w:pStyle w:val="ListBullet"/>
      </w:pPr>
      <w:r>
        <w:t>When adding documents, upload the PDF first and then add its metadata row.</w:t>
      </w:r>
    </w:p>
    <w:p/>
    <w:p>
      <w:r>
        <w:rPr>
          <w:b/>
        </w:rPr>
        <w:t xml:space="preserve">Handover note: </w:t>
      </w:r>
      <w:r>
        <w:t>This document records the setup and decisions completed during the current Supabase integration work. Where a point is described as a recommendation rather than a completed configuration, it is explicitly presented as guidance.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