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0"/>
        </w:rPr>
        <w:t>JULY 2026</w:t>
        <w:br/>
        <w:t>PLANT vs CTP PLANNER</w:t>
        <w:br/>
        <w:t>DEMAND-FULFILMENT GAP ANALYSIS</w:t>
      </w:r>
    </w:p>
    <w:p>
      <w:pPr>
        <w:jc w:val="center"/>
      </w:pPr>
      <w:r>
        <w:rPr>
          <w:b/>
        </w:rPr>
        <w:t>Why the plant demonstrates 100% feasibility while the shipped planner reaches 96.2%</w:t>
        <w:br/>
      </w:r>
      <w:r>
        <w:t>Evidence review prepared 2026-08-11</w:t>
      </w:r>
    </w:p>
    <w:p>
      <w:pPr>
        <w:pStyle w:val="Heading1"/>
      </w:pPr>
      <w:r>
        <w:t>Executive conclusion</w:t>
      </w:r>
    </w:p>
    <w:p>
      <w:r>
        <w:t>July capacity is not the fundamental reason for the gap. The historical July demand was built from the plant's own normal cure production, so the plant execution is an existence proof that the required mix could be produced on the real resources. The shipped reference plan hz_ext72 delivers 472,748 of 491,630 plannable tyres inside the plant month (96.2%): PCR 96.58% and TBR 94.48%. The missing 18,882 plannable tyres are mainly caused by the planner's inability to fit legal building runs into fragmented machine-time windows, plus month-end/campaign timing effects. A further 1,701 demand tyres are excluded from the plannable denominator by the residual-demand policy.</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color w:val="FFFFFF"/>
                <w:sz w:val="16"/>
              </w:rPr>
              <w:t>Finding</w:t>
            </w:r>
          </w:p>
        </w:tc>
        <w:tc>
          <w:tcPr>
            <w:tcW w:type="dxa" w:w="5112"/>
            <w:shd w:fill="1F4E78"/>
          </w:tcPr>
          <w:p>
            <w:r>
              <w:rPr>
                <w:b/>
                <w:color w:val="FFFFFF"/>
                <w:sz w:val="16"/>
              </w:rPr>
              <w:t>Conclusion</w:t>
            </w:r>
          </w:p>
        </w:tc>
      </w:tr>
      <w:tr>
        <w:tc>
          <w:tcPr>
            <w:tcW w:type="dxa" w:w="5112"/>
            <w:vAlign w:val="center"/>
          </w:tcPr>
          <w:p>
            <w:r>
              <w:rPr>
                <w:sz w:val="16"/>
              </w:rPr>
              <w:t>Wrong cycle time?</w:t>
            </w:r>
          </w:p>
        </w:tc>
        <w:tc>
          <w:tcPr>
            <w:tcW w:type="dxa" w:w="5112"/>
            <w:vAlign w:val="center"/>
          </w:tcPr>
          <w:p>
            <w:r>
              <w:rPr>
                <w:sz w:val="16"/>
              </w:rPr>
              <w:t>Not the main current problem. The shipped run log confirms plant cycle times were ON: build by GT×machine and cure by GT.</w:t>
            </w:r>
          </w:p>
        </w:tc>
      </w:tr>
      <w:tr>
        <w:tc>
          <w:tcPr>
            <w:tcW w:type="dxa" w:w="5112"/>
            <w:vAlign w:val="center"/>
          </w:tcPr>
          <w:p>
            <w:r>
              <w:rPr>
                <w:sz w:val="16"/>
              </w:rPr>
              <w:t>Insufficient total capacity?</w:t>
            </w:r>
          </w:p>
        </w:tc>
        <w:tc>
          <w:tcPr>
            <w:tcW w:type="dxa" w:w="5112"/>
            <w:vAlign w:val="center"/>
          </w:tcPr>
          <w:p>
            <w:r>
              <w:rPr>
                <w:sz w:val="16"/>
              </w:rPr>
              <w:t>No. L6 reports no day or rolling 3-day build overload; press utilisation is near full, while building-machine occupancy is only about 77%.</w:t>
            </w:r>
          </w:p>
        </w:tc>
      </w:tr>
      <w:tr>
        <w:tc>
          <w:tcPr>
            <w:tcW w:type="dxa" w:w="5112"/>
            <w:vAlign w:val="center"/>
          </w:tcPr>
          <w:p>
            <w:r>
              <w:rPr>
                <w:sz w:val="16"/>
              </w:rPr>
              <w:t>Main current mechanism</w:t>
            </w:r>
          </w:p>
        </w:tc>
        <w:tc>
          <w:tcPr>
            <w:tcW w:type="dxa" w:w="5112"/>
            <w:vAlign w:val="center"/>
          </w:tcPr>
          <w:p>
            <w:r>
              <w:rPr>
                <w:sz w:val="16"/>
              </w:rPr>
              <w:t>Idle capacity exists, but in gaps too short or badly positioned to accept an indivisible, setup-reserved run before its cure deadline.</w:t>
            </w:r>
          </w:p>
        </w:tc>
      </w:tr>
      <w:tr>
        <w:tc>
          <w:tcPr>
            <w:tcW w:type="dxa" w:w="5112"/>
            <w:vAlign w:val="center"/>
          </w:tcPr>
          <w:p>
            <w:r>
              <w:rPr>
                <w:sz w:val="16"/>
              </w:rPr>
              <w:t>Why plant succeeds</w:t>
            </w:r>
          </w:p>
        </w:tc>
        <w:tc>
          <w:tcPr>
            <w:tcW w:type="dxa" w:w="5112"/>
            <w:vAlign w:val="center"/>
          </w:tcPr>
          <w:p>
            <w:r>
              <w:rPr>
                <w:sz w:val="16"/>
              </w:rPr>
              <w:t>The plant runs continuously across month boundaries, uses longer dedicated campaigns, accepts some sub-floor runs, and does not reconstruct July as an isolated cold-start optimisation problem.</w:t>
            </w:r>
          </w:p>
        </w:tc>
      </w:tr>
      <w:tr>
        <w:tc>
          <w:tcPr>
            <w:tcW w:type="dxa" w:w="5112"/>
            <w:vAlign w:val="center"/>
          </w:tcPr>
          <w:p>
            <w:r>
              <w:rPr>
                <w:sz w:val="16"/>
              </w:rPr>
              <w:t>Data limitation</w:t>
            </w:r>
          </w:p>
        </w:tc>
        <w:tc>
          <w:tcPr>
            <w:tcW w:type="dxa" w:w="5112"/>
            <w:vAlign w:val="center"/>
          </w:tcPr>
          <w:p>
            <w:r>
              <w:rPr>
                <w:sz w:val="16"/>
              </w:rPr>
              <w:t>Raw 4.4 GB MES files are absent from this copy. Plant comparisons below use committed MES-derived studies and the project's plant_as_plan methodology; they were not independently re-queried in this review.</w:t>
            </w:r>
          </w:p>
        </w:tc>
      </w:tr>
    </w:tbl>
    <w:p>
      <w:pPr>
        <w:pStyle w:val="Heading1"/>
      </w:pPr>
      <w:r>
        <w:t>1. Scope and evidence</w:t>
      </w:r>
    </w:p>
    <w:p>
      <w:r>
        <w:t>The review used the following committed artefacts:</w:t>
      </w:r>
    </w:p>
    <w:p>
      <w:pPr>
        <w:pStyle w:val="ListBullet"/>
      </w:pPr>
      <w:r>
        <w:t>runs/hz_ext72: July cure, build, starvation, carry-forward and L11 validation artefacts</w:t>
      </w:r>
    </w:p>
    <w:p>
      <w:pPr>
        <w:pStyle w:val="ListBullet"/>
      </w:pPr>
      <w:r>
        <w:t>output/JUL2026_pack/csv/8_demand_vs_plan.csv and 9a_kpi_summary.csv</w:t>
      </w:r>
    </w:p>
    <w:p>
      <w:pPr>
        <w:pStyle w:val="ListBullet"/>
      </w:pPr>
      <w:r>
        <w:t>L5, L6, L7 and L11 run logs for July 2026</w:t>
      </w:r>
    </w:p>
    <w:p>
      <w:pPr>
        <w:pStyle w:val="ListBullet"/>
      </w:pPr>
      <w:r>
        <w:t>PARTITION_AND_CHANGEOVER.md, EXPERT_AUDIT.md, MEMORY.md and BUSINESS_RULES.md</w:t>
      </w:r>
    </w:p>
    <w:p>
      <w:pPr>
        <w:pStyle w:val="ListBullet"/>
      </w:pPr>
      <w:r>
        <w:t>plant_as_plan.py, whose barcode join reconstructs actual build-to-cure execution at tyre level</w:t>
      </w:r>
    </w:p>
    <w:p>
      <w:r>
        <w:t>Important: the July order is monthly demand, not date-specific daily orders. The optimizer itself chooses dates and shifts within the plant month (07:00 on 1 July to 07:00 on 1 August).</w:t>
      </w:r>
    </w:p>
    <w:p>
      <w:pPr>
        <w:pStyle w:val="Heading1"/>
      </w:pPr>
      <w:r>
        <w:t>2. July demand and result reconciliation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Pr>
          <w:p>
            <w:r>
              <w:rPr>
                <w:b/>
                <w:color w:val="FFFFFF"/>
                <w:sz w:val="16"/>
              </w:rPr>
              <w:t>Measure</w:t>
            </w:r>
          </w:p>
        </w:tc>
        <w:tc>
          <w:tcPr>
            <w:tcW w:type="dxa" w:w="2556"/>
            <w:shd w:fill="1F4E78"/>
          </w:tcPr>
          <w:p>
            <w:r>
              <w:rPr>
                <w:b/>
                <w:color w:val="FFFFFF"/>
                <w:sz w:val="16"/>
              </w:rPr>
              <w:t>PCR</w:t>
            </w:r>
          </w:p>
        </w:tc>
        <w:tc>
          <w:tcPr>
            <w:tcW w:type="dxa" w:w="2556"/>
            <w:shd w:fill="1F4E78"/>
          </w:tcPr>
          <w:p>
            <w:r>
              <w:rPr>
                <w:b/>
                <w:color w:val="FFFFFF"/>
                <w:sz w:val="16"/>
              </w:rPr>
              <w:t>TBR</w:t>
            </w:r>
          </w:p>
        </w:tc>
        <w:tc>
          <w:tcPr>
            <w:tcW w:type="dxa" w:w="2556"/>
            <w:shd w:fill="1F4E78"/>
          </w:tcPr>
          <w:p>
            <w:r>
              <w:rPr>
                <w:b/>
                <w:color w:val="FFFFFF"/>
                <w:sz w:val="16"/>
              </w:rPr>
              <w:t>Total</w:t>
            </w:r>
          </w:p>
        </w:tc>
      </w:tr>
      <w:tr>
        <w:tc>
          <w:tcPr>
            <w:tcW w:type="dxa" w:w="2556"/>
            <w:vAlign w:val="center"/>
          </w:tcPr>
          <w:p>
            <w:r>
              <w:rPr>
                <w:sz w:val="16"/>
              </w:rPr>
              <w:t>Raw monthly demand</w:t>
            </w:r>
          </w:p>
        </w:tc>
        <w:tc>
          <w:tcPr>
            <w:tcW w:type="dxa" w:w="2556"/>
            <w:vAlign w:val="center"/>
          </w:tcPr>
          <w:p>
            <w:r>
              <w:rPr>
                <w:sz w:val="16"/>
              </w:rPr>
              <w:t>398,405</w:t>
            </w:r>
          </w:p>
        </w:tc>
        <w:tc>
          <w:tcPr>
            <w:tcW w:type="dxa" w:w="2556"/>
            <w:vAlign w:val="center"/>
          </w:tcPr>
          <w:p>
            <w:r>
              <w:rPr>
                <w:sz w:val="16"/>
              </w:rPr>
              <w:t>98,020</w:t>
            </w:r>
          </w:p>
        </w:tc>
        <w:tc>
          <w:tcPr>
            <w:tcW w:type="dxa" w:w="2556"/>
            <w:vAlign w:val="center"/>
          </w:tcPr>
          <w:p>
            <w:r>
              <w:rPr>
                <w:sz w:val="16"/>
              </w:rPr>
              <w:t>496,425</w:t>
            </w:r>
          </w:p>
        </w:tc>
      </w:tr>
      <w:tr>
        <w:tc>
          <w:tcPr>
            <w:tcW w:type="dxa" w:w="2556"/>
            <w:vAlign w:val="center"/>
          </w:tcPr>
          <w:p>
            <w:r>
              <w:rPr>
                <w:sz w:val="16"/>
              </w:rPr>
              <w:t>Residual demand excluded (&lt; minimum demand)</w:t>
            </w:r>
          </w:p>
        </w:tc>
        <w:tc>
          <w:tcPr>
            <w:tcW w:type="dxa" w:w="2556"/>
            <w:vAlign w:val="center"/>
          </w:tcPr>
          <w:p>
            <w:r>
              <w:rPr>
                <w:sz w:val="16"/>
              </w:rPr>
              <w:t>1,117 / 7 GTs</w:t>
            </w:r>
          </w:p>
        </w:tc>
        <w:tc>
          <w:tcPr>
            <w:tcW w:type="dxa" w:w="2556"/>
            <w:vAlign w:val="center"/>
          </w:tcPr>
          <w:p>
            <w:r>
              <w:rPr>
                <w:sz w:val="16"/>
              </w:rPr>
              <w:t>584 / 10 GTs</w:t>
            </w:r>
          </w:p>
        </w:tc>
        <w:tc>
          <w:tcPr>
            <w:tcW w:type="dxa" w:w="2556"/>
            <w:vAlign w:val="center"/>
          </w:tcPr>
          <w:p>
            <w:r>
              <w:rPr>
                <w:sz w:val="16"/>
              </w:rPr>
              <w:t>1,701 / 17 GTs</w:t>
            </w:r>
          </w:p>
        </w:tc>
      </w:tr>
      <w:tr>
        <w:tc>
          <w:tcPr>
            <w:tcW w:type="dxa" w:w="2556"/>
            <w:vAlign w:val="center"/>
          </w:tcPr>
          <w:p>
            <w:r>
              <w:rPr>
                <w:sz w:val="16"/>
              </w:rPr>
              <w:t>Plannable gross-build denominator</w:t>
            </w:r>
          </w:p>
        </w:tc>
        <w:tc>
          <w:tcPr>
            <w:tcW w:type="dxa" w:w="2556"/>
            <w:vAlign w:val="center"/>
          </w:tcPr>
          <w:p>
            <w:r>
              <w:rPr>
                <w:sz w:val="16"/>
              </w:rPr>
              <w:t>393,639</w:t>
            </w:r>
          </w:p>
        </w:tc>
        <w:tc>
          <w:tcPr>
            <w:tcW w:type="dxa" w:w="2556"/>
            <w:vAlign w:val="center"/>
          </w:tcPr>
          <w:p>
            <w:r>
              <w:rPr>
                <w:sz w:val="16"/>
              </w:rPr>
              <w:t>97,991</w:t>
            </w:r>
          </w:p>
        </w:tc>
        <w:tc>
          <w:tcPr>
            <w:tcW w:type="dxa" w:w="2556"/>
            <w:vAlign w:val="center"/>
          </w:tcPr>
          <w:p>
            <w:r>
              <w:rPr>
                <w:sz w:val="16"/>
              </w:rPr>
              <w:t>491,630</w:t>
            </w:r>
          </w:p>
        </w:tc>
      </w:tr>
      <w:tr>
        <w:tc>
          <w:tcPr>
            <w:tcW w:type="dxa" w:w="2556"/>
            <w:vAlign w:val="center"/>
          </w:tcPr>
          <w:p>
            <w:r>
              <w:rPr>
                <w:sz w:val="16"/>
              </w:rPr>
              <w:t>Cured inside month</w:t>
            </w:r>
          </w:p>
        </w:tc>
        <w:tc>
          <w:tcPr>
            <w:tcW w:type="dxa" w:w="2556"/>
            <w:vAlign w:val="center"/>
          </w:tcPr>
          <w:p>
            <w:r>
              <w:rPr>
                <w:sz w:val="16"/>
              </w:rPr>
              <w:t>380,163</w:t>
            </w:r>
          </w:p>
        </w:tc>
        <w:tc>
          <w:tcPr>
            <w:tcW w:type="dxa" w:w="2556"/>
            <w:vAlign w:val="center"/>
          </w:tcPr>
          <w:p>
            <w:r>
              <w:rPr>
                <w:sz w:val="16"/>
              </w:rPr>
              <w:t>92,585</w:t>
            </w:r>
          </w:p>
        </w:tc>
        <w:tc>
          <w:tcPr>
            <w:tcW w:type="dxa" w:w="2556"/>
            <w:vAlign w:val="center"/>
          </w:tcPr>
          <w:p>
            <w:r>
              <w:rPr>
                <w:sz w:val="16"/>
              </w:rPr>
              <w:t>472,748</w:t>
            </w:r>
          </w:p>
        </w:tc>
      </w:tr>
      <w:tr>
        <w:tc>
          <w:tcPr>
            <w:tcW w:type="dxa" w:w="2556"/>
            <w:vAlign w:val="center"/>
          </w:tcPr>
          <w:p>
            <w:r>
              <w:rPr>
                <w:sz w:val="16"/>
              </w:rPr>
              <w:t>In-month fulfilment</w:t>
            </w:r>
          </w:p>
        </w:tc>
        <w:tc>
          <w:tcPr>
            <w:tcW w:type="dxa" w:w="2556"/>
            <w:vAlign w:val="center"/>
          </w:tcPr>
          <w:p>
            <w:r>
              <w:rPr>
                <w:sz w:val="16"/>
              </w:rPr>
              <w:t>96.58%</w:t>
            </w:r>
          </w:p>
        </w:tc>
        <w:tc>
          <w:tcPr>
            <w:tcW w:type="dxa" w:w="2556"/>
            <w:vAlign w:val="center"/>
          </w:tcPr>
          <w:p>
            <w:r>
              <w:rPr>
                <w:sz w:val="16"/>
              </w:rPr>
              <w:t>94.48%</w:t>
            </w:r>
          </w:p>
        </w:tc>
        <w:tc>
          <w:tcPr>
            <w:tcW w:type="dxa" w:w="2556"/>
            <w:vAlign w:val="center"/>
          </w:tcPr>
          <w:p>
            <w:r>
              <w:rPr>
                <w:sz w:val="16"/>
              </w:rPr>
              <w:t>96.16%</w:t>
            </w:r>
          </w:p>
        </w:tc>
      </w:tr>
      <w:tr>
        <w:tc>
          <w:tcPr>
            <w:tcW w:type="dxa" w:w="2556"/>
            <w:vAlign w:val="center"/>
          </w:tcPr>
          <w:p>
            <w:r>
              <w:rPr>
                <w:sz w:val="16"/>
              </w:rPr>
              <w:t>Plannable shortfall</w:t>
            </w:r>
          </w:p>
        </w:tc>
        <w:tc>
          <w:tcPr>
            <w:tcW w:type="dxa" w:w="2556"/>
            <w:vAlign w:val="center"/>
          </w:tcPr>
          <w:p>
            <w:r>
              <w:rPr>
                <w:sz w:val="16"/>
              </w:rPr>
              <w:t>13,476</w:t>
            </w:r>
          </w:p>
        </w:tc>
        <w:tc>
          <w:tcPr>
            <w:tcW w:type="dxa" w:w="2556"/>
            <w:vAlign w:val="center"/>
          </w:tcPr>
          <w:p>
            <w:r>
              <w:rPr>
                <w:sz w:val="16"/>
              </w:rPr>
              <w:t>5,406</w:t>
            </w:r>
          </w:p>
        </w:tc>
        <w:tc>
          <w:tcPr>
            <w:tcW w:type="dxa" w:w="2556"/>
            <w:vAlign w:val="center"/>
          </w:tcPr>
          <w:p>
            <w:r>
              <w:rPr>
                <w:sz w:val="16"/>
              </w:rPr>
              <w:t>18,882</w:t>
            </w:r>
          </w:p>
        </w:tc>
      </w:tr>
      <w:tr>
        <w:tc>
          <w:tcPr>
            <w:tcW w:type="dxa" w:w="2556"/>
            <w:vAlign w:val="center"/>
          </w:tcPr>
          <w:p>
            <w:r>
              <w:rPr>
                <w:sz w:val="16"/>
              </w:rPr>
              <w:t>Opening GT consumed</w:t>
            </w:r>
          </w:p>
        </w:tc>
        <w:tc>
          <w:tcPr>
            <w:tcW w:type="dxa" w:w="2556"/>
            <w:vAlign w:val="center"/>
          </w:tcPr>
          <w:p>
            <w:r>
              <w:rPr>
                <w:sz w:val="16"/>
              </w:rPr>
              <w:t>4,352</w:t>
            </w:r>
          </w:p>
        </w:tc>
        <w:tc>
          <w:tcPr>
            <w:tcW w:type="dxa" w:w="2556"/>
            <w:vAlign w:val="center"/>
          </w:tcPr>
          <w:p>
            <w:r>
              <w:rPr>
                <w:sz w:val="16"/>
              </w:rPr>
              <w:t>1,010</w:t>
            </w:r>
          </w:p>
        </w:tc>
        <w:tc>
          <w:tcPr>
            <w:tcW w:type="dxa" w:w="2556"/>
            <w:vAlign w:val="center"/>
          </w:tcPr>
          <w:p>
            <w:r>
              <w:rPr>
                <w:sz w:val="16"/>
              </w:rPr>
              <w:t>5,362</w:t>
            </w:r>
          </w:p>
        </w:tc>
      </w:tr>
      <w:tr>
        <w:tc>
          <w:tcPr>
            <w:tcW w:type="dxa" w:w="2556"/>
            <w:vAlign w:val="center"/>
          </w:tcPr>
          <w:p>
            <w:r>
              <w:rPr>
                <w:sz w:val="16"/>
              </w:rPr>
              <w:t>Cured in extension tail (not July fulfilment)</w:t>
            </w:r>
          </w:p>
        </w:tc>
        <w:tc>
          <w:tcPr>
            <w:tcW w:type="dxa" w:w="2556"/>
            <w:vAlign w:val="center"/>
          </w:tcPr>
          <w:p>
            <w:r>
              <w:rPr>
                <w:sz w:val="16"/>
              </w:rPr>
              <w:t>6,762</w:t>
            </w:r>
          </w:p>
        </w:tc>
        <w:tc>
          <w:tcPr>
            <w:tcW w:type="dxa" w:w="2556"/>
            <w:vAlign w:val="center"/>
          </w:tcPr>
          <w:p>
            <w:r>
              <w:rPr>
                <w:sz w:val="16"/>
              </w:rPr>
              <w:t>1,918</w:t>
            </w:r>
          </w:p>
        </w:tc>
        <w:tc>
          <w:tcPr>
            <w:tcW w:type="dxa" w:w="2556"/>
            <w:vAlign w:val="center"/>
          </w:tcPr>
          <w:p>
            <w:r>
              <w:rPr>
                <w:sz w:val="16"/>
              </w:rPr>
              <w:t>8,680</w:t>
            </w:r>
          </w:p>
        </w:tc>
      </w:tr>
      <w:tr>
        <w:tc>
          <w:tcPr>
            <w:tcW w:type="dxa" w:w="2556"/>
            <w:vAlign w:val="center"/>
          </w:tcPr>
          <w:p>
            <w:r>
              <w:rPr>
                <w:sz w:val="16"/>
              </w:rPr>
              <w:t>Scheduled cure nameplate never fed</w:t>
            </w:r>
          </w:p>
        </w:tc>
        <w:tc>
          <w:tcPr>
            <w:tcW w:type="dxa" w:w="2556"/>
            <w:vAlign w:val="center"/>
          </w:tcPr>
          <w:p>
            <w:r>
              <w:rPr>
                <w:sz w:val="16"/>
              </w:rPr>
              <w:t>6,701</w:t>
            </w:r>
          </w:p>
        </w:tc>
        <w:tc>
          <w:tcPr>
            <w:tcW w:type="dxa" w:w="2556"/>
            <w:vAlign w:val="center"/>
          </w:tcPr>
          <w:p>
            <w:r>
              <w:rPr>
                <w:sz w:val="16"/>
              </w:rPr>
              <w:t>2,786</w:t>
            </w:r>
          </w:p>
        </w:tc>
        <w:tc>
          <w:tcPr>
            <w:tcW w:type="dxa" w:w="2556"/>
            <w:vAlign w:val="center"/>
          </w:tcPr>
          <w:p>
            <w:r>
              <w:rPr>
                <w:sz w:val="16"/>
              </w:rPr>
              <w:t>9,487</w:t>
            </w:r>
          </w:p>
        </w:tc>
      </w:tr>
    </w:tbl>
    <w:p>
      <w:r>
        <w:t>Denominator warning: the export's demand table totals 496,425 tyres, while the headline percentage uses 491,630 plannable gross-build tyres. Therefore 96.2% is not 96.2% of every requested tyre. Against raw demand, 472,748/496,425 is approximately 95.23%. This distinction must be explicit in all management reporting.</w:t>
      </w:r>
    </w:p>
    <w:p>
      <w:pPr>
        <w:pStyle w:val="Heading1"/>
      </w:pPr>
      <w:r>
        <w:t>3. Plant actual versus planner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Pr>
          <w:p>
            <w:r>
              <w:rPr>
                <w:b/>
                <w:color w:val="FFFFFF"/>
                <w:sz w:val="16"/>
              </w:rPr>
              <w:t>Dimension</w:t>
            </w:r>
          </w:p>
        </w:tc>
        <w:tc>
          <w:tcPr>
            <w:tcW w:type="dxa" w:w="2556"/>
            <w:shd w:fill="1F4E78"/>
          </w:tcPr>
          <w:p>
            <w:r>
              <w:rPr>
                <w:b/>
                <w:color w:val="FFFFFF"/>
                <w:sz w:val="16"/>
              </w:rPr>
              <w:t>Plant actual / observed July</w:t>
            </w:r>
          </w:p>
        </w:tc>
        <w:tc>
          <w:tcPr>
            <w:tcW w:type="dxa" w:w="2556"/>
            <w:shd w:fill="1F4E78"/>
          </w:tcPr>
          <w:p>
            <w:r>
              <w:rPr>
                <w:b/>
                <w:color w:val="FFFFFF"/>
                <w:sz w:val="16"/>
              </w:rPr>
              <w:t>Planner hz_ext72</w:t>
            </w:r>
          </w:p>
        </w:tc>
        <w:tc>
          <w:tcPr>
            <w:tcW w:type="dxa" w:w="2556"/>
            <w:shd w:fill="1F4E78"/>
          </w:tcPr>
          <w:p>
            <w:r>
              <w:rPr>
                <w:b/>
                <w:color w:val="FFFFFF"/>
                <w:sz w:val="16"/>
              </w:rPr>
              <w:t>Interpretation</w:t>
            </w:r>
          </w:p>
        </w:tc>
      </w:tr>
      <w:tr>
        <w:tc>
          <w:tcPr>
            <w:tcW w:type="dxa" w:w="2556"/>
            <w:vAlign w:val="center"/>
          </w:tcPr>
          <w:p>
            <w:r>
              <w:rPr>
                <w:sz w:val="16"/>
              </w:rPr>
              <w:t>Demand feasibility</w:t>
            </w:r>
          </w:p>
        </w:tc>
        <w:tc>
          <w:tcPr>
            <w:tcW w:type="dxa" w:w="2556"/>
            <w:vAlign w:val="center"/>
          </w:tcPr>
          <w:p>
            <w:r>
              <w:rPr>
                <w:sz w:val="16"/>
              </w:rPr>
              <w:t>100% by construction: historical demand equals normal plant cures</w:t>
            </w:r>
          </w:p>
        </w:tc>
        <w:tc>
          <w:tcPr>
            <w:tcW w:type="dxa" w:w="2556"/>
            <w:vAlign w:val="center"/>
          </w:tcPr>
          <w:p>
            <w:r>
              <w:rPr>
                <w:sz w:val="16"/>
              </w:rPr>
              <w:t>96.2% of plannable</w:t>
            </w:r>
          </w:p>
        </w:tc>
        <w:tc>
          <w:tcPr>
            <w:tcW w:type="dxa" w:w="2556"/>
            <w:vAlign w:val="center"/>
          </w:tcPr>
          <w:p>
            <w:r>
              <w:rPr>
                <w:sz w:val="16"/>
              </w:rPr>
              <w:t>The missing volume is an engine/policy gap, not proof of impossible demand.</w:t>
            </w:r>
          </w:p>
        </w:tc>
      </w:tr>
      <w:tr>
        <w:tc>
          <w:tcPr>
            <w:tcW w:type="dxa" w:w="2556"/>
            <w:vAlign w:val="center"/>
          </w:tcPr>
          <w:p>
            <w:r>
              <w:rPr>
                <w:sz w:val="16"/>
              </w:rPr>
              <w:t>Build→cure median wait</w:t>
            </w:r>
          </w:p>
        </w:tc>
        <w:tc>
          <w:tcPr>
            <w:tcW w:type="dxa" w:w="2556"/>
            <w:vAlign w:val="center"/>
          </w:tcPr>
          <w:p>
            <w:r>
              <w:rPr>
                <w:sz w:val="16"/>
              </w:rPr>
              <w:t>PCR 4.83 h; TBR 4.96 h</w:t>
            </w:r>
          </w:p>
        </w:tc>
        <w:tc>
          <w:tcPr>
            <w:tcW w:type="dxa" w:w="2556"/>
            <w:vAlign w:val="center"/>
          </w:tcPr>
          <w:p>
            <w:r>
              <w:rPr>
                <w:sz w:val="16"/>
              </w:rPr>
              <w:t>PCR 5.09 h; TBR 7.21 h</w:t>
            </w:r>
          </w:p>
        </w:tc>
        <w:tc>
          <w:tcPr>
            <w:tcW w:type="dxa" w:w="2556"/>
            <w:vAlign w:val="center"/>
          </w:tcPr>
          <w:p>
            <w:r>
              <w:rPr>
                <w:sz w:val="16"/>
              </w:rPr>
              <w:t>PCR is close; TBR pull synchronization is materially late and more variable.</w:t>
            </w:r>
          </w:p>
        </w:tc>
      </w:tr>
      <w:tr>
        <w:tc>
          <w:tcPr>
            <w:tcW w:type="dxa" w:w="2556"/>
            <w:vAlign w:val="center"/>
          </w:tcPr>
          <w:p>
            <w:r>
              <w:rPr>
                <w:sz w:val="16"/>
              </w:rPr>
              <w:t>Wait p95</w:t>
            </w:r>
          </w:p>
        </w:tc>
        <w:tc>
          <w:tcPr>
            <w:tcW w:type="dxa" w:w="2556"/>
            <w:vAlign w:val="center"/>
          </w:tcPr>
          <w:p>
            <w:r>
              <w:rPr>
                <w:sz w:val="16"/>
              </w:rPr>
              <w:t>Plant process centred near ~5 h</w:t>
            </w:r>
          </w:p>
        </w:tc>
        <w:tc>
          <w:tcPr>
            <w:tcW w:type="dxa" w:w="2556"/>
            <w:vAlign w:val="center"/>
          </w:tcPr>
          <w:p>
            <w:r>
              <w:rPr>
                <w:sz w:val="16"/>
              </w:rPr>
              <w:t>PCR 24.6 h; TBR 31.7 h</w:t>
            </w:r>
          </w:p>
        </w:tc>
        <w:tc>
          <w:tcPr>
            <w:tcW w:type="dxa" w:w="2556"/>
            <w:vAlign w:val="center"/>
          </w:tcPr>
          <w:p>
            <w:r>
              <w:rPr>
                <w:sz w:val="16"/>
              </w:rPr>
              <w:t>Planner creates long tails, especially TBR, even though R5 max remains under 72 h.</w:t>
            </w:r>
          </w:p>
        </w:tc>
      </w:tr>
      <w:tr>
        <w:tc>
          <w:tcPr>
            <w:tcW w:type="dxa" w:w="2556"/>
            <w:vAlign w:val="center"/>
          </w:tcPr>
          <w:p>
            <w:r>
              <w:rPr>
                <w:sz w:val="16"/>
              </w:rPr>
              <w:t>Build-run median (≥4 h gap definition)</w:t>
            </w:r>
          </w:p>
        </w:tc>
        <w:tc>
          <w:tcPr>
            <w:tcW w:type="dxa" w:w="2556"/>
            <w:vAlign w:val="center"/>
          </w:tcPr>
          <w:p>
            <w:r>
              <w:rPr>
                <w:sz w:val="16"/>
              </w:rPr>
              <w:t>PCR 363–381; TBR 89</w:t>
            </w:r>
          </w:p>
        </w:tc>
        <w:tc>
          <w:tcPr>
            <w:tcW w:type="dxa" w:w="2556"/>
            <w:vAlign w:val="center"/>
          </w:tcPr>
          <w:p>
            <w:r>
              <w:rPr>
                <w:sz w:val="16"/>
              </w:rPr>
              <w:t>PCR 317; TBR 93 (run log definition)</w:t>
            </w:r>
          </w:p>
        </w:tc>
        <w:tc>
          <w:tcPr>
            <w:tcW w:type="dxa" w:w="2556"/>
            <w:vAlign w:val="center"/>
          </w:tcPr>
          <w:p>
            <w:r>
              <w:rPr>
                <w:sz w:val="16"/>
              </w:rPr>
              <w:t>TBR size is close. PCR plant obtains longer dedication without sacrificing output.</w:t>
            </w:r>
          </w:p>
        </w:tc>
      </w:tr>
      <w:tr>
        <w:tc>
          <w:tcPr>
            <w:tcW w:type="dxa" w:w="2556"/>
            <w:vAlign w:val="center"/>
          </w:tcPr>
          <w:p>
            <w:r>
              <w:rPr>
                <w:sz w:val="16"/>
              </w:rPr>
              <w:t>Sub-floor runs</w:t>
            </w:r>
          </w:p>
        </w:tc>
        <w:tc>
          <w:tcPr>
            <w:tcW w:type="dxa" w:w="2556"/>
            <w:vAlign w:val="center"/>
          </w:tcPr>
          <w:p>
            <w:r>
              <w:rPr>
                <w:sz w:val="16"/>
              </w:rPr>
              <w:t>PCR 12.7%; TBR 30.8%</w:t>
            </w:r>
          </w:p>
        </w:tc>
        <w:tc>
          <w:tcPr>
            <w:tcW w:type="dxa" w:w="2556"/>
            <w:vAlign w:val="center"/>
          </w:tcPr>
          <w:p>
            <w:r>
              <w:rPr>
                <w:sz w:val="16"/>
              </w:rPr>
              <w:t>0.0% / 0.0%</w:t>
            </w:r>
          </w:p>
        </w:tc>
        <w:tc>
          <w:tcPr>
            <w:tcW w:type="dxa" w:w="2556"/>
            <w:vAlign w:val="center"/>
          </w:tcPr>
          <w:p>
            <w:r>
              <w:rPr>
                <w:sz w:val="16"/>
              </w:rPr>
              <w:t>Planner is stricter than actual plant behaviour under the enforced B12 instruction.</w:t>
            </w:r>
          </w:p>
        </w:tc>
      </w:tr>
      <w:tr>
        <w:tc>
          <w:tcPr>
            <w:tcW w:type="dxa" w:w="2556"/>
            <w:vAlign w:val="center"/>
          </w:tcPr>
          <w:p>
            <w:r>
              <w:rPr>
                <w:sz w:val="16"/>
              </w:rPr>
              <w:t>Machine occupancy</w:t>
            </w:r>
          </w:p>
        </w:tc>
        <w:tc>
          <w:tcPr>
            <w:tcW w:type="dxa" w:w="2556"/>
            <w:vAlign w:val="center"/>
          </w:tcPr>
          <w:p>
            <w:r>
              <w:rPr>
                <w:sz w:val="16"/>
              </w:rPr>
              <w:t>Plant demonstrates full required execution</w:t>
            </w:r>
          </w:p>
        </w:tc>
        <w:tc>
          <w:tcPr>
            <w:tcW w:type="dxa" w:w="2556"/>
            <w:vAlign w:val="center"/>
          </w:tcPr>
          <w:p>
            <w:r>
              <w:rPr>
                <w:sz w:val="16"/>
              </w:rPr>
              <w:t>PCR 77.7%; TBR 77.0%</w:t>
            </w:r>
          </w:p>
        </w:tc>
        <w:tc>
          <w:tcPr>
            <w:tcW w:type="dxa" w:w="2556"/>
            <w:vAlign w:val="center"/>
          </w:tcPr>
          <w:p>
            <w:r>
              <w:rPr>
                <w:sz w:val="16"/>
              </w:rPr>
              <w:t>Unfilled demand coexists with idle machine time: a packing/assignment signal.</w:t>
            </w:r>
          </w:p>
        </w:tc>
      </w:tr>
      <w:tr>
        <w:tc>
          <w:tcPr>
            <w:tcW w:type="dxa" w:w="2556"/>
            <w:vAlign w:val="center"/>
          </w:tcPr>
          <w:p>
            <w:r>
              <w:rPr>
                <w:sz w:val="16"/>
              </w:rPr>
              <w:t>Cure campaigns in observed band</w:t>
            </w:r>
          </w:p>
        </w:tc>
        <w:tc>
          <w:tcPr>
            <w:tcW w:type="dxa" w:w="2556"/>
            <w:vAlign w:val="center"/>
          </w:tcPr>
          <w:p>
            <w:r>
              <w:rPr>
                <w:sz w:val="16"/>
              </w:rPr>
              <w:t>Observed bands: PCR 40–75 h; TBR 200–330 h</w:t>
            </w:r>
          </w:p>
        </w:tc>
        <w:tc>
          <w:tcPr>
            <w:tcW w:type="dxa" w:w="2556"/>
            <w:vAlign w:val="center"/>
          </w:tcPr>
          <w:p>
            <w:r>
              <w:rPr>
                <w:sz w:val="16"/>
              </w:rPr>
              <w:t>17% PCR; 23% TBR</w:t>
            </w:r>
          </w:p>
        </w:tc>
        <w:tc>
          <w:tcPr>
            <w:tcW w:type="dxa" w:w="2556"/>
            <w:vAlign w:val="center"/>
          </w:tcPr>
          <w:p>
            <w:r>
              <w:rPr>
                <w:sz w:val="16"/>
              </w:rPr>
              <w:t>L5 campaign construction differs significantly from observed campaign structure.</w:t>
            </w:r>
          </w:p>
        </w:tc>
      </w:tr>
      <w:tr>
        <w:tc>
          <w:tcPr>
            <w:tcW w:type="dxa" w:w="2556"/>
            <w:vAlign w:val="center"/>
          </w:tcPr>
          <w:p>
            <w:r>
              <w:rPr>
                <w:sz w:val="16"/>
              </w:rPr>
              <w:t>Concurrent presses per GT</w:t>
            </w:r>
          </w:p>
        </w:tc>
        <w:tc>
          <w:tcPr>
            <w:tcW w:type="dxa" w:w="2556"/>
            <w:vAlign w:val="center"/>
          </w:tcPr>
          <w:p>
            <w:r>
              <w:rPr>
                <w:sz w:val="16"/>
              </w:rPr>
              <w:t>Plant reference about 3.28</w:t>
            </w:r>
          </w:p>
        </w:tc>
        <w:tc>
          <w:tcPr>
            <w:tcW w:type="dxa" w:w="2556"/>
            <w:vAlign w:val="center"/>
          </w:tcPr>
          <w:p>
            <w:r>
              <w:rPr>
                <w:sz w:val="16"/>
              </w:rPr>
              <w:t>PCR 3.01; TBR 2.45</w:t>
            </w:r>
          </w:p>
        </w:tc>
        <w:tc>
          <w:tcPr>
            <w:tcW w:type="dxa" w:w="2556"/>
            <w:vAlign w:val="center"/>
          </w:tcPr>
          <w:p>
            <w:r>
              <w:rPr>
                <w:sz w:val="16"/>
              </w:rPr>
              <w:t>TBR spreads insufficiently versus observed behaviour, limiting cure draw and synchronization.</w:t>
            </w:r>
          </w:p>
        </w:tc>
      </w:tr>
      <w:tr>
        <w:tc>
          <w:tcPr>
            <w:tcW w:type="dxa" w:w="2556"/>
            <w:vAlign w:val="center"/>
          </w:tcPr>
          <w:p>
            <w:r>
              <w:rPr>
                <w:sz w:val="16"/>
              </w:rPr>
              <w:t>Same-size changeovers</w:t>
            </w:r>
          </w:p>
        </w:tc>
        <w:tc>
          <w:tcPr>
            <w:tcW w:type="dxa" w:w="2556"/>
            <w:vAlign w:val="center"/>
          </w:tcPr>
          <w:p>
            <w:r>
              <w:rPr>
                <w:sz w:val="16"/>
              </w:rPr>
              <w:t>Plant PCR reference ~91.5%</w:t>
            </w:r>
          </w:p>
        </w:tc>
        <w:tc>
          <w:tcPr>
            <w:tcW w:type="dxa" w:w="2556"/>
            <w:vAlign w:val="center"/>
          </w:tcPr>
          <w:p>
            <w:r>
              <w:rPr>
                <w:sz w:val="16"/>
              </w:rPr>
              <w:t>PCR 91.4%; TBR 100%</w:t>
            </w:r>
          </w:p>
        </w:tc>
        <w:tc>
          <w:tcPr>
            <w:tcW w:type="dxa" w:w="2556"/>
            <w:vAlign w:val="center"/>
          </w:tcPr>
          <w:p>
            <w:r>
              <w:rPr>
                <w:sz w:val="16"/>
              </w:rPr>
              <w:t>This aspect is good; do not sacrifice it blindly for volume.</w:t>
            </w:r>
          </w:p>
        </w:tc>
      </w:tr>
    </w:tbl>
    <w:p>
      <w:pPr>
        <w:pStyle w:val="Heading1"/>
      </w:pPr>
      <w:r>
        <w:t>4. Root causes and issues</w:t>
      </w:r>
    </w:p>
    <w:p>
      <w:pPr>
        <w:pStyle w:val="Heading2"/>
      </w:pPr>
      <w:r>
        <w:t>1 — Fragmented machine-time packing (primary current cause)</w:t>
      </w:r>
    </w:p>
    <w:p>
      <w:r>
        <w:t>L7 refuses 159 slices / 9,487 tyres after cure capacity has already been seated. The July export attributes 8,977 shortfall tyres to 'would breach min_lot' and 3,598 PCR tyres to 'no feasible release'. Total build capacity is available, but the legal contiguous slots before cure deadlines are not. This is why occupancy can remain ~77% while demand is missed.</w:t>
      </w:r>
    </w:p>
    <w:p>
      <w:pPr>
        <w:pStyle w:val="Heading2"/>
      </w:pPr>
      <w:r>
        <w:t>2 — Enforced lot floor is stricter than the plant</w:t>
      </w:r>
    </w:p>
    <w:p>
      <w:r>
        <w:t>The planner enforces zero runs below PCR 150 / TBR 70. Actual MES studies show 12.7% PCR and 30.8% TBR runs below those floors. The hard floor is a plant instruction in the current engine, but it is not a faithful model of actual July execution. It amplifies packing refusals unless the plant explicitly wants this stricter future-state rule.</w:t>
      </w:r>
    </w:p>
    <w:p>
      <w:pPr>
        <w:pStyle w:val="Heading2"/>
      </w:pPr>
      <w:r>
        <w:t>3 — Monthly cold-box model does not reproduce continuous plant operation</w:t>
      </w:r>
    </w:p>
    <w:p>
      <w:r>
        <w:t>The plant crosses calendar boundaries continuously. The planner reconstructs July from an opening snapshot and treats in-month output as the KPI. In hz_ext72, 8,680 fed tyres cure after the July boundary and therefore do not count. This tail is valid capacity usage but not July fulfilment. A production-continuity model needs a consistent June→July carry-in state and July→August reservation, even if reporting remains strictly in-month.</w:t>
      </w:r>
    </w:p>
    <w:p>
      <w:pPr>
        <w:pStyle w:val="Heading2"/>
      </w:pPr>
      <w:r>
        <w:t>4 — Residual-demand policy removes real demand before scheduling</w:t>
      </w:r>
    </w:p>
    <w:p>
      <w:r>
        <w:t>Seventeen low-volume GTs (1,701 demand tyres) are routed to residual and excluded from the 491,630 denominator. This is explicit, not silent, but it prevents 100% of raw customer demand by design. Small demand should be combined, carried, externally sourced, or accepted as a controlled exception—not omitted from the headline denominator.</w:t>
      </w:r>
    </w:p>
    <w:p>
      <w:pPr>
        <w:pStyle w:val="Heading2"/>
      </w:pPr>
      <w:r>
        <w:t>5 — Cure campaign structure differs from the plant</w:t>
      </w:r>
    </w:p>
    <w:p>
      <w:r>
        <w:t>Only 17% of PCR campaigns and 23% of TBR campaigns fall in observed duration bands; PCR campaign p50 is 169 h versus a 40–75 h band. TBR build slices per cure campaign are 18 versus a target near 35. L5 achieves press occupancy but produces a temporal shape that is harder for L7 to feed.</w:t>
      </w:r>
    </w:p>
    <w:p>
      <w:pPr>
        <w:pStyle w:val="Heading2"/>
      </w:pPr>
      <w:r>
        <w:t>6 — TBR synchronization and press dispersion are weak</w:t>
      </w:r>
    </w:p>
    <w:p>
      <w:r>
        <w:t>TBR wait p50 is 7.21 h versus observed ~4.96 h and target 4.81 h; p95 is 31.7 h. Realised concurrent presses/GT is 2.45 versus the plant reference ~3.28 and L11 target 2.81. This concentrates or delays draw and increases release contention.</w:t>
      </w:r>
    </w:p>
    <w:p>
      <w:pPr>
        <w:pStyle w:val="Heading2"/>
      </w:pPr>
      <w:r>
        <w:t>7 — L6 gate detects infeasibility but does not reshape L5</w:t>
      </w:r>
    </w:p>
    <w:p>
      <w:r>
        <w:t>L6 flags 71 campaigns starting before t0 + tau* + first-slice build time. Yet run_arm continues to L7, and L7 reconciles/shortens the curing plan downstream. The architecture says L6 should feed a reshape back into L5; that control loop is missing.</w:t>
      </w:r>
    </w:p>
    <w:p>
      <w:pPr>
        <w:pStyle w:val="Heading2"/>
      </w:pPr>
      <w:r>
        <w:t>8 — Closing inventory and continuity are inconsistent</w:t>
      </w:r>
    </w:p>
    <w:p>
      <w:r>
        <w:t>July ends with only 310 PCR and 830 TBR carry-forward GT in this run, while L11 reports last-day inventory 1,226/889 below G8 floors 4,500/1,200. A strict month-end drain and a healthy next-month opening buffer are competing rules. The plant policy must choose which controls scheduling and which is only reported.</w:t>
      </w:r>
    </w:p>
    <w:p>
      <w:pPr>
        <w:pStyle w:val="Heading2"/>
      </w:pPr>
      <w:r>
        <w:t>9 — Reporting definitions are internally confusing</w:t>
      </w:r>
    </w:p>
    <w:p>
      <w:r>
        <w:t>The KPI export contains different build/cure reconciliation figures from the L7 headline because it distinguishes gross demand, plannable gross build, fed quantity, in-month cure, opening stock, closing stock and campaign nameplate. These are valid different measures, but current presentation makes a 96.2% claim easy to misread as coverage of all 496,425 demand tyres.</w:t>
      </w:r>
    </w:p>
    <w:p>
      <w:pPr>
        <w:pStyle w:val="Heading2"/>
      </w:pPr>
      <w:r>
        <w:t>10 — Current run is valid, but repository state/documentation are drifting</w:t>
      </w:r>
    </w:p>
    <w:p>
      <w:r>
        <w:t>The working tree contains major uncommitted moves of L1/L2/L3 and L6/L8/L12 into offline/retired folders while run_arm still names original module paths. Several documents describe older reference runs. Before another official comparison, freeze a clean tag and rerun July end-to-end so code, partition, logs and report share one fingerprint.</w:t>
      </w:r>
    </w:p>
    <w:p>
      <w:pPr>
        <w:pStyle w:val="Heading1"/>
      </w:pPr>
      <w:r>
        <w:t>5. Cycle-time audit</w:t>
      </w:r>
    </w:p>
    <w:p>
      <w:r>
        <w:t>Finding: cycle time was a serious historical defect, but not the leading defect in the shipped hz_ext72 run.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Pr>
          <w:p>
            <w:r>
              <w:rPr>
                <w:b/>
                <w:color w:val="FFFFFF"/>
                <w:sz w:val="16"/>
              </w:rPr>
              <w:t>Item</w:t>
            </w:r>
          </w:p>
        </w:tc>
        <w:tc>
          <w:tcPr>
            <w:tcW w:type="dxa" w:w="2556"/>
            <w:shd w:fill="1F4E78"/>
          </w:tcPr>
          <w:p>
            <w:r>
              <w:rPr>
                <w:b/>
                <w:color w:val="FFFFFF"/>
                <w:sz w:val="16"/>
              </w:rPr>
              <w:t>Earlier defect</w:t>
            </w:r>
          </w:p>
        </w:tc>
        <w:tc>
          <w:tcPr>
            <w:tcW w:type="dxa" w:w="2556"/>
            <w:shd w:fill="1F4E78"/>
          </w:tcPr>
          <w:p>
            <w:r>
              <w:rPr>
                <w:b/>
                <w:color w:val="FFFFFF"/>
                <w:sz w:val="16"/>
              </w:rPr>
              <w:t>Current July evidence</w:t>
            </w:r>
          </w:p>
        </w:tc>
        <w:tc>
          <w:tcPr>
            <w:tcW w:type="dxa" w:w="2556"/>
            <w:shd w:fill="1F4E78"/>
          </w:tcPr>
          <w:p>
            <w:r>
              <w:rPr>
                <w:b/>
                <w:color w:val="FFFFFF"/>
                <w:sz w:val="16"/>
              </w:rPr>
              <w:t>Verdict</w:t>
            </w:r>
          </w:p>
        </w:tc>
      </w:tr>
      <w:tr>
        <w:tc>
          <w:tcPr>
            <w:tcW w:type="dxa" w:w="2556"/>
            <w:vAlign w:val="center"/>
          </w:tcPr>
          <w:p>
            <w:r>
              <w:rPr>
                <w:sz w:val="16"/>
              </w:rPr>
              <w:t>Building cycle time</w:t>
            </w:r>
          </w:p>
        </w:tc>
        <w:tc>
          <w:tcPr>
            <w:tcW w:type="dxa" w:w="2556"/>
            <w:vAlign w:val="center"/>
          </w:tcPr>
          <w:p>
            <w:r>
              <w:rPr>
                <w:sz w:val="16"/>
              </w:rPr>
              <w:t>Older allocation logic used a plant median, masking PCR 40–84 s and TBR 187–214 s machine/GT variation.</w:t>
            </w:r>
          </w:p>
        </w:tc>
        <w:tc>
          <w:tcPr>
            <w:tcW w:type="dxa" w:w="2556"/>
            <w:vAlign w:val="center"/>
          </w:tcPr>
          <w:p>
            <w:r>
              <w:rPr>
                <w:sz w:val="16"/>
              </w:rPr>
              <w:t>L5 log: plant CT ON; PCR 440 rows, TBR 152 rows. L7 contains GT×machine cadence lookup and real-cadence assignment.</w:t>
            </w:r>
          </w:p>
        </w:tc>
        <w:tc>
          <w:tcPr>
            <w:tcW w:type="dxa" w:w="2556"/>
            <w:vAlign w:val="center"/>
          </w:tcPr>
          <w:p>
            <w:r>
              <w:rPr>
                <w:sz w:val="16"/>
              </w:rPr>
              <w:t>Corrected in current code/run.</w:t>
            </w:r>
          </w:p>
        </w:tc>
      </w:tr>
      <w:tr>
        <w:tc>
          <w:tcPr>
            <w:tcW w:type="dxa" w:w="2556"/>
            <w:vAlign w:val="center"/>
          </w:tcPr>
          <w:p>
            <w:r>
              <w:rPr>
                <w:sz w:val="16"/>
              </w:rPr>
              <w:t>Curing cycle time</w:t>
            </w:r>
          </w:p>
        </w:tc>
        <w:tc>
          <w:tcPr>
            <w:tcW w:type="dxa" w:w="2556"/>
            <w:vAlign w:val="center"/>
          </w:tcPr>
          <w:p>
            <w:r>
              <w:rPr>
                <w:sz w:val="16"/>
              </w:rPr>
              <w:t>Older L5 used one plant median even though per-GT median varies about 2×.</w:t>
            </w:r>
          </w:p>
        </w:tc>
        <w:tc>
          <w:tcPr>
            <w:tcW w:type="dxa" w:w="2556"/>
            <w:vAlign w:val="center"/>
          </w:tcPr>
          <w:p>
            <w:r>
              <w:rPr>
                <w:sz w:val="16"/>
              </w:rPr>
              <w:t>L5 log: per-GT cure CT ON; PCR 230 GTs 10–22 min, TBR 131 GTs 42–60 min, with cavity/load-unload adjustments.</w:t>
            </w:r>
          </w:p>
        </w:tc>
        <w:tc>
          <w:tcPr>
            <w:tcW w:type="dxa" w:w="2556"/>
            <w:vAlign w:val="center"/>
          </w:tcPr>
          <w:p>
            <w:r>
              <w:rPr>
                <w:sz w:val="16"/>
              </w:rPr>
              <w:t>Corrected in current run; validate source units/cavity assumptions periodically.</w:t>
            </w:r>
          </w:p>
        </w:tc>
      </w:tr>
      <w:tr>
        <w:tc>
          <w:tcPr>
            <w:tcW w:type="dxa" w:w="2556"/>
            <w:vAlign w:val="center"/>
          </w:tcPr>
          <w:p>
            <w:r>
              <w:rPr>
                <w:sz w:val="16"/>
              </w:rPr>
              <w:t>Setup time</w:t>
            </w:r>
          </w:p>
        </w:tc>
        <w:tc>
          <w:tcPr>
            <w:tcW w:type="dxa" w:w="2556"/>
            <w:vAlign w:val="center"/>
          </w:tcPr>
          <w:p>
            <w:r>
              <w:rPr>
                <w:sz w:val="16"/>
              </w:rPr>
              <w:t>Historically costed but not reserved, causing impossible &gt;24 h machine-days.</w:t>
            </w:r>
          </w:p>
        </w:tc>
        <w:tc>
          <w:tcPr>
            <w:tcW w:type="dxa" w:w="2556"/>
            <w:vAlign w:val="center"/>
          </w:tcPr>
          <w:p>
            <w:r>
              <w:rPr>
                <w:sz w:val="16"/>
              </w:rPr>
              <w:t>Current L7 reports 0 unreserved transitions out of 1,649; export verifier is clean.</w:t>
            </w:r>
          </w:p>
        </w:tc>
        <w:tc>
          <w:tcPr>
            <w:tcW w:type="dxa" w:w="2556"/>
            <w:vAlign w:val="center"/>
          </w:tcPr>
          <w:p>
            <w:r>
              <w:rPr>
                <w:sz w:val="16"/>
              </w:rPr>
              <w:t>Correctness fixed, but it costs legitimate fulfilment and increases need for better packing.</w:t>
            </w:r>
          </w:p>
        </w:tc>
      </w:tr>
    </w:tbl>
    <w:p>
      <w:pPr>
        <w:pStyle w:val="Heading1"/>
      </w:pPr>
      <w:r>
        <w:t>6. Quantified shortfall concentration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4E78"/>
          </w:tcPr>
          <w:p>
            <w:r>
              <w:rPr>
                <w:b/>
                <w:color w:val="FFFFFF"/>
                <w:sz w:val="16"/>
              </w:rPr>
              <w:t>GT</w:t>
            </w:r>
          </w:p>
        </w:tc>
        <w:tc>
          <w:tcPr>
            <w:tcW w:type="dxa" w:w="1704"/>
            <w:shd w:fill="1F4E78"/>
          </w:tcPr>
          <w:p>
            <w:r>
              <w:rPr>
                <w:b/>
                <w:color w:val="FFFFFF"/>
                <w:sz w:val="16"/>
              </w:rPr>
              <w:t>Plant</w:t>
            </w:r>
          </w:p>
        </w:tc>
        <w:tc>
          <w:tcPr>
            <w:tcW w:type="dxa" w:w="1704"/>
            <w:shd w:fill="1F4E78"/>
          </w:tcPr>
          <w:p>
            <w:r>
              <w:rPr>
                <w:b/>
                <w:color w:val="FFFFFF"/>
                <w:sz w:val="16"/>
              </w:rPr>
              <w:t>Demand</w:t>
            </w:r>
          </w:p>
        </w:tc>
        <w:tc>
          <w:tcPr>
            <w:tcW w:type="dxa" w:w="1704"/>
            <w:shd w:fill="1F4E78"/>
          </w:tcPr>
          <w:p>
            <w:r>
              <w:rPr>
                <w:b/>
                <w:color w:val="FFFFFF"/>
                <w:sz w:val="16"/>
              </w:rPr>
              <w:t>Fed</w:t>
            </w:r>
          </w:p>
        </w:tc>
        <w:tc>
          <w:tcPr>
            <w:tcW w:type="dxa" w:w="1704"/>
            <w:shd w:fill="1F4E78"/>
          </w:tcPr>
          <w:p>
            <w:r>
              <w:rPr>
                <w:b/>
                <w:color w:val="FFFFFF"/>
                <w:sz w:val="16"/>
              </w:rPr>
              <w:t>Shortfall</w:t>
            </w:r>
          </w:p>
        </w:tc>
        <w:tc>
          <w:tcPr>
            <w:tcW w:type="dxa" w:w="1704"/>
            <w:shd w:fill="1F4E78"/>
          </w:tcPr>
          <w:p>
            <w:r>
              <w:rPr>
                <w:b/>
                <w:color w:val="FFFFFF"/>
                <w:sz w:val="16"/>
              </w:rPr>
              <w:t>Primary recorded reason</w:t>
            </w:r>
          </w:p>
        </w:tc>
      </w:tr>
      <w:tr>
        <w:tc>
          <w:tcPr>
            <w:tcW w:type="dxa" w:w="1704"/>
            <w:vAlign w:val="center"/>
          </w:tcPr>
          <w:p>
            <w:r>
              <w:rPr>
                <w:sz w:val="16"/>
              </w:rPr>
              <w:t>GT 1513 XPC1 MSIL</w:t>
            </w:r>
          </w:p>
        </w:tc>
        <w:tc>
          <w:tcPr>
            <w:tcW w:type="dxa" w:w="1704"/>
            <w:vAlign w:val="center"/>
          </w:tcPr>
          <w:p>
            <w:r>
              <w:rPr>
                <w:sz w:val="16"/>
              </w:rPr>
              <w:t>PCR</w:t>
            </w:r>
          </w:p>
        </w:tc>
        <w:tc>
          <w:tcPr>
            <w:tcW w:type="dxa" w:w="1704"/>
            <w:vAlign w:val="center"/>
          </w:tcPr>
          <w:p>
            <w:r>
              <w:rPr>
                <w:sz w:val="16"/>
              </w:rPr>
              <w:t>55,663</w:t>
            </w:r>
          </w:p>
        </w:tc>
        <w:tc>
          <w:tcPr>
            <w:tcW w:type="dxa" w:w="1704"/>
            <w:vAlign w:val="center"/>
          </w:tcPr>
          <w:p>
            <w:r>
              <w:rPr>
                <w:sz w:val="16"/>
              </w:rPr>
              <w:t>53,805</w:t>
            </w:r>
          </w:p>
        </w:tc>
        <w:tc>
          <w:tcPr>
            <w:tcW w:type="dxa" w:w="1704"/>
            <w:vAlign w:val="center"/>
          </w:tcPr>
          <w:p>
            <w:r>
              <w:rPr>
                <w:sz w:val="16"/>
              </w:rPr>
              <w:t>1,858</w:t>
            </w:r>
          </w:p>
        </w:tc>
        <w:tc>
          <w:tcPr>
            <w:tcW w:type="dxa" w:w="1704"/>
            <w:vAlign w:val="center"/>
          </w:tcPr>
          <w:p>
            <w:r>
              <w:rPr>
                <w:sz w:val="16"/>
              </w:rPr>
              <w:t>would breach min_lot</w:t>
            </w:r>
          </w:p>
        </w:tc>
      </w:tr>
      <w:tr>
        <w:tc>
          <w:tcPr>
            <w:tcW w:type="dxa" w:w="1704"/>
            <w:vAlign w:val="center"/>
          </w:tcPr>
          <w:p>
            <w:r>
              <w:rPr>
                <w:sz w:val="16"/>
              </w:rPr>
              <w:t>GT 2568 HT2</w:t>
            </w:r>
          </w:p>
        </w:tc>
        <w:tc>
          <w:tcPr>
            <w:tcW w:type="dxa" w:w="1704"/>
            <w:vAlign w:val="center"/>
          </w:tcPr>
          <w:p>
            <w:r>
              <w:rPr>
                <w:sz w:val="16"/>
              </w:rPr>
              <w:t>PCR</w:t>
            </w:r>
          </w:p>
        </w:tc>
        <w:tc>
          <w:tcPr>
            <w:tcW w:type="dxa" w:w="1704"/>
            <w:vAlign w:val="center"/>
          </w:tcPr>
          <w:p>
            <w:r>
              <w:rPr>
                <w:sz w:val="16"/>
              </w:rPr>
              <w:t>16,090</w:t>
            </w:r>
          </w:p>
        </w:tc>
        <w:tc>
          <w:tcPr>
            <w:tcW w:type="dxa" w:w="1704"/>
            <w:vAlign w:val="center"/>
          </w:tcPr>
          <w:p>
            <w:r>
              <w:rPr>
                <w:sz w:val="16"/>
              </w:rPr>
              <w:t>15,063</w:t>
            </w:r>
          </w:p>
        </w:tc>
        <w:tc>
          <w:tcPr>
            <w:tcW w:type="dxa" w:w="1704"/>
            <w:vAlign w:val="center"/>
          </w:tcPr>
          <w:p>
            <w:r>
              <w:rPr>
                <w:sz w:val="16"/>
              </w:rPr>
              <w:t>1,027</w:t>
            </w:r>
          </w:p>
        </w:tc>
        <w:tc>
          <w:tcPr>
            <w:tcW w:type="dxa" w:w="1704"/>
            <w:vAlign w:val="center"/>
          </w:tcPr>
          <w:p>
            <w:r>
              <w:rPr>
                <w:sz w:val="16"/>
              </w:rPr>
              <w:t>would breach min_lot</w:t>
            </w:r>
          </w:p>
        </w:tc>
      </w:tr>
      <w:tr>
        <w:tc>
          <w:tcPr>
            <w:tcW w:type="dxa" w:w="1704"/>
            <w:vAlign w:val="center"/>
          </w:tcPr>
          <w:p>
            <w:r>
              <w:rPr>
                <w:sz w:val="16"/>
              </w:rPr>
              <w:t>GT 2267 ROYL HYU</w:t>
            </w:r>
          </w:p>
        </w:tc>
        <w:tc>
          <w:tcPr>
            <w:tcW w:type="dxa" w:w="1704"/>
            <w:vAlign w:val="center"/>
          </w:tcPr>
          <w:p>
            <w:r>
              <w:rPr>
                <w:sz w:val="16"/>
              </w:rPr>
              <w:t>PCR</w:t>
            </w:r>
          </w:p>
        </w:tc>
        <w:tc>
          <w:tcPr>
            <w:tcW w:type="dxa" w:w="1704"/>
            <w:vAlign w:val="center"/>
          </w:tcPr>
          <w:p>
            <w:r>
              <w:rPr>
                <w:sz w:val="16"/>
              </w:rPr>
              <w:t>31,947</w:t>
            </w:r>
          </w:p>
        </w:tc>
        <w:tc>
          <w:tcPr>
            <w:tcW w:type="dxa" w:w="1704"/>
            <w:vAlign w:val="center"/>
          </w:tcPr>
          <w:p>
            <w:r>
              <w:rPr>
                <w:sz w:val="16"/>
              </w:rPr>
              <w:t>31,104</w:t>
            </w:r>
          </w:p>
        </w:tc>
        <w:tc>
          <w:tcPr>
            <w:tcW w:type="dxa" w:w="1704"/>
            <w:vAlign w:val="center"/>
          </w:tcPr>
          <w:p>
            <w:r>
              <w:rPr>
                <w:sz w:val="16"/>
              </w:rPr>
              <w:t>843</w:t>
            </w:r>
          </w:p>
        </w:tc>
        <w:tc>
          <w:tcPr>
            <w:tcW w:type="dxa" w:w="1704"/>
            <w:vAlign w:val="center"/>
          </w:tcPr>
          <w:p>
            <w:r>
              <w:rPr>
                <w:sz w:val="16"/>
              </w:rPr>
              <w:t>no feasible release</w:t>
            </w:r>
          </w:p>
        </w:tc>
      </w:tr>
      <w:tr>
        <w:tc>
          <w:tcPr>
            <w:tcW w:type="dxa" w:w="1704"/>
            <w:vAlign w:val="center"/>
          </w:tcPr>
          <w:p>
            <w:r>
              <w:rPr>
                <w:sz w:val="16"/>
              </w:rPr>
              <w:t>GT 1844 XPC TML</w:t>
            </w:r>
          </w:p>
        </w:tc>
        <w:tc>
          <w:tcPr>
            <w:tcW w:type="dxa" w:w="1704"/>
            <w:vAlign w:val="center"/>
          </w:tcPr>
          <w:p>
            <w:r>
              <w:rPr>
                <w:sz w:val="16"/>
              </w:rPr>
              <w:t>PCR</w:t>
            </w:r>
          </w:p>
        </w:tc>
        <w:tc>
          <w:tcPr>
            <w:tcW w:type="dxa" w:w="1704"/>
            <w:vAlign w:val="center"/>
          </w:tcPr>
          <w:p>
            <w:r>
              <w:rPr>
                <w:sz w:val="16"/>
              </w:rPr>
              <w:t>11,181</w:t>
            </w:r>
          </w:p>
        </w:tc>
        <w:tc>
          <w:tcPr>
            <w:tcW w:type="dxa" w:w="1704"/>
            <w:vAlign w:val="center"/>
          </w:tcPr>
          <w:p>
            <w:r>
              <w:rPr>
                <w:sz w:val="16"/>
              </w:rPr>
              <w:t>10,446</w:t>
            </w:r>
          </w:p>
        </w:tc>
        <w:tc>
          <w:tcPr>
            <w:tcW w:type="dxa" w:w="1704"/>
            <w:vAlign w:val="center"/>
          </w:tcPr>
          <w:p>
            <w:r>
              <w:rPr>
                <w:sz w:val="16"/>
              </w:rPr>
              <w:t>735</w:t>
            </w:r>
          </w:p>
        </w:tc>
        <w:tc>
          <w:tcPr>
            <w:tcW w:type="dxa" w:w="1704"/>
            <w:vAlign w:val="center"/>
          </w:tcPr>
          <w:p>
            <w:r>
              <w:rPr>
                <w:sz w:val="16"/>
              </w:rPr>
              <w:t>would breach min_lot</w:t>
            </w:r>
          </w:p>
        </w:tc>
      </w:tr>
      <w:tr>
        <w:tc>
          <w:tcPr>
            <w:tcW w:type="dxa" w:w="1704"/>
            <w:vAlign w:val="center"/>
          </w:tcPr>
          <w:p>
            <w:r>
              <w:rPr>
                <w:sz w:val="16"/>
              </w:rPr>
              <w:t>GT 2158 ROYL HYU</w:t>
            </w:r>
          </w:p>
        </w:tc>
        <w:tc>
          <w:tcPr>
            <w:tcW w:type="dxa" w:w="1704"/>
            <w:vAlign w:val="center"/>
          </w:tcPr>
          <w:p>
            <w:r>
              <w:rPr>
                <w:sz w:val="16"/>
              </w:rPr>
              <w:t>PCR</w:t>
            </w:r>
          </w:p>
        </w:tc>
        <w:tc>
          <w:tcPr>
            <w:tcW w:type="dxa" w:w="1704"/>
            <w:vAlign w:val="center"/>
          </w:tcPr>
          <w:p>
            <w:r>
              <w:rPr>
                <w:sz w:val="16"/>
              </w:rPr>
              <w:t>18,251</w:t>
            </w:r>
          </w:p>
        </w:tc>
        <w:tc>
          <w:tcPr>
            <w:tcW w:type="dxa" w:w="1704"/>
            <w:vAlign w:val="center"/>
          </w:tcPr>
          <w:p>
            <w:r>
              <w:rPr>
                <w:sz w:val="16"/>
              </w:rPr>
              <w:t>17,524</w:t>
            </w:r>
          </w:p>
        </w:tc>
        <w:tc>
          <w:tcPr>
            <w:tcW w:type="dxa" w:w="1704"/>
            <w:vAlign w:val="center"/>
          </w:tcPr>
          <w:p>
            <w:r>
              <w:rPr>
                <w:sz w:val="16"/>
              </w:rPr>
              <w:t>727</w:t>
            </w:r>
          </w:p>
        </w:tc>
        <w:tc>
          <w:tcPr>
            <w:tcW w:type="dxa" w:w="1704"/>
            <w:vAlign w:val="center"/>
          </w:tcPr>
          <w:p>
            <w:r>
              <w:rPr>
                <w:sz w:val="16"/>
              </w:rPr>
              <w:t>would breach min_lot</w:t>
            </w:r>
          </w:p>
        </w:tc>
      </w:tr>
      <w:tr>
        <w:tc>
          <w:tcPr>
            <w:tcW w:type="dxa" w:w="1704"/>
            <w:vAlign w:val="center"/>
          </w:tcPr>
          <w:p>
            <w:r>
              <w:rPr>
                <w:sz w:val="16"/>
              </w:rPr>
              <w:t>GT 1925 XPC1</w:t>
            </w:r>
          </w:p>
        </w:tc>
        <w:tc>
          <w:tcPr>
            <w:tcW w:type="dxa" w:w="1704"/>
            <w:vAlign w:val="center"/>
          </w:tcPr>
          <w:p>
            <w:r>
              <w:rPr>
                <w:sz w:val="16"/>
              </w:rPr>
              <w:t>PCR</w:t>
            </w:r>
          </w:p>
        </w:tc>
        <w:tc>
          <w:tcPr>
            <w:tcW w:type="dxa" w:w="1704"/>
            <w:vAlign w:val="center"/>
          </w:tcPr>
          <w:p>
            <w:r>
              <w:rPr>
                <w:sz w:val="16"/>
              </w:rPr>
              <w:t>12,234</w:t>
            </w:r>
          </w:p>
        </w:tc>
        <w:tc>
          <w:tcPr>
            <w:tcW w:type="dxa" w:w="1704"/>
            <w:vAlign w:val="center"/>
          </w:tcPr>
          <w:p>
            <w:r>
              <w:rPr>
                <w:sz w:val="16"/>
              </w:rPr>
              <w:t>11,601</w:t>
            </w:r>
          </w:p>
        </w:tc>
        <w:tc>
          <w:tcPr>
            <w:tcW w:type="dxa" w:w="1704"/>
            <w:vAlign w:val="center"/>
          </w:tcPr>
          <w:p>
            <w:r>
              <w:rPr>
                <w:sz w:val="16"/>
              </w:rPr>
              <w:t>633</w:t>
            </w:r>
          </w:p>
        </w:tc>
        <w:tc>
          <w:tcPr>
            <w:tcW w:type="dxa" w:w="1704"/>
            <w:vAlign w:val="center"/>
          </w:tcPr>
          <w:p>
            <w:r>
              <w:rPr>
                <w:sz w:val="16"/>
              </w:rPr>
              <w:t>would breach min_lot</w:t>
            </w:r>
          </w:p>
        </w:tc>
      </w:tr>
      <w:tr>
        <w:tc>
          <w:tcPr>
            <w:tcW w:type="dxa" w:w="1704"/>
            <w:vAlign w:val="center"/>
          </w:tcPr>
          <w:p>
            <w:r>
              <w:rPr>
                <w:sz w:val="16"/>
              </w:rPr>
              <w:t>GT 1995 ROYL KIA</w:t>
            </w:r>
          </w:p>
        </w:tc>
        <w:tc>
          <w:tcPr>
            <w:tcW w:type="dxa" w:w="1704"/>
            <w:vAlign w:val="center"/>
          </w:tcPr>
          <w:p>
            <w:r>
              <w:rPr>
                <w:sz w:val="16"/>
              </w:rPr>
              <w:t>PCR</w:t>
            </w:r>
          </w:p>
        </w:tc>
        <w:tc>
          <w:tcPr>
            <w:tcW w:type="dxa" w:w="1704"/>
            <w:vAlign w:val="center"/>
          </w:tcPr>
          <w:p>
            <w:r>
              <w:rPr>
                <w:sz w:val="16"/>
              </w:rPr>
              <w:t>14,249</w:t>
            </w:r>
          </w:p>
        </w:tc>
        <w:tc>
          <w:tcPr>
            <w:tcW w:type="dxa" w:w="1704"/>
            <w:vAlign w:val="center"/>
          </w:tcPr>
          <w:p>
            <w:r>
              <w:rPr>
                <w:sz w:val="16"/>
              </w:rPr>
              <w:t>13,698</w:t>
            </w:r>
          </w:p>
        </w:tc>
        <w:tc>
          <w:tcPr>
            <w:tcW w:type="dxa" w:w="1704"/>
            <w:vAlign w:val="center"/>
          </w:tcPr>
          <w:p>
            <w:r>
              <w:rPr>
                <w:sz w:val="16"/>
              </w:rPr>
              <w:t>551</w:t>
            </w:r>
          </w:p>
        </w:tc>
        <w:tc>
          <w:tcPr>
            <w:tcW w:type="dxa" w:w="1704"/>
            <w:vAlign w:val="center"/>
          </w:tcPr>
          <w:p>
            <w:r>
              <w:rPr>
                <w:sz w:val="16"/>
              </w:rPr>
              <w:t>no feasible release</w:t>
            </w:r>
          </w:p>
        </w:tc>
      </w:tr>
      <w:tr>
        <w:tc>
          <w:tcPr>
            <w:tcW w:type="dxa" w:w="1704"/>
            <w:vAlign w:val="center"/>
          </w:tcPr>
          <w:p>
            <w:r>
              <w:rPr>
                <w:sz w:val="16"/>
              </w:rPr>
              <w:t>GT 1854 XPC TT</w:t>
            </w:r>
          </w:p>
        </w:tc>
        <w:tc>
          <w:tcPr>
            <w:tcW w:type="dxa" w:w="1704"/>
            <w:vAlign w:val="center"/>
          </w:tcPr>
          <w:p>
            <w:r>
              <w:rPr>
                <w:sz w:val="16"/>
              </w:rPr>
              <w:t>PCR</w:t>
            </w:r>
          </w:p>
        </w:tc>
        <w:tc>
          <w:tcPr>
            <w:tcW w:type="dxa" w:w="1704"/>
            <w:vAlign w:val="center"/>
          </w:tcPr>
          <w:p>
            <w:r>
              <w:rPr>
                <w:sz w:val="16"/>
              </w:rPr>
              <w:t>1,004</w:t>
            </w:r>
          </w:p>
        </w:tc>
        <w:tc>
          <w:tcPr>
            <w:tcW w:type="dxa" w:w="1704"/>
            <w:vAlign w:val="center"/>
          </w:tcPr>
          <w:p>
            <w:r>
              <w:rPr>
                <w:sz w:val="16"/>
              </w:rPr>
              <w:t>489</w:t>
            </w:r>
          </w:p>
        </w:tc>
        <w:tc>
          <w:tcPr>
            <w:tcW w:type="dxa" w:w="1704"/>
            <w:vAlign w:val="center"/>
          </w:tcPr>
          <w:p>
            <w:r>
              <w:rPr>
                <w:sz w:val="16"/>
              </w:rPr>
              <w:t>515</w:t>
            </w:r>
          </w:p>
        </w:tc>
        <w:tc>
          <w:tcPr>
            <w:tcW w:type="dxa" w:w="1704"/>
            <w:vAlign w:val="center"/>
          </w:tcPr>
          <w:p>
            <w:r>
              <w:rPr>
                <w:sz w:val="16"/>
              </w:rPr>
              <w:t>unclassified/rounding or residual interaction</w:t>
            </w:r>
          </w:p>
        </w:tc>
      </w:tr>
    </w:tbl>
    <w:p>
      <w:r>
        <w:t>The top few PCR GTs dominate the loss. A targeted replay should inspect their eligible-machine windows, setup neighbours, cure deadlines and opening stock before changing global parameters.</w:t>
      </w:r>
    </w:p>
    <w:p>
      <w:pPr>
        <w:pStyle w:val="Heading1"/>
      </w:pPr>
      <w:r>
        <w:t>7. Recommended action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sz w:val="16"/>
              </w:rPr>
              <w:t>Priority</w:t>
            </w:r>
          </w:p>
        </w:tc>
        <w:tc>
          <w:tcPr>
            <w:tcW w:type="dxa" w:w="3408"/>
            <w:shd w:fill="1F4E78"/>
          </w:tcPr>
          <w:p>
            <w:r>
              <w:rPr>
                <w:b/>
                <w:color w:val="FFFFFF"/>
                <w:sz w:val="16"/>
              </w:rPr>
              <w:t>Action</w:t>
            </w:r>
          </w:p>
        </w:tc>
        <w:tc>
          <w:tcPr>
            <w:tcW w:type="dxa" w:w="3408"/>
            <w:shd w:fill="1F4E78"/>
          </w:tcPr>
          <w:p>
            <w:r>
              <w:rPr>
                <w:b/>
                <w:color w:val="FFFFFF"/>
                <w:sz w:val="16"/>
              </w:rPr>
              <w:t>Expected benefit / decision</w:t>
            </w:r>
          </w:p>
        </w:tc>
      </w:tr>
      <w:tr>
        <w:tc>
          <w:tcPr>
            <w:tcW w:type="dxa" w:w="3408"/>
            <w:vAlign w:val="center"/>
          </w:tcPr>
          <w:p>
            <w:r>
              <w:rPr>
                <w:sz w:val="16"/>
              </w:rPr>
              <w:t>P0</w:t>
            </w:r>
          </w:p>
        </w:tc>
        <w:tc>
          <w:tcPr>
            <w:tcW w:type="dxa" w:w="3408"/>
            <w:vAlign w:val="center"/>
          </w:tcPr>
          <w:p>
            <w:r>
              <w:rPr>
                <w:sz w:val="16"/>
              </w:rPr>
              <w:t>Freeze the current code and rebuild July from a clean run with the July-stamped partition; run L11 and verify_export.</w:t>
            </w:r>
          </w:p>
        </w:tc>
        <w:tc>
          <w:tcPr>
            <w:tcW w:type="dxa" w:w="3408"/>
            <w:vAlign w:val="center"/>
          </w:tcPr>
          <w:p>
            <w:r>
              <w:rPr>
                <w:sz w:val="16"/>
              </w:rPr>
              <w:t>Creates one auditable baseline and removes repository-state ambiguity.</w:t>
            </w:r>
          </w:p>
        </w:tc>
      </w:tr>
      <w:tr>
        <w:tc>
          <w:tcPr>
            <w:tcW w:type="dxa" w:w="3408"/>
            <w:vAlign w:val="center"/>
          </w:tcPr>
          <w:p>
            <w:r>
              <w:rPr>
                <w:sz w:val="16"/>
              </w:rPr>
              <w:t>P0</w:t>
            </w:r>
          </w:p>
        </w:tc>
        <w:tc>
          <w:tcPr>
            <w:tcW w:type="dxa" w:w="3408"/>
            <w:vAlign w:val="center"/>
          </w:tcPr>
          <w:p>
            <w:r>
              <w:rPr>
                <w:sz w:val="16"/>
              </w:rPr>
              <w:t>Report two percentages: in-month/plannable and in-month/raw demand.</w:t>
            </w:r>
          </w:p>
        </w:tc>
        <w:tc>
          <w:tcPr>
            <w:tcW w:type="dxa" w:w="3408"/>
            <w:vAlign w:val="center"/>
          </w:tcPr>
          <w:p>
            <w:r>
              <w:rPr>
                <w:sz w:val="16"/>
              </w:rPr>
              <w:t>Prevents 96.2% being mistaken for coverage of every order.</w:t>
            </w:r>
          </w:p>
        </w:tc>
      </w:tr>
      <w:tr>
        <w:tc>
          <w:tcPr>
            <w:tcW w:type="dxa" w:w="3408"/>
            <w:vAlign w:val="center"/>
          </w:tcPr>
          <w:p>
            <w:r>
              <w:rPr>
                <w:sz w:val="16"/>
              </w:rPr>
              <w:t>P1</w:t>
            </w:r>
          </w:p>
        </w:tc>
        <w:tc>
          <w:tcPr>
            <w:tcW w:type="dxa" w:w="3408"/>
            <w:vAlign w:val="center"/>
          </w:tcPr>
          <w:p>
            <w:r>
              <w:rPr>
                <w:sz w:val="16"/>
              </w:rPr>
              <w:t>Close the L6→L5 feedback loop: campaigns failing first-slice timing must be delayed/reseated before L7.</w:t>
            </w:r>
          </w:p>
        </w:tc>
        <w:tc>
          <w:tcPr>
            <w:tcW w:type="dxa" w:w="3408"/>
            <w:vAlign w:val="center"/>
          </w:tcPr>
          <w:p>
            <w:r>
              <w:rPr>
                <w:sz w:val="16"/>
              </w:rPr>
              <w:t>Eliminates downstream reconciliation as the primary repair mechanism.</w:t>
            </w:r>
          </w:p>
        </w:tc>
      </w:tr>
      <w:tr>
        <w:tc>
          <w:tcPr>
            <w:tcW w:type="dxa" w:w="3408"/>
            <w:vAlign w:val="center"/>
          </w:tcPr>
          <w:p>
            <w:r>
              <w:rPr>
                <w:sz w:val="16"/>
              </w:rPr>
              <w:t>P1</w:t>
            </w:r>
          </w:p>
        </w:tc>
        <w:tc>
          <w:tcPr>
            <w:tcW w:type="dxa" w:w="3408"/>
            <w:vAlign w:val="center"/>
          </w:tcPr>
          <w:p>
            <w:r>
              <w:rPr>
                <w:sz w:val="16"/>
              </w:rPr>
              <w:t>Run targeted packing/LNS on the 159 refused slices and top eight shortfall GTs.</w:t>
            </w:r>
          </w:p>
        </w:tc>
        <w:tc>
          <w:tcPr>
            <w:tcW w:type="dxa" w:w="3408"/>
            <w:vAlign w:val="center"/>
          </w:tcPr>
          <w:p>
            <w:r>
              <w:rPr>
                <w:sz w:val="16"/>
              </w:rPr>
              <w:t>Recovers volume from currently idle but fragmented machine hours without relaxing hard caps.</w:t>
            </w:r>
          </w:p>
        </w:tc>
      </w:tr>
      <w:tr>
        <w:tc>
          <w:tcPr>
            <w:tcW w:type="dxa" w:w="3408"/>
            <w:vAlign w:val="center"/>
          </w:tcPr>
          <w:p>
            <w:r>
              <w:rPr>
                <w:sz w:val="16"/>
              </w:rPr>
              <w:t>P1</w:t>
            </w:r>
          </w:p>
        </w:tc>
        <w:tc>
          <w:tcPr>
            <w:tcW w:type="dxa" w:w="3408"/>
            <w:vAlign w:val="center"/>
          </w:tcPr>
          <w:p>
            <w:r>
              <w:rPr>
                <w:sz w:val="16"/>
              </w:rPr>
              <w:t>Obtain a plant ruling on B12: actual-behaviour tolerance versus strict zero sub-floor future state.</w:t>
            </w:r>
          </w:p>
        </w:tc>
        <w:tc>
          <w:tcPr>
            <w:tcW w:type="dxa" w:w="3408"/>
            <w:vAlign w:val="center"/>
          </w:tcPr>
          <w:p>
            <w:r>
              <w:rPr>
                <w:sz w:val="16"/>
              </w:rPr>
              <w:t>Potentially releases the largest recorded refusal category; requires business authorization.</w:t>
            </w:r>
          </w:p>
        </w:tc>
      </w:tr>
      <w:tr>
        <w:tc>
          <w:tcPr>
            <w:tcW w:type="dxa" w:w="3408"/>
            <w:vAlign w:val="center"/>
          </w:tcPr>
          <w:p>
            <w:r>
              <w:rPr>
                <w:sz w:val="16"/>
              </w:rPr>
              <w:t>P1</w:t>
            </w:r>
          </w:p>
        </w:tc>
        <w:tc>
          <w:tcPr>
            <w:tcW w:type="dxa" w:w="3408"/>
            <w:vAlign w:val="center"/>
          </w:tcPr>
          <w:p>
            <w:r>
              <w:rPr>
                <w:sz w:val="16"/>
              </w:rPr>
              <w:t>Model the June→July state explicitly: open machine GT/rim, setup state, press campaign state and aged GT stock—not quantity alone.</w:t>
            </w:r>
          </w:p>
        </w:tc>
        <w:tc>
          <w:tcPr>
            <w:tcW w:type="dxa" w:w="3408"/>
            <w:vAlign w:val="center"/>
          </w:tcPr>
          <w:p>
            <w:r>
              <w:rPr>
                <w:sz w:val="16"/>
              </w:rPr>
              <w:t>Makes the July start comparable with a continuously running plant.</w:t>
            </w:r>
          </w:p>
        </w:tc>
      </w:tr>
      <w:tr>
        <w:tc>
          <w:tcPr>
            <w:tcW w:type="dxa" w:w="3408"/>
            <w:vAlign w:val="center"/>
          </w:tcPr>
          <w:p>
            <w:r>
              <w:rPr>
                <w:sz w:val="16"/>
              </w:rPr>
              <w:t>P2</w:t>
            </w:r>
          </w:p>
        </w:tc>
        <w:tc>
          <w:tcPr>
            <w:tcW w:type="dxa" w:w="3408"/>
            <w:vAlign w:val="center"/>
          </w:tcPr>
          <w:p>
            <w:r>
              <w:rPr>
                <w:sz w:val="16"/>
              </w:rPr>
              <w:t>Reshape L5 to observed campaign bands and improve TBR press dispersion, then remeasure per plant.</w:t>
            </w:r>
          </w:p>
        </w:tc>
        <w:tc>
          <w:tcPr>
            <w:tcW w:type="dxa" w:w="3408"/>
            <w:vAlign w:val="center"/>
          </w:tcPr>
          <w:p>
            <w:r>
              <w:rPr>
                <w:sz w:val="16"/>
              </w:rPr>
              <w:t>Targets TBR wait and concurrency failures; reject any change that harms PCR.</w:t>
            </w:r>
          </w:p>
        </w:tc>
      </w:tr>
      <w:tr>
        <w:tc>
          <w:tcPr>
            <w:tcW w:type="dxa" w:w="3408"/>
            <w:vAlign w:val="center"/>
          </w:tcPr>
          <w:p>
            <w:r>
              <w:rPr>
                <w:sz w:val="16"/>
              </w:rPr>
              <w:t>P2</w:t>
            </w:r>
          </w:p>
        </w:tc>
        <w:tc>
          <w:tcPr>
            <w:tcW w:type="dxa" w:w="3408"/>
            <w:vAlign w:val="center"/>
          </w:tcPr>
          <w:p>
            <w:r>
              <w:rPr>
                <w:sz w:val="16"/>
              </w:rPr>
              <w:t>Define a policy for the 1,701 residual tyres.</w:t>
            </w:r>
          </w:p>
        </w:tc>
        <w:tc>
          <w:tcPr>
            <w:tcW w:type="dxa" w:w="3408"/>
            <w:vAlign w:val="center"/>
          </w:tcPr>
          <w:p>
            <w:r>
              <w:rPr>
                <w:sz w:val="16"/>
              </w:rPr>
              <w:t>Required for a truthful path to 100% raw demand.</w:t>
            </w:r>
          </w:p>
        </w:tc>
      </w:tr>
      <w:tr>
        <w:tc>
          <w:tcPr>
            <w:tcW w:type="dxa" w:w="3408"/>
            <w:vAlign w:val="center"/>
          </w:tcPr>
          <w:p>
            <w:r>
              <w:rPr>
                <w:sz w:val="16"/>
              </w:rPr>
              <w:t>P2</w:t>
            </w:r>
          </w:p>
        </w:tc>
        <w:tc>
          <w:tcPr>
            <w:tcW w:type="dxa" w:w="3408"/>
            <w:vAlign w:val="center"/>
          </w:tcPr>
          <w:p>
            <w:r>
              <w:rPr>
                <w:sz w:val="16"/>
              </w:rPr>
              <w:t>Build an automated plant_as_plan comparison pack when raw MES is available.</w:t>
            </w:r>
          </w:p>
        </w:tc>
        <w:tc>
          <w:tcPr>
            <w:tcW w:type="dxa" w:w="3408"/>
            <w:vAlign w:val="center"/>
          </w:tcPr>
          <w:p>
            <w:r>
              <w:rPr>
                <w:sz w:val="16"/>
              </w:rPr>
              <w:t>Same definitions for actual and plan: lots, waits, setups, occupancy, campaign lengths and per-GT fulfilment.</w:t>
            </w:r>
          </w:p>
        </w:tc>
      </w:tr>
    </w:tbl>
    <w:p>
      <w:pPr>
        <w:pStyle w:val="Heading1"/>
      </w:pPr>
      <w:r>
        <w:t>8. What should not be changed blindly</w:t>
      </w:r>
    </w:p>
    <w:p>
      <w:pPr>
        <w:pStyle w:val="ListBullet"/>
      </w:pPr>
      <w:r>
        <w:t>Do not globally speed up cycle times: current plant workbooks are active, and false speed creates infeasible capacity.</w:t>
      </w:r>
    </w:p>
    <w:p>
      <w:pPr>
        <w:pStyle w:val="ListBullet"/>
      </w:pPr>
      <w:r>
        <w:t>Do not remove setup reservation: the previous approach produced physically impossible machine-days.</w:t>
      </w:r>
    </w:p>
    <w:p>
      <w:pPr>
        <w:pStyle w:val="ListBullet"/>
      </w:pPr>
      <w:r>
        <w:t>Do not relax the 72-hour GT shelf life or mould/press compatibility to chase the percentage.</w:t>
      </w:r>
    </w:p>
    <w:p>
      <w:pPr>
        <w:pStyle w:val="ListBullet"/>
      </w:pPr>
      <w:r>
        <w:t>Do not judge improvements on plant-total fulfilment only; PCR and TBR can move in opposite directions.</w:t>
      </w:r>
    </w:p>
    <w:p>
      <w:pPr>
        <w:pStyle w:val="ListBullet"/>
      </w:pPr>
      <w:r>
        <w:t>Do not treat campaign nameplate as tyres produced, or count the August tail as July fulfilment.</w:t>
      </w:r>
    </w:p>
    <w:p>
      <w:pPr>
        <w:pStyle w:val="Heading1"/>
      </w:pPr>
      <w:r>
        <w:t>9. Final assessment</w:t>
      </w:r>
    </w:p>
    <w:p>
      <w:r>
        <w:t>The planner is not failing because the July plant lacks nominal capacity, and the current reference run is not primarily using the wrong cycle times. It is leaving feasible production on the table because its schedule geometry differs from the plant: month isolation, fragmented just-in-time windows, hard indivisible lot floors, imperfect cure-campaign shaping, and no closed L6→L5 correction loop. The most credible route toward 100% is therefore to reproduce the plant's temporal continuity and packing behavior—not to inflate resource speed or relax physical safety rules.</w:t>
      </w:r>
    </w:p>
    <w:p>
      <w:pPr>
        <w:pStyle w:val="Heading1"/>
      </w:pPr>
      <w:r>
        <w:t>Appendix A — Evidence files</w:t>
      </w:r>
    </w:p>
    <w:p>
      <w:pPr>
        <w:pStyle w:val="ListBullet"/>
      </w:pPr>
      <w:r>
        <w:t>schedule/send/runs/hz_ext72/log_l5_cure_master.txt</w:t>
      </w:r>
    </w:p>
    <w:p>
      <w:pPr>
        <w:pStyle w:val="ListBullet"/>
      </w:pPr>
      <w:r>
        <w:t>schedule/send/runs/hz_ext72/log_l6_build_gate.txt</w:t>
      </w:r>
    </w:p>
    <w:p>
      <w:pPr>
        <w:pStyle w:val="ListBullet"/>
      </w:pPr>
      <w:r>
        <w:t>schedule/send/runs/hz_ext72/log_l7_pull_release.txt</w:t>
      </w:r>
    </w:p>
    <w:p>
      <w:pPr>
        <w:pStyle w:val="ListBullet"/>
      </w:pPr>
      <w:r>
        <w:t>schedule/send/runs/hz_ext72/log_l11_validate_plan.txt</w:t>
      </w:r>
    </w:p>
    <w:p>
      <w:pPr>
        <w:pStyle w:val="ListBullet"/>
      </w:pPr>
      <w:r>
        <w:t>schedule/send/output/JUL2026_pack/csv/8_demand_vs_plan.csv</w:t>
      </w:r>
    </w:p>
    <w:p>
      <w:pPr>
        <w:pStyle w:val="ListBullet"/>
      </w:pPr>
      <w:r>
        <w:t>schedule/send/output/JUL2026_pack/csv/9a_kpi_summary.csv</w:t>
      </w:r>
    </w:p>
    <w:p>
      <w:pPr>
        <w:pStyle w:val="ListBullet"/>
      </w:pPr>
      <w:r>
        <w:t>schedule/send/PARTITION_AND_CHANGEOVER.md</w:t>
      </w:r>
    </w:p>
    <w:p>
      <w:pPr>
        <w:pStyle w:val="ListBullet"/>
      </w:pPr>
      <w:r>
        <w:t>schedule/send/EXPERT_AUDIT.md</w:t>
      </w:r>
    </w:p>
    <w:p>
      <w:pPr>
        <w:pStyle w:val="ListBullet"/>
      </w:pPr>
      <w:r>
        <w:t>schedule/send/MEMORY.md</w:t>
      </w:r>
    </w:p>
    <w:p>
      <w:pPr>
        <w:pStyle w:val="ListBullet"/>
      </w:pPr>
      <w:r>
        <w:t>schedule/send/scripts/plant_as_plan.py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