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8"/>
          <w:szCs w:val="48"/>
        </w:rPr>
        <w:t xml:space="preserve">BUSINESS REQUIREMENTS DOCUMENT</w:t>
      </w:r>
    </w:p>
    <w:p>
      <w:pPr>
        <w:spacing w:after="100" w:before="200"/>
        <w:jc w:val="center"/>
      </w:pPr>
      <w:r>
        <w:rPr>
          <w:b/>
          <w:bCs/>
          <w:color w:val="2E74B5"/>
          <w:sz w:val="32"/>
          <w:szCs w:val="32"/>
        </w:rPr>
        <w:t xml:space="preserve">Network Threat &amp; Attack Analytics Platform</w:t>
      </w:r>
    </w:p>
    <w:p>
      <w:pPr>
        <w:spacing w:after="1200"/>
        <w:jc w:val="center"/>
      </w:pPr>
      <w:r>
        <w:rPr>
          <w:i/>
          <w:iCs/>
          <w:color w:val="595959"/>
          <w:sz w:val="24"/>
          <w:szCs w:val="24"/>
        </w:rPr>
        <w:t xml:space="preserve">SQL, Python &amp; Power BI Analytics Initiative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CE6F1" w:val="clear"/>
            <w:tcMar>
              <w:top w:type="dxa" w:w="100"/>
              <w:left w:type="dxa" w:w="120"/>
              <w:bottom w:type="dxa" w:w="100"/>
              <w:right w:type="dxa" w:w="120"/>
            </w:tcMar>
          </w:tcPr>
          <w:p>
            <w:r>
              <w:rPr>
                <w:b/>
                <w:bCs/>
                <w:color w:val="000000"/>
                <w:sz w:val="20"/>
                <w:szCs w:val="20"/>
              </w:rPr>
              <w:t xml:space="preserve">Document Owner</w:t>
            </w:r>
          </w:p>
        </w:tc>
        <w:tc>
          <w:tcPr>
            <w:tcW w:type="dxa" w:w="4000"/>
            <w:tcMar>
              <w:top w:type="dxa" w:w="100"/>
              <w:left w:type="dxa" w:w="120"/>
              <w:bottom w:type="dxa" w:w="100"/>
              <w:right w:type="dxa" w:w="120"/>
            </w:tcMar>
          </w:tcPr>
          <w:p>
            <w:r>
              <w:rPr>
                <w:b w:val="false"/>
                <w:bCs w:val="false"/>
                <w:color w:val="000000"/>
                <w:sz w:val="20"/>
                <w:szCs w:val="20"/>
              </w:rPr>
              <w:t xml:space="preserve">Harsh Sehgal</w:t>
            </w:r>
          </w:p>
        </w:tc>
      </w:tr>
      <w:tr>
        <w:tc>
          <w:tcPr>
            <w:tcW w:type="dxa" w:w="3000"/>
            <w:shd w:fill="DCE6F1" w:val="clear"/>
            <w:tcMar>
              <w:top w:type="dxa" w:w="100"/>
              <w:left w:type="dxa" w:w="120"/>
              <w:bottom w:type="dxa" w:w="100"/>
              <w:right w:type="dxa" w:w="120"/>
            </w:tcMar>
          </w:tcPr>
          <w:p>
            <w:r>
              <w:rPr>
                <w:b/>
                <w:bCs/>
                <w:color w:val="000000"/>
                <w:sz w:val="20"/>
                <w:szCs w:val="20"/>
              </w:rPr>
              <w:t xml:space="preserve">Role</w:t>
            </w:r>
          </w:p>
        </w:tc>
        <w:tc>
          <w:tcPr>
            <w:tcW w:type="dxa" w:w="4000"/>
            <w:tcMar>
              <w:top w:type="dxa" w:w="100"/>
              <w:left w:type="dxa" w:w="120"/>
              <w:bottom w:type="dxa" w:w="100"/>
              <w:right w:type="dxa" w:w="120"/>
            </w:tcMar>
          </w:tcPr>
          <w:p>
            <w:r>
              <w:rPr>
                <w:b w:val="false"/>
                <w:bCs w:val="false"/>
                <w:color w:val="000000"/>
                <w:sz w:val="20"/>
                <w:szCs w:val="20"/>
              </w:rPr>
              <w:t xml:space="preserve">Data Analyst (Prepared By)</w:t>
            </w:r>
          </w:p>
        </w:tc>
      </w:tr>
      <w:tr>
        <w:tc>
          <w:tcPr>
            <w:tcW w:type="dxa" w:w="3000"/>
            <w:shd w:fill="DCE6F1" w:val="clear"/>
            <w:tcMar>
              <w:top w:type="dxa" w:w="100"/>
              <w:left w:type="dxa" w:w="120"/>
              <w:bottom w:type="dxa" w:w="100"/>
              <w:right w:type="dxa" w:w="120"/>
            </w:tcMar>
          </w:tcPr>
          <w:p>
            <w:r>
              <w:rPr>
                <w:b/>
                <w:bCs/>
                <w:color w:val="000000"/>
                <w:sz w:val="20"/>
                <w:szCs w:val="20"/>
              </w:rPr>
              <w:t xml:space="preserve">Project Sponsor</w:t>
            </w:r>
          </w:p>
        </w:tc>
        <w:tc>
          <w:tcPr>
            <w:tcW w:type="dxa" w:w="4000"/>
            <w:tcMar>
              <w:top w:type="dxa" w:w="100"/>
              <w:left w:type="dxa" w:w="120"/>
              <w:bottom w:type="dxa" w:w="100"/>
              <w:right w:type="dxa" w:w="120"/>
            </w:tcMar>
          </w:tcPr>
          <w:p>
            <w:r>
              <w:rPr>
                <w:b w:val="false"/>
                <w:bCs w:val="false"/>
                <w:color w:val="000000"/>
                <w:sz w:val="20"/>
                <w:szCs w:val="20"/>
              </w:rPr>
              <w:t xml:space="preserve">Self-Directed Portfolio Project</w:t>
            </w:r>
          </w:p>
        </w:tc>
      </w:tr>
      <w:tr>
        <w:tc>
          <w:tcPr>
            <w:tcW w:type="dxa" w:w="3000"/>
            <w:shd w:fill="DCE6F1" w:val="clear"/>
            <w:tcMar>
              <w:top w:type="dxa" w:w="100"/>
              <w:left w:type="dxa" w:w="120"/>
              <w:bottom w:type="dxa" w:w="100"/>
              <w:right w:type="dxa" w:w="120"/>
            </w:tcMar>
          </w:tcPr>
          <w:p>
            <w:r>
              <w:rPr>
                <w:b/>
                <w:bCs/>
                <w:color w:val="000000"/>
                <w:sz w:val="20"/>
                <w:szCs w:val="20"/>
              </w:rPr>
              <w:t xml:space="preserve">Document Version</w:t>
            </w:r>
          </w:p>
        </w:tc>
        <w:tc>
          <w:tcPr>
            <w:tcW w:type="dxa" w:w="4000"/>
            <w:tcMar>
              <w:top w:type="dxa" w:w="100"/>
              <w:left w:type="dxa" w:w="120"/>
              <w:bottom w:type="dxa" w:w="100"/>
              <w:right w:type="dxa" w:w="120"/>
            </w:tcMar>
          </w:tcPr>
          <w:p>
            <w:r>
              <w:rPr>
                <w:b w:val="false"/>
                <w:bCs w:val="false"/>
                <w:color w:val="000000"/>
                <w:sz w:val="20"/>
                <w:szCs w:val="20"/>
              </w:rPr>
              <w:t xml:space="preserve">1.0</w:t>
            </w:r>
          </w:p>
        </w:tc>
      </w:tr>
      <w:tr>
        <w:tc>
          <w:tcPr>
            <w:tcW w:type="dxa" w:w="3000"/>
            <w:shd w:fill="DCE6F1" w:val="clear"/>
            <w:tcMar>
              <w:top w:type="dxa" w:w="100"/>
              <w:left w:type="dxa" w:w="120"/>
              <w:bottom w:type="dxa" w:w="100"/>
              <w:right w:type="dxa" w:w="120"/>
            </w:tcMar>
          </w:tcPr>
          <w:p>
            <w:r>
              <w:rPr>
                <w:b/>
                <w:bCs/>
                <w:color w:val="000000"/>
                <w:sz w:val="20"/>
                <w:szCs w:val="20"/>
              </w:rPr>
              <w:t xml:space="preserve">Date Issued</w:t>
            </w:r>
          </w:p>
        </w:tc>
        <w:tc>
          <w:tcPr>
            <w:tcW w:type="dxa" w:w="4000"/>
            <w:tcMar>
              <w:top w:type="dxa" w:w="100"/>
              <w:left w:type="dxa" w:w="120"/>
              <w:bottom w:type="dxa" w:w="100"/>
              <w:right w:type="dxa" w:w="120"/>
            </w:tcMar>
          </w:tcPr>
          <w:p>
            <w:r>
              <w:rPr>
                <w:b w:val="false"/>
                <w:bCs w:val="false"/>
                <w:color w:val="000000"/>
                <w:sz w:val="20"/>
                <w:szCs w:val="20"/>
              </w:rPr>
              <w:t xml:space="preserve">26 July 2026</w:t>
            </w:r>
          </w:p>
        </w:tc>
      </w:tr>
      <w:tr>
        <w:tc>
          <w:tcPr>
            <w:tcW w:type="dxa" w:w="3000"/>
            <w:shd w:fill="DCE6F1" w:val="clear"/>
            <w:tcMar>
              <w:top w:type="dxa" w:w="100"/>
              <w:left w:type="dxa" w:w="120"/>
              <w:bottom w:type="dxa" w:w="100"/>
              <w:right w:type="dxa" w:w="120"/>
            </w:tcMar>
          </w:tcPr>
          <w:p>
            <w:r>
              <w:rPr>
                <w:b/>
                <w:bCs/>
                <w:color w:val="000000"/>
                <w:sz w:val="20"/>
                <w:szCs w:val="20"/>
              </w:rPr>
              <w:t xml:space="preserve">Status</w:t>
            </w:r>
          </w:p>
        </w:tc>
        <w:tc>
          <w:tcPr>
            <w:tcW w:type="dxa" w:w="4000"/>
            <w:tcMar>
              <w:top w:type="dxa" w:w="100"/>
              <w:left w:type="dxa" w:w="120"/>
              <w:bottom w:type="dxa" w:w="100"/>
              <w:right w:type="dxa" w:w="120"/>
            </w:tcMar>
          </w:tcPr>
          <w:p>
            <w:r>
              <w:rPr>
                <w:b w:val="false"/>
                <w:bCs w:val="false"/>
                <w:color w:val="000000"/>
                <w:sz w:val="20"/>
                <w:szCs w:val="20"/>
              </w:rPr>
              <w:t xml:space="preserve">Draft – For Development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F3864" w:val="clear"/>
            <w:tcMar>
              <w:top w:type="dxa" w:w="100"/>
              <w:left w:type="dxa" w:w="120"/>
              <w:bottom w:type="dxa" w:w="100"/>
              <w:right w:type="dxa" w:w="120"/>
            </w:tcMar>
          </w:tcPr>
          <w:p>
            <w:r>
              <w:rPr>
                <w:b/>
                <w:bCs/>
                <w:color w:val="FFFFFF"/>
                <w:sz w:val="20"/>
                <w:szCs w:val="20"/>
              </w:rPr>
              <w:t xml:space="preserve">Version</w:t>
            </w:r>
          </w:p>
        </w:tc>
        <w:tc>
          <w:tcPr>
            <w:tcW w:type="dxa" w:w="1800"/>
            <w:shd w:fill="1F3864" w:val="clear"/>
            <w:tcMar>
              <w:top w:type="dxa" w:w="100"/>
              <w:left w:type="dxa" w:w="120"/>
              <w:bottom w:type="dxa" w:w="100"/>
              <w:right w:type="dxa" w:w="120"/>
            </w:tcMar>
          </w:tcPr>
          <w:p>
            <w:r>
              <w:rPr>
                <w:b/>
                <w:bCs/>
                <w:color w:val="FFFFFF"/>
                <w:sz w:val="20"/>
                <w:szCs w:val="20"/>
              </w:rPr>
              <w:t xml:space="preserve">Date</w:t>
            </w:r>
          </w:p>
        </w:tc>
        <w:tc>
          <w:tcPr>
            <w:tcW w:type="dxa" w:w="2350"/>
            <w:shd w:fill="1F3864" w:val="clear"/>
            <w:tcMar>
              <w:top w:type="dxa" w:w="100"/>
              <w:left w:type="dxa" w:w="120"/>
              <w:bottom w:type="dxa" w:w="100"/>
              <w:right w:type="dxa" w:w="120"/>
            </w:tcMar>
          </w:tcPr>
          <w:p>
            <w:r>
              <w:rPr>
                <w:b/>
                <w:bCs/>
                <w:color w:val="FFFFFF"/>
                <w:sz w:val="20"/>
                <w:szCs w:val="20"/>
              </w:rPr>
              <w:t xml:space="preserve">Author</w:t>
            </w:r>
          </w:p>
        </w:tc>
        <w:tc>
          <w:tcPr>
            <w:tcW w:type="dxa" w:w="4000"/>
            <w:shd w:fill="1F3864" w:val="clear"/>
            <w:tcMar>
              <w:top w:type="dxa" w:w="100"/>
              <w:left w:type="dxa" w:w="120"/>
              <w:bottom w:type="dxa" w:w="100"/>
              <w:right w:type="dxa" w:w="120"/>
            </w:tcMar>
          </w:tcPr>
          <w:p>
            <w:r>
              <w:rPr>
                <w:b/>
                <w:bCs/>
                <w:color w:val="FFFFFF"/>
                <w:sz w:val="20"/>
                <w:szCs w:val="20"/>
              </w:rPr>
              <w:t xml:space="preserve">Description of Change</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0.1</w:t>
            </w:r>
          </w:p>
        </w:tc>
        <w:tc>
          <w:tcPr>
            <w:tcW w:type="dxa" w:w="1800"/>
            <w:shd w:fill="F2F2F2" w:val="clear"/>
            <w:tcMar>
              <w:top w:type="dxa" w:w="100"/>
              <w:left w:type="dxa" w:w="120"/>
              <w:bottom w:type="dxa" w:w="100"/>
              <w:right w:type="dxa" w:w="120"/>
            </w:tcMar>
          </w:tcPr>
          <w:p>
            <w:r>
              <w:rPr>
                <w:b w:val="false"/>
                <w:bCs w:val="false"/>
                <w:color w:val="000000"/>
                <w:sz w:val="20"/>
                <w:szCs w:val="20"/>
              </w:rPr>
              <w:t xml:space="preserve">20 Jul 2026</w:t>
            </w:r>
          </w:p>
        </w:tc>
        <w:tc>
          <w:tcPr>
            <w:tcW w:type="dxa" w:w="2350"/>
            <w:shd w:fill="F2F2F2" w:val="clear"/>
            <w:tcMar>
              <w:top w:type="dxa" w:w="100"/>
              <w:left w:type="dxa" w:w="120"/>
              <w:bottom w:type="dxa" w:w="100"/>
              <w:right w:type="dxa" w:w="120"/>
            </w:tcMar>
          </w:tcPr>
          <w:p>
            <w:r>
              <w:rPr>
                <w:b w:val="false"/>
                <w:bCs w:val="false"/>
                <w:color w:val="000000"/>
                <w:sz w:val="20"/>
                <w:szCs w:val="20"/>
              </w:rPr>
              <w:t xml:space="preserve">Harsh Sehgal</w:t>
            </w:r>
          </w:p>
        </w:tc>
        <w:tc>
          <w:tcPr>
            <w:tcW w:type="dxa" w:w="4000"/>
            <w:shd w:fill="F2F2F2" w:val="clear"/>
            <w:tcMar>
              <w:top w:type="dxa" w:w="100"/>
              <w:left w:type="dxa" w:w="120"/>
              <w:bottom w:type="dxa" w:w="100"/>
              <w:right w:type="dxa" w:w="120"/>
            </w:tcMar>
          </w:tcPr>
          <w:p>
            <w:r>
              <w:rPr>
                <w:b w:val="false"/>
                <w:bCs w:val="false"/>
                <w:color w:val="000000"/>
                <w:sz w:val="20"/>
                <w:szCs w:val="20"/>
              </w:rPr>
              <w:t xml:space="preserve">Initial draft based on dataset assessment</w:t>
            </w:r>
          </w:p>
        </w:tc>
      </w:tr>
      <w:tr>
        <w:tc>
          <w:tcPr>
            <w:tcW w:type="dxa" w:w="1200"/>
            <w:tcMar>
              <w:top w:type="dxa" w:w="100"/>
              <w:left w:type="dxa" w:w="120"/>
              <w:bottom w:type="dxa" w:w="100"/>
              <w:right w:type="dxa" w:w="120"/>
            </w:tcMar>
          </w:tcPr>
          <w:p>
            <w:r>
              <w:rPr>
                <w:b w:val="false"/>
                <w:bCs w:val="false"/>
                <w:color w:val="000000"/>
                <w:sz w:val="20"/>
                <w:szCs w:val="20"/>
              </w:rPr>
              <w:t xml:space="preserve">1.0</w:t>
            </w:r>
          </w:p>
        </w:tc>
        <w:tc>
          <w:tcPr>
            <w:tcW w:type="dxa" w:w="1800"/>
            <w:tcMar>
              <w:top w:type="dxa" w:w="100"/>
              <w:left w:type="dxa" w:w="120"/>
              <w:bottom w:type="dxa" w:w="100"/>
              <w:right w:type="dxa" w:w="120"/>
            </w:tcMar>
          </w:tcPr>
          <w:p>
            <w:r>
              <w:rPr>
                <w:b w:val="false"/>
                <w:bCs w:val="false"/>
                <w:color w:val="000000"/>
                <w:sz w:val="20"/>
                <w:szCs w:val="20"/>
              </w:rPr>
              <w:t xml:space="preserve">26 Jul 2026</w:t>
            </w:r>
          </w:p>
        </w:tc>
        <w:tc>
          <w:tcPr>
            <w:tcW w:type="dxa" w:w="2350"/>
            <w:tcMar>
              <w:top w:type="dxa" w:w="100"/>
              <w:left w:type="dxa" w:w="120"/>
              <w:bottom w:type="dxa" w:w="100"/>
              <w:right w:type="dxa" w:w="120"/>
            </w:tcMar>
          </w:tcPr>
          <w:p>
            <w:r>
              <w:rPr>
                <w:b w:val="false"/>
                <w:bCs w:val="false"/>
                <w:color w:val="000000"/>
                <w:sz w:val="20"/>
                <w:szCs w:val="20"/>
              </w:rPr>
              <w:t xml:space="preserve">Harsh Sehgal</w:t>
            </w:r>
          </w:p>
        </w:tc>
        <w:tc>
          <w:tcPr>
            <w:tcW w:type="dxa" w:w="4000"/>
            <w:tcMar>
              <w:top w:type="dxa" w:w="100"/>
              <w:left w:type="dxa" w:w="120"/>
              <w:bottom w:type="dxa" w:w="100"/>
              <w:right w:type="dxa" w:w="120"/>
            </w:tcMar>
          </w:tcPr>
          <w:p>
            <w:r>
              <w:rPr>
                <w:b w:val="false"/>
                <w:bCs w:val="false"/>
                <w:color w:val="000000"/>
                <w:sz w:val="20"/>
                <w:szCs w:val="20"/>
              </w:rPr>
              <w:t xml:space="preserve">Finalised scope, data dictionary, and requirements</w:t>
            </w:r>
          </w:p>
        </w:tc>
      </w:tr>
    </w:tbl>
    <w:p>
      <w:pPr>
        <w:pStyle w:val="Heading1"/>
        <w:spacing w:after="200" w:before="400"/>
      </w:pPr>
      <w:r>
        <w:t xml:space="preserve">1. Introduction</w:t>
      </w:r>
    </w:p>
    <w:p>
      <w:pPr>
        <w:pStyle w:val="Heading2"/>
        <w:spacing w:after="150" w:before="300"/>
      </w:pPr>
      <w:r>
        <w:t xml:space="preserve">1.1 Purpose</w:t>
      </w:r>
    </w:p>
    <w:p>
      <w:pPr>
        <w:spacing w:after="160" w:line="276"/>
      </w:pPr>
      <w:r>
        <w:t xml:space="preserve">This Business Requirements Document (BRD) defines the objectives, scope, data sources, and functional requirements for a self-directed analytics project analysing network-level cybersecurity events. It translates a raw network traffic and attack-log dataset into a defined set of business questions, data preparation rules, and reporting deliverables, following the same structure used for enterprise data-analytics engagements.</w:t>
      </w:r>
    </w:p>
    <w:p>
      <w:pPr>
        <w:pStyle w:val="Heading2"/>
        <w:spacing w:after="150" w:before="300"/>
      </w:pPr>
      <w:r>
        <w:t xml:space="preserve">1.2 Project Background</w:t>
      </w:r>
    </w:p>
    <w:p>
      <w:pPr>
        <w:spacing w:after="160" w:line="276"/>
      </w:pPr>
      <w:r>
        <w:t xml:space="preserve">Organisations increasingly rely on network monitoring systems (firewalls, IDS/IPS, proxy logs) that generate large volumes of event data. Security and IT operations teams need this data distilled into clear, prioritised insight — which attack types are most frequent, which network segments and protocols are most exposed, how effectively the current response process (Logged / Blocked / Ignored) is working, and where anomaly scores indicate under-monitored risk. This project simulates that requirement using a historical network-attack dataset covering January 2020 to October 2023.</w:t>
      </w:r>
    </w:p>
    <w:p>
      <w:pPr>
        <w:pStyle w:val="Heading2"/>
        <w:spacing w:after="150" w:before="300"/>
      </w:pPr>
      <w:r>
        <w:t xml:space="preserve">1.3 Business Objectives</w:t>
      </w:r>
    </w:p>
    <w:p>
      <w:pPr>
        <w:pStyle w:val="ListParagraph"/>
        <w:numPr>
          <w:ilvl w:val="0"/>
          <w:numId w:val="1"/>
        </w:numPr>
        <w:spacing w:after="100" w:line="276"/>
      </w:pPr>
      <w:r>
        <w:t xml:space="preserve">Identify the most frequent and highest-severity attack types across the monitored network.</w:t>
      </w:r>
    </w:p>
    <w:p>
      <w:pPr>
        <w:pStyle w:val="ListParagraph"/>
        <w:numPr>
          <w:ilvl w:val="0"/>
          <w:numId w:val="1"/>
        </w:numPr>
        <w:spacing w:after="100" w:line="276"/>
      </w:pPr>
      <w:r>
        <w:t xml:space="preserve">Evaluate whether current response actions (Logged, Blocked, Ignored) align with event severity and anomaly scores.</w:t>
      </w:r>
    </w:p>
    <w:p>
      <w:pPr>
        <w:pStyle w:val="ListParagraph"/>
        <w:numPr>
          <w:ilvl w:val="0"/>
          <w:numId w:val="1"/>
        </w:numPr>
        <w:spacing w:after="100" w:line="276"/>
      </w:pPr>
      <w:r>
        <w:t xml:space="preserve">Surface which protocols, ports, traffic types, and network segments carry the greatest concentration of risk.</w:t>
      </w:r>
    </w:p>
    <w:p>
      <w:pPr>
        <w:pStyle w:val="ListParagraph"/>
        <w:numPr>
          <w:ilvl w:val="0"/>
          <w:numId w:val="1"/>
        </w:numPr>
        <w:spacing w:after="100" w:line="276"/>
      </w:pPr>
      <w:r>
        <w:t xml:space="preserve">Quantify detection-signal coverage — how often malware indicators, alerts, firewall logs, and IDS/IPS alerts are actually captured for an event.</w:t>
      </w:r>
    </w:p>
    <w:p>
      <w:pPr>
        <w:pStyle w:val="ListParagraph"/>
        <w:numPr>
          <w:ilvl w:val="0"/>
          <w:numId w:val="1"/>
        </w:numPr>
        <w:spacing w:after="100" w:line="276"/>
      </w:pPr>
      <w:r>
        <w:t xml:space="preserve">Deliver a decision-ready Power BI dashboard and supporting SQL/Python analysis that could inform a security operations review.</w:t>
      </w:r>
    </w:p>
    <w:p>
      <w:pPr>
        <w:pStyle w:val="Heading1"/>
        <w:spacing w:after="200" w:before="400"/>
      </w:pPr>
      <w:r>
        <w:t xml:space="preserve">2. Scope</w:t>
      </w:r>
    </w:p>
    <w:p>
      <w:pPr>
        <w:pStyle w:val="Heading2"/>
        <w:spacing w:after="150" w:before="300"/>
      </w:pPr>
      <w:r>
        <w:t xml:space="preserve">2.1 In Scope</w:t>
      </w:r>
    </w:p>
    <w:p>
      <w:pPr>
        <w:pStyle w:val="ListParagraph"/>
        <w:numPr>
          <w:ilvl w:val="0"/>
          <w:numId w:val="1"/>
        </w:numPr>
        <w:spacing w:after="100" w:line="276"/>
      </w:pPr>
      <w:r>
        <w:t xml:space="preserve">Data cleaning and preparation of the 40,000-record network attack dataset (25 fields).</w:t>
      </w:r>
    </w:p>
    <w:p>
      <w:pPr>
        <w:pStyle w:val="ListParagraph"/>
        <w:numPr>
          <w:ilvl w:val="0"/>
          <w:numId w:val="1"/>
        </w:numPr>
        <w:spacing w:after="100" w:line="276"/>
      </w:pPr>
      <w:r>
        <w:t xml:space="preserve">Exploratory data analysis in Python (Pandas, Matplotlib/Seaborn).</w:t>
      </w:r>
    </w:p>
    <w:p>
      <w:pPr>
        <w:pStyle w:val="ListParagraph"/>
        <w:numPr>
          <w:ilvl w:val="0"/>
          <w:numId w:val="1"/>
        </w:numPr>
        <w:spacing w:after="100" w:line="276"/>
      </w:pPr>
      <w:r>
        <w:t xml:space="preserve">Relational data modelling and query analysis in SQL (PostgreSQL/SQLite).</w:t>
      </w:r>
    </w:p>
    <w:p>
      <w:pPr>
        <w:pStyle w:val="ListParagraph"/>
        <w:numPr>
          <w:ilvl w:val="0"/>
          <w:numId w:val="1"/>
        </w:numPr>
        <w:spacing w:after="100" w:line="276"/>
      </w:pPr>
      <w:r>
        <w:t xml:space="preserve">Feature engineering: detection-coverage flags, time-of-day/day-of-week buckets, port-risk categorisation.</w:t>
      </w:r>
    </w:p>
    <w:p>
      <w:pPr>
        <w:pStyle w:val="ListParagraph"/>
        <w:numPr>
          <w:ilvl w:val="0"/>
          <w:numId w:val="1"/>
        </w:numPr>
        <w:spacing w:after="100" w:line="276"/>
      </w:pPr>
      <w:r>
        <w:t xml:space="preserve">An interactive Power BI dashboard with KPI cards, trend charts, and drill-through filters.</w:t>
      </w:r>
    </w:p>
    <w:p>
      <w:pPr>
        <w:pStyle w:val="ListParagraph"/>
        <w:numPr>
          <w:ilvl w:val="0"/>
          <w:numId w:val="1"/>
        </w:numPr>
        <w:spacing w:after="100" w:line="276"/>
      </w:pPr>
      <w:r>
        <w:t xml:space="preserve">A written summary report translating findings into prioritised, actionable recommendations.</w:t>
      </w:r>
    </w:p>
    <w:p>
      <w:pPr>
        <w:pStyle w:val="Heading2"/>
        <w:spacing w:after="150" w:before="300"/>
      </w:pPr>
      <w:r>
        <w:t xml:space="preserve">2.2 Out of Scope</w:t>
      </w:r>
    </w:p>
    <w:p>
      <w:pPr>
        <w:pStyle w:val="ListParagraph"/>
        <w:numPr>
          <w:ilvl w:val="0"/>
          <w:numId w:val="1"/>
        </w:numPr>
        <w:spacing w:after="100" w:line="276"/>
      </w:pPr>
      <w:r>
        <w:t xml:space="preserve">Real-time data ingestion or live network monitoring integration.</w:t>
      </w:r>
    </w:p>
    <w:p>
      <w:pPr>
        <w:pStyle w:val="ListParagraph"/>
        <w:numPr>
          <w:ilvl w:val="0"/>
          <w:numId w:val="1"/>
        </w:numPr>
        <w:spacing w:after="100" w:line="276"/>
      </w:pPr>
      <w:r>
        <w:t xml:space="preserve">Predictive machine-learning models (classification/anomaly-detection modelling) — flagged as a possible Phase 2 extension, not part of this deliverable.</w:t>
      </w:r>
    </w:p>
    <w:p>
      <w:pPr>
        <w:pStyle w:val="ListParagraph"/>
        <w:numPr>
          <w:ilvl w:val="0"/>
          <w:numId w:val="1"/>
        </w:numPr>
        <w:spacing w:after="100" w:line="276"/>
      </w:pPr>
      <w:r>
        <w:t xml:space="preserve">Remediation or patching of any identified vulnerabilities — this is an analytics deliverable, not an operational security response.</w:t>
      </w:r>
    </w:p>
    <w:p>
      <w:pPr>
        <w:pStyle w:val="ListParagraph"/>
        <w:numPr>
          <w:ilvl w:val="0"/>
          <w:numId w:val="1"/>
        </w:numPr>
        <w:spacing w:after="100" w:line="276"/>
      </w:pPr>
      <w:r>
        <w:t xml:space="preserve">Validation against a live production network; the dataset is used as a static, historical analytical source.</w:t>
      </w:r>
    </w:p>
    <w:p>
      <w:pPr>
        <w:pStyle w:val="Heading1"/>
        <w:spacing w:after="200" w:before="400"/>
      </w:pPr>
      <w:r>
        <w:t xml:space="preserve">3.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Stakeholder</w:t>
            </w:r>
          </w:p>
        </w:tc>
        <w:tc>
          <w:tcPr>
            <w:tcW w:type="dxa" w:w="6350"/>
            <w:shd w:fill="1F3864" w:val="clear"/>
            <w:tcMar>
              <w:top w:type="dxa" w:w="100"/>
              <w:left w:type="dxa" w:w="120"/>
              <w:bottom w:type="dxa" w:w="100"/>
              <w:right w:type="dxa" w:w="120"/>
            </w:tcMar>
          </w:tcPr>
          <w:p>
            <w:r>
              <w:rPr>
                <w:b/>
                <w:bCs/>
                <w:color w:val="FFFFFF"/>
                <w:sz w:val="20"/>
                <w:szCs w:val="20"/>
              </w:rPr>
              <w:t xml:space="preserve">Interest / Role</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Data Analyst (self)</w:t>
            </w:r>
          </w:p>
        </w:tc>
        <w:tc>
          <w:tcPr>
            <w:tcW w:type="dxa" w:w="6350"/>
            <w:shd w:fill="F2F2F2" w:val="clear"/>
            <w:tcMar>
              <w:top w:type="dxa" w:w="100"/>
              <w:left w:type="dxa" w:w="120"/>
              <w:bottom w:type="dxa" w:w="100"/>
              <w:right w:type="dxa" w:w="120"/>
            </w:tcMar>
          </w:tcPr>
          <w:p>
            <w:r>
              <w:rPr>
                <w:b w:val="false"/>
                <w:bCs w:val="false"/>
                <w:color w:val="000000"/>
                <w:sz w:val="20"/>
                <w:szCs w:val="20"/>
              </w:rPr>
              <w:t xml:space="preserve">Owns data preparation, analysis, dashboard build, and reporting</w:t>
            </w:r>
          </w:p>
        </w:tc>
      </w:tr>
      <w:tr>
        <w:tc>
          <w:tcPr>
            <w:tcW w:type="dxa" w:w="3000"/>
            <w:tcMar>
              <w:top w:type="dxa" w:w="100"/>
              <w:left w:type="dxa" w:w="120"/>
              <w:bottom w:type="dxa" w:w="100"/>
              <w:right w:type="dxa" w:w="120"/>
            </w:tcMar>
          </w:tcPr>
          <w:p>
            <w:r>
              <w:rPr>
                <w:b w:val="false"/>
                <w:bCs w:val="false"/>
                <w:color w:val="000000"/>
                <w:sz w:val="20"/>
                <w:szCs w:val="20"/>
              </w:rPr>
              <w:t xml:space="preserve">Hiring Managers / Reviewers (simulated audience)</w:t>
            </w:r>
          </w:p>
        </w:tc>
        <w:tc>
          <w:tcPr>
            <w:tcW w:type="dxa" w:w="6350"/>
            <w:tcMar>
              <w:top w:type="dxa" w:w="100"/>
              <w:left w:type="dxa" w:w="120"/>
              <w:bottom w:type="dxa" w:w="100"/>
              <w:right w:type="dxa" w:w="120"/>
            </w:tcMar>
          </w:tcPr>
          <w:p>
            <w:r>
              <w:rPr>
                <w:b w:val="false"/>
                <w:bCs w:val="false"/>
                <w:color w:val="000000"/>
                <w:sz w:val="20"/>
                <w:szCs w:val="20"/>
              </w:rPr>
              <w:t xml:space="preserve">Represents a Security Operations / IT Analytics stakeholder evaluating the insight quality of the deliverable</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Portfolio Reviewers</w:t>
            </w:r>
          </w:p>
        </w:tc>
        <w:tc>
          <w:tcPr>
            <w:tcW w:type="dxa" w:w="6350"/>
            <w:shd w:fill="F2F2F2" w:val="clear"/>
            <w:tcMar>
              <w:top w:type="dxa" w:w="100"/>
              <w:left w:type="dxa" w:w="120"/>
              <w:bottom w:type="dxa" w:w="100"/>
              <w:right w:type="dxa" w:w="120"/>
            </w:tcMar>
          </w:tcPr>
          <w:p>
            <w:r>
              <w:rPr>
                <w:b w:val="false"/>
                <w:bCs w:val="false"/>
                <w:color w:val="000000"/>
                <w:sz w:val="20"/>
                <w:szCs w:val="20"/>
              </w:rPr>
              <w:t xml:space="preserve">Assess technical rigor of SQL, Python, and Power BI work for recruitment purposes</w:t>
            </w:r>
          </w:p>
        </w:tc>
      </w:tr>
    </w:tbl>
    <w:p>
      <w:pPr>
        <w:pStyle w:val="Heading1"/>
        <w:spacing w:after="200" w:before="400"/>
      </w:pPr>
      <w:r>
        <w:t xml:space="preserve">4. Data Source Overview</w:t>
      </w:r>
    </w:p>
    <w:p>
      <w:pPr>
        <w:pStyle w:val="Heading2"/>
        <w:spacing w:after="150" w:before="300"/>
      </w:pPr>
      <w:r>
        <w:t xml:space="preserve">4.1 Dataset Description</w:t>
      </w:r>
    </w:p>
    <w:p>
      <w:pPr>
        <w:spacing w:after="160" w:line="276"/>
      </w:pPr>
      <w:r>
        <w:t xml:space="preserve">Source file: cybersecurity_attacks.csv (Kaggle – “Cyber Security Attacks” dataset). The dataset contains 40,000 records and 25 fields describing individual network traffic events, each labelled with an attack type, severity level, and the action taken by the monitoring system. Approximately 50% of detection-flag fields (Malware Indicators, Alerts/Warnings, Proxy Information, Firewall Logs, IDS/IPS Alerts) contain nulls, which are treated as “not recorded / not present” rather than missing data errors, and will be explicitly encoded as such during cleaning.</w:t>
      </w:r>
    </w:p>
    <w:p>
      <w:pPr>
        <w:pStyle w:val="Heading2"/>
        <w:spacing w:after="150" w:before="300"/>
      </w:pPr>
      <w:r>
        <w:t xml:space="preserve">4.2 Data Dictionary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Field</w:t>
            </w:r>
          </w:p>
        </w:tc>
        <w:tc>
          <w:tcPr>
            <w:tcW w:type="dxa" w:w="1600"/>
            <w:shd w:fill="1F3864" w:val="clear"/>
            <w:tcMar>
              <w:top w:type="dxa" w:w="100"/>
              <w:left w:type="dxa" w:w="120"/>
              <w:bottom w:type="dxa" w:w="100"/>
              <w:right w:type="dxa" w:w="120"/>
            </w:tcMar>
          </w:tcPr>
          <w:p>
            <w:r>
              <w:rPr>
                <w:b/>
                <w:bCs/>
                <w:color w:val="FFFFFF"/>
                <w:sz w:val="20"/>
                <w:szCs w:val="20"/>
              </w:rPr>
              <w:t xml:space="preserve">Type</w:t>
            </w:r>
          </w:p>
        </w:tc>
        <w:tc>
          <w:tcPr>
            <w:tcW w:type="dxa" w:w="5350"/>
            <w:shd w:fill="1F3864" w:val="clear"/>
            <w:tcMar>
              <w:top w:type="dxa" w:w="100"/>
              <w:left w:type="dxa" w:w="120"/>
              <w:bottom w:type="dxa" w:w="100"/>
              <w:right w:type="dxa" w:w="120"/>
            </w:tcMar>
          </w:tcPr>
          <w:p>
            <w:r>
              <w:rPr>
                <w:b/>
                <w:bCs/>
                <w:color w:val="FFFFFF"/>
                <w:sz w:val="20"/>
                <w:szCs w:val="20"/>
              </w:rPr>
              <w:t xml:space="preserve">Description</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Timestamp</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Datetime</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Date and time the network event/session was recorded (Jan 2020 – Oct 2023).</w:t>
            </w:r>
          </w:p>
        </w:tc>
      </w:tr>
      <w:tr>
        <w:tc>
          <w:tcPr>
            <w:tcW w:type="dxa" w:w="2400"/>
            <w:tcMar>
              <w:top w:type="dxa" w:w="100"/>
              <w:left w:type="dxa" w:w="120"/>
              <w:bottom w:type="dxa" w:w="100"/>
              <w:right w:type="dxa" w:w="120"/>
            </w:tcMar>
          </w:tcPr>
          <w:p>
            <w:r>
              <w:rPr>
                <w:b w:val="false"/>
                <w:bCs w:val="false"/>
                <w:color w:val="000000"/>
                <w:sz w:val="20"/>
                <w:szCs w:val="20"/>
              </w:rPr>
              <w:t xml:space="preserve">Source IP Address</w:t>
            </w:r>
          </w:p>
        </w:tc>
        <w:tc>
          <w:tcPr>
            <w:tcW w:type="dxa" w:w="1600"/>
            <w:tcMar>
              <w:top w:type="dxa" w:w="100"/>
              <w:left w:type="dxa" w:w="120"/>
              <w:bottom w:type="dxa" w:w="100"/>
              <w:right w:type="dxa" w:w="120"/>
            </w:tcMar>
          </w:tcPr>
          <w:p>
            <w:r>
              <w:rPr>
                <w:b w:val="false"/>
                <w:bCs w:val="false"/>
                <w:color w:val="000000"/>
                <w:sz w:val="20"/>
                <w:szCs w:val="20"/>
              </w:rPr>
              <w:t xml:space="preserve">String</w:t>
            </w:r>
          </w:p>
        </w:tc>
        <w:tc>
          <w:tcPr>
            <w:tcW w:type="dxa" w:w="5350"/>
            <w:tcMar>
              <w:top w:type="dxa" w:w="100"/>
              <w:left w:type="dxa" w:w="120"/>
              <w:bottom w:type="dxa" w:w="100"/>
              <w:right w:type="dxa" w:w="120"/>
            </w:tcMar>
          </w:tcPr>
          <w:p>
            <w:r>
              <w:rPr>
                <w:b w:val="false"/>
                <w:bCs w:val="false"/>
                <w:color w:val="000000"/>
                <w:sz w:val="20"/>
                <w:szCs w:val="20"/>
              </w:rPr>
              <w:t xml:space="preserve">IP address that originated the network traffic.</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Destination IP Address</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String</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IP address the traffic was directed to.</w:t>
            </w:r>
          </w:p>
        </w:tc>
      </w:tr>
      <w:tr>
        <w:tc>
          <w:tcPr>
            <w:tcW w:type="dxa" w:w="2400"/>
            <w:tcMar>
              <w:top w:type="dxa" w:w="100"/>
              <w:left w:type="dxa" w:w="120"/>
              <w:bottom w:type="dxa" w:w="100"/>
              <w:right w:type="dxa" w:w="120"/>
            </w:tcMar>
          </w:tcPr>
          <w:p>
            <w:r>
              <w:rPr>
                <w:b w:val="false"/>
                <w:bCs w:val="false"/>
                <w:color w:val="000000"/>
                <w:sz w:val="20"/>
                <w:szCs w:val="20"/>
              </w:rPr>
              <w:t xml:space="preserve">Source Port</w:t>
            </w:r>
          </w:p>
        </w:tc>
        <w:tc>
          <w:tcPr>
            <w:tcW w:type="dxa" w:w="1600"/>
            <w:tcMar>
              <w:top w:type="dxa" w:w="100"/>
              <w:left w:type="dxa" w:w="120"/>
              <w:bottom w:type="dxa" w:w="100"/>
              <w:right w:type="dxa" w:w="120"/>
            </w:tcMar>
          </w:tcPr>
          <w:p>
            <w:r>
              <w:rPr>
                <w:b w:val="false"/>
                <w:bCs w:val="false"/>
                <w:color w:val="000000"/>
                <w:sz w:val="20"/>
                <w:szCs w:val="20"/>
              </w:rPr>
              <w:t xml:space="preserve">Integer</w:t>
            </w:r>
          </w:p>
        </w:tc>
        <w:tc>
          <w:tcPr>
            <w:tcW w:type="dxa" w:w="5350"/>
            <w:tcMar>
              <w:top w:type="dxa" w:w="100"/>
              <w:left w:type="dxa" w:w="120"/>
              <w:bottom w:type="dxa" w:w="100"/>
              <w:right w:type="dxa" w:w="120"/>
            </w:tcMar>
          </w:tcPr>
          <w:p>
            <w:r>
              <w:rPr>
                <w:b w:val="false"/>
                <w:bCs w:val="false"/>
                <w:color w:val="000000"/>
                <w:sz w:val="20"/>
                <w:szCs w:val="20"/>
              </w:rPr>
              <w:t xml:space="preserve">Port number on the originating host.</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Destination Port</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Integer</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Port number on the receiving host.</w:t>
            </w:r>
          </w:p>
        </w:tc>
      </w:tr>
      <w:tr>
        <w:tc>
          <w:tcPr>
            <w:tcW w:type="dxa" w:w="2400"/>
            <w:tcMar>
              <w:top w:type="dxa" w:w="100"/>
              <w:left w:type="dxa" w:w="120"/>
              <w:bottom w:type="dxa" w:w="100"/>
              <w:right w:type="dxa" w:w="120"/>
            </w:tcMar>
          </w:tcPr>
          <w:p>
            <w:r>
              <w:rPr>
                <w:b w:val="false"/>
                <w:bCs w:val="false"/>
                <w:color w:val="000000"/>
                <w:sz w:val="20"/>
                <w:szCs w:val="20"/>
              </w:rPr>
              <w:t xml:space="preserve">Protocol</w:t>
            </w:r>
          </w:p>
        </w:tc>
        <w:tc>
          <w:tcPr>
            <w:tcW w:type="dxa" w:w="1600"/>
            <w:tcMar>
              <w:top w:type="dxa" w:w="100"/>
              <w:left w:type="dxa" w:w="120"/>
              <w:bottom w:type="dxa" w:w="100"/>
              <w:right w:type="dxa" w:w="120"/>
            </w:tcMar>
          </w:tcPr>
          <w:p>
            <w:r>
              <w:rPr>
                <w:b w:val="false"/>
                <w:bCs w:val="false"/>
                <w:color w:val="000000"/>
                <w:sz w:val="20"/>
                <w:szCs w:val="20"/>
              </w:rPr>
              <w:t xml:space="preserve">Categorical</w:t>
            </w:r>
          </w:p>
        </w:tc>
        <w:tc>
          <w:tcPr>
            <w:tcW w:type="dxa" w:w="5350"/>
            <w:tcMar>
              <w:top w:type="dxa" w:w="100"/>
              <w:left w:type="dxa" w:w="120"/>
              <w:bottom w:type="dxa" w:w="100"/>
              <w:right w:type="dxa" w:w="120"/>
            </w:tcMar>
          </w:tcPr>
          <w:p>
            <w:r>
              <w:rPr>
                <w:b w:val="false"/>
                <w:bCs w:val="false"/>
                <w:color w:val="000000"/>
                <w:sz w:val="20"/>
                <w:szCs w:val="20"/>
              </w:rPr>
              <w:t xml:space="preserve">Network protocol used: TCP, UDP, or ICMP.</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Packet Length</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Integer</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Size of the network packet, in bytes.</w:t>
            </w:r>
          </w:p>
        </w:tc>
      </w:tr>
      <w:tr>
        <w:tc>
          <w:tcPr>
            <w:tcW w:type="dxa" w:w="2400"/>
            <w:tcMar>
              <w:top w:type="dxa" w:w="100"/>
              <w:left w:type="dxa" w:w="120"/>
              <w:bottom w:type="dxa" w:w="100"/>
              <w:right w:type="dxa" w:w="120"/>
            </w:tcMar>
          </w:tcPr>
          <w:p>
            <w:r>
              <w:rPr>
                <w:b w:val="false"/>
                <w:bCs w:val="false"/>
                <w:color w:val="000000"/>
                <w:sz w:val="20"/>
                <w:szCs w:val="20"/>
              </w:rPr>
              <w:t xml:space="preserve">Packet Type</w:t>
            </w:r>
          </w:p>
        </w:tc>
        <w:tc>
          <w:tcPr>
            <w:tcW w:type="dxa" w:w="1600"/>
            <w:tcMar>
              <w:top w:type="dxa" w:w="100"/>
              <w:left w:type="dxa" w:w="120"/>
              <w:bottom w:type="dxa" w:w="100"/>
              <w:right w:type="dxa" w:w="120"/>
            </w:tcMar>
          </w:tcPr>
          <w:p>
            <w:r>
              <w:rPr>
                <w:b w:val="false"/>
                <w:bCs w:val="false"/>
                <w:color w:val="000000"/>
                <w:sz w:val="20"/>
                <w:szCs w:val="20"/>
              </w:rPr>
              <w:t xml:space="preserve">Categorical</w:t>
            </w:r>
          </w:p>
        </w:tc>
        <w:tc>
          <w:tcPr>
            <w:tcW w:type="dxa" w:w="5350"/>
            <w:tcMar>
              <w:top w:type="dxa" w:w="100"/>
              <w:left w:type="dxa" w:w="120"/>
              <w:bottom w:type="dxa" w:w="100"/>
              <w:right w:type="dxa" w:w="120"/>
            </w:tcMar>
          </w:tcPr>
          <w:p>
            <w:r>
              <w:rPr>
                <w:b w:val="false"/>
                <w:bCs w:val="false"/>
                <w:color w:val="000000"/>
                <w:sz w:val="20"/>
                <w:szCs w:val="20"/>
              </w:rPr>
              <w:t xml:space="preserve">Data or Control packet.</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Traffic Type</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Categorical</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Application-layer traffic type: HTTP, DNS, or FTP.</w:t>
            </w:r>
          </w:p>
        </w:tc>
      </w:tr>
      <w:tr>
        <w:tc>
          <w:tcPr>
            <w:tcW w:type="dxa" w:w="2400"/>
            <w:tcMar>
              <w:top w:type="dxa" w:w="100"/>
              <w:left w:type="dxa" w:w="120"/>
              <w:bottom w:type="dxa" w:w="100"/>
              <w:right w:type="dxa" w:w="120"/>
            </w:tcMar>
          </w:tcPr>
          <w:p>
            <w:r>
              <w:rPr>
                <w:b w:val="false"/>
                <w:bCs w:val="false"/>
                <w:color w:val="000000"/>
                <w:sz w:val="20"/>
                <w:szCs w:val="20"/>
              </w:rPr>
              <w:t xml:space="preserve">Payload Data</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350"/>
            <w:tcMar>
              <w:top w:type="dxa" w:w="100"/>
              <w:left w:type="dxa" w:w="120"/>
              <w:bottom w:type="dxa" w:w="100"/>
              <w:right w:type="dxa" w:w="120"/>
            </w:tcMar>
          </w:tcPr>
          <w:p>
            <w:r>
              <w:rPr>
                <w:b w:val="false"/>
                <w:bCs w:val="false"/>
                <w:color w:val="000000"/>
                <w:sz w:val="20"/>
                <w:szCs w:val="20"/>
              </w:rPr>
              <w:t xml:space="preserve">Sample of the packet payload content.</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Malware Indicators</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Flag</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Indicates whether an Indicator of Compromise (IoC) was detected (present in ~50% of records).</w:t>
            </w:r>
          </w:p>
        </w:tc>
      </w:tr>
      <w:tr>
        <w:tc>
          <w:tcPr>
            <w:tcW w:type="dxa" w:w="2400"/>
            <w:tcMar>
              <w:top w:type="dxa" w:w="100"/>
              <w:left w:type="dxa" w:w="120"/>
              <w:bottom w:type="dxa" w:w="100"/>
              <w:right w:type="dxa" w:w="120"/>
            </w:tcMar>
          </w:tcPr>
          <w:p>
            <w:r>
              <w:rPr>
                <w:b w:val="false"/>
                <w:bCs w:val="false"/>
                <w:color w:val="000000"/>
                <w:sz w:val="20"/>
                <w:szCs w:val="20"/>
              </w:rPr>
              <w:t xml:space="preserve">Anomaly Scores</w:t>
            </w:r>
          </w:p>
        </w:tc>
        <w:tc>
          <w:tcPr>
            <w:tcW w:type="dxa" w:w="1600"/>
            <w:tcMar>
              <w:top w:type="dxa" w:w="100"/>
              <w:left w:type="dxa" w:w="120"/>
              <w:bottom w:type="dxa" w:w="100"/>
              <w:right w:type="dxa" w:w="120"/>
            </w:tcMar>
          </w:tcPr>
          <w:p>
            <w:r>
              <w:rPr>
                <w:b w:val="false"/>
                <w:bCs w:val="false"/>
                <w:color w:val="000000"/>
                <w:sz w:val="20"/>
                <w:szCs w:val="20"/>
              </w:rPr>
              <w:t xml:space="preserve">Float (0–100)</w:t>
            </w:r>
          </w:p>
        </w:tc>
        <w:tc>
          <w:tcPr>
            <w:tcW w:type="dxa" w:w="5350"/>
            <w:tcMar>
              <w:top w:type="dxa" w:w="100"/>
              <w:left w:type="dxa" w:w="120"/>
              <w:bottom w:type="dxa" w:w="100"/>
              <w:right w:type="dxa" w:w="120"/>
            </w:tcMar>
          </w:tcPr>
          <w:p>
            <w:r>
              <w:rPr>
                <w:b w:val="false"/>
                <w:bCs w:val="false"/>
                <w:color w:val="000000"/>
                <w:sz w:val="20"/>
                <w:szCs w:val="20"/>
              </w:rPr>
              <w:t xml:space="preserve">Anomaly-detection score assigned to the event; higher indicates more unusual behaviour.</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Alerts/Warnings</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Flag</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Indicates whether a monitoring alert was triggered.</w:t>
            </w:r>
          </w:p>
        </w:tc>
      </w:tr>
      <w:tr>
        <w:tc>
          <w:tcPr>
            <w:tcW w:type="dxa" w:w="2400"/>
            <w:tcMar>
              <w:top w:type="dxa" w:w="100"/>
              <w:left w:type="dxa" w:w="120"/>
              <w:bottom w:type="dxa" w:w="100"/>
              <w:right w:type="dxa" w:w="120"/>
            </w:tcMar>
          </w:tcPr>
          <w:p>
            <w:r>
              <w:rPr>
                <w:b w:val="false"/>
                <w:bCs w:val="false"/>
                <w:color w:val="000000"/>
                <w:sz w:val="20"/>
                <w:szCs w:val="20"/>
              </w:rPr>
              <w:t xml:space="preserve">Attack Type</w:t>
            </w:r>
          </w:p>
        </w:tc>
        <w:tc>
          <w:tcPr>
            <w:tcW w:type="dxa" w:w="1600"/>
            <w:tcMar>
              <w:top w:type="dxa" w:w="100"/>
              <w:left w:type="dxa" w:w="120"/>
              <w:bottom w:type="dxa" w:w="100"/>
              <w:right w:type="dxa" w:w="120"/>
            </w:tcMar>
          </w:tcPr>
          <w:p>
            <w:r>
              <w:rPr>
                <w:b w:val="false"/>
                <w:bCs w:val="false"/>
                <w:color w:val="000000"/>
                <w:sz w:val="20"/>
                <w:szCs w:val="20"/>
              </w:rPr>
              <w:t xml:space="preserve">Categorical</w:t>
            </w:r>
          </w:p>
        </w:tc>
        <w:tc>
          <w:tcPr>
            <w:tcW w:type="dxa" w:w="5350"/>
            <w:tcMar>
              <w:top w:type="dxa" w:w="100"/>
              <w:left w:type="dxa" w:w="120"/>
              <w:bottom w:type="dxa" w:w="100"/>
              <w:right w:type="dxa" w:w="120"/>
            </w:tcMar>
          </w:tcPr>
          <w:p>
            <w:r>
              <w:rPr>
                <w:b w:val="false"/>
                <w:bCs w:val="false"/>
                <w:color w:val="000000"/>
                <w:sz w:val="20"/>
                <w:szCs w:val="20"/>
              </w:rPr>
              <w:t xml:space="preserve">Classified attack category: Malware, DDoS, or Intrusion.</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Attack Signature</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Categorical</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Signature pattern matched by the detection system.</w:t>
            </w:r>
          </w:p>
        </w:tc>
      </w:tr>
      <w:tr>
        <w:tc>
          <w:tcPr>
            <w:tcW w:type="dxa" w:w="2400"/>
            <w:tcMar>
              <w:top w:type="dxa" w:w="100"/>
              <w:left w:type="dxa" w:w="120"/>
              <w:bottom w:type="dxa" w:w="100"/>
              <w:right w:type="dxa" w:w="120"/>
            </w:tcMar>
          </w:tcPr>
          <w:p>
            <w:r>
              <w:rPr>
                <w:b w:val="false"/>
                <w:bCs w:val="false"/>
                <w:color w:val="000000"/>
                <w:sz w:val="20"/>
                <w:szCs w:val="20"/>
              </w:rPr>
              <w:t xml:space="preserve">Action Taken</w:t>
            </w:r>
          </w:p>
        </w:tc>
        <w:tc>
          <w:tcPr>
            <w:tcW w:type="dxa" w:w="1600"/>
            <w:tcMar>
              <w:top w:type="dxa" w:w="100"/>
              <w:left w:type="dxa" w:w="120"/>
              <w:bottom w:type="dxa" w:w="100"/>
              <w:right w:type="dxa" w:w="120"/>
            </w:tcMar>
          </w:tcPr>
          <w:p>
            <w:r>
              <w:rPr>
                <w:b w:val="false"/>
                <w:bCs w:val="false"/>
                <w:color w:val="000000"/>
                <w:sz w:val="20"/>
                <w:szCs w:val="20"/>
              </w:rPr>
              <w:t xml:space="preserve">Categorical</w:t>
            </w:r>
          </w:p>
        </w:tc>
        <w:tc>
          <w:tcPr>
            <w:tcW w:type="dxa" w:w="5350"/>
            <w:tcMar>
              <w:top w:type="dxa" w:w="100"/>
              <w:left w:type="dxa" w:w="120"/>
              <w:bottom w:type="dxa" w:w="100"/>
              <w:right w:type="dxa" w:w="120"/>
            </w:tcMar>
          </w:tcPr>
          <w:p>
            <w:r>
              <w:rPr>
                <w:b w:val="false"/>
                <w:bCs w:val="false"/>
                <w:color w:val="000000"/>
                <w:sz w:val="20"/>
                <w:szCs w:val="20"/>
              </w:rPr>
              <w:t xml:space="preserve">Response action recorded: Logged, Blocked, or Ignored.</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Severity Level</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Categorical</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Business-assigned severity: Low, Medium, or High.</w:t>
            </w:r>
          </w:p>
        </w:tc>
      </w:tr>
      <w:tr>
        <w:tc>
          <w:tcPr>
            <w:tcW w:type="dxa" w:w="2400"/>
            <w:tcMar>
              <w:top w:type="dxa" w:w="100"/>
              <w:left w:type="dxa" w:w="120"/>
              <w:bottom w:type="dxa" w:w="100"/>
              <w:right w:type="dxa" w:w="120"/>
            </w:tcMar>
          </w:tcPr>
          <w:p>
            <w:r>
              <w:rPr>
                <w:b w:val="false"/>
                <w:bCs w:val="false"/>
                <w:color w:val="000000"/>
                <w:sz w:val="20"/>
                <w:szCs w:val="20"/>
              </w:rPr>
              <w:t xml:space="preserve">User Information</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350"/>
            <w:tcMar>
              <w:top w:type="dxa" w:w="100"/>
              <w:left w:type="dxa" w:w="120"/>
              <w:bottom w:type="dxa" w:w="100"/>
              <w:right w:type="dxa" w:w="120"/>
            </w:tcMar>
          </w:tcPr>
          <w:p>
            <w:r>
              <w:rPr>
                <w:b w:val="false"/>
                <w:bCs w:val="false"/>
                <w:color w:val="000000"/>
                <w:sz w:val="20"/>
                <w:szCs w:val="20"/>
              </w:rPr>
              <w:t xml:space="preserve">User account associated with the session, where available.</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Device Information</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Text</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Browser/device string associated with the session.</w:t>
            </w:r>
          </w:p>
        </w:tc>
      </w:tr>
      <w:tr>
        <w:tc>
          <w:tcPr>
            <w:tcW w:type="dxa" w:w="2400"/>
            <w:tcMar>
              <w:top w:type="dxa" w:w="100"/>
              <w:left w:type="dxa" w:w="120"/>
              <w:bottom w:type="dxa" w:w="100"/>
              <w:right w:type="dxa" w:w="120"/>
            </w:tcMar>
          </w:tcPr>
          <w:p>
            <w:r>
              <w:rPr>
                <w:b w:val="false"/>
                <w:bCs w:val="false"/>
                <w:color w:val="000000"/>
                <w:sz w:val="20"/>
                <w:szCs w:val="20"/>
              </w:rPr>
              <w:t xml:space="preserve">Network Segment</w:t>
            </w:r>
          </w:p>
        </w:tc>
        <w:tc>
          <w:tcPr>
            <w:tcW w:type="dxa" w:w="1600"/>
            <w:tcMar>
              <w:top w:type="dxa" w:w="100"/>
              <w:left w:type="dxa" w:w="120"/>
              <w:bottom w:type="dxa" w:w="100"/>
              <w:right w:type="dxa" w:w="120"/>
            </w:tcMar>
          </w:tcPr>
          <w:p>
            <w:r>
              <w:rPr>
                <w:b w:val="false"/>
                <w:bCs w:val="false"/>
                <w:color w:val="000000"/>
                <w:sz w:val="20"/>
                <w:szCs w:val="20"/>
              </w:rPr>
              <w:t xml:space="preserve">Categorical</w:t>
            </w:r>
          </w:p>
        </w:tc>
        <w:tc>
          <w:tcPr>
            <w:tcW w:type="dxa" w:w="5350"/>
            <w:tcMar>
              <w:top w:type="dxa" w:w="100"/>
              <w:left w:type="dxa" w:w="120"/>
              <w:bottom w:type="dxa" w:w="100"/>
              <w:right w:type="dxa" w:w="120"/>
            </w:tcMar>
          </w:tcPr>
          <w:p>
            <w:r>
              <w:rPr>
                <w:b w:val="false"/>
                <w:bCs w:val="false"/>
                <w:color w:val="000000"/>
                <w:sz w:val="20"/>
                <w:szCs w:val="20"/>
              </w:rPr>
              <w:t xml:space="preserve">Internal network zone: Segment A, B, or C.</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Geo-location Data</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Text</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City/state associated with the traffic origin.</w:t>
            </w:r>
          </w:p>
        </w:tc>
      </w:tr>
      <w:tr>
        <w:tc>
          <w:tcPr>
            <w:tcW w:type="dxa" w:w="2400"/>
            <w:tcMar>
              <w:top w:type="dxa" w:w="100"/>
              <w:left w:type="dxa" w:w="120"/>
              <w:bottom w:type="dxa" w:w="100"/>
              <w:right w:type="dxa" w:w="120"/>
            </w:tcMar>
          </w:tcPr>
          <w:p>
            <w:r>
              <w:rPr>
                <w:b w:val="false"/>
                <w:bCs w:val="false"/>
                <w:color w:val="000000"/>
                <w:sz w:val="20"/>
                <w:szCs w:val="20"/>
              </w:rPr>
              <w:t xml:space="preserve">Proxy Information</w:t>
            </w:r>
          </w:p>
        </w:tc>
        <w:tc>
          <w:tcPr>
            <w:tcW w:type="dxa" w:w="1600"/>
            <w:tcMar>
              <w:top w:type="dxa" w:w="100"/>
              <w:left w:type="dxa" w:w="120"/>
              <w:bottom w:type="dxa" w:w="100"/>
              <w:right w:type="dxa" w:w="120"/>
            </w:tcMar>
          </w:tcPr>
          <w:p>
            <w:r>
              <w:rPr>
                <w:b w:val="false"/>
                <w:bCs w:val="false"/>
                <w:color w:val="000000"/>
                <w:sz w:val="20"/>
                <w:szCs w:val="20"/>
              </w:rPr>
              <w:t xml:space="preserve">String</w:t>
            </w:r>
          </w:p>
        </w:tc>
        <w:tc>
          <w:tcPr>
            <w:tcW w:type="dxa" w:w="5350"/>
            <w:tcMar>
              <w:top w:type="dxa" w:w="100"/>
              <w:left w:type="dxa" w:w="120"/>
              <w:bottom w:type="dxa" w:w="100"/>
              <w:right w:type="dxa" w:w="120"/>
            </w:tcMar>
          </w:tcPr>
          <w:p>
            <w:r>
              <w:rPr>
                <w:b w:val="false"/>
                <w:bCs w:val="false"/>
                <w:color w:val="000000"/>
                <w:sz w:val="20"/>
                <w:szCs w:val="20"/>
              </w:rPr>
              <w:t xml:space="preserve">Proxy IP address used, where applicable (~50% populated).</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Firewall Logs</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Flag</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Indicates a corresponding firewall log entry exists.</w:t>
            </w:r>
          </w:p>
        </w:tc>
      </w:tr>
      <w:tr>
        <w:tc>
          <w:tcPr>
            <w:tcW w:type="dxa" w:w="2400"/>
            <w:tcMar>
              <w:top w:type="dxa" w:w="100"/>
              <w:left w:type="dxa" w:w="120"/>
              <w:bottom w:type="dxa" w:w="100"/>
              <w:right w:type="dxa" w:w="120"/>
            </w:tcMar>
          </w:tcPr>
          <w:p>
            <w:r>
              <w:rPr>
                <w:b w:val="false"/>
                <w:bCs w:val="false"/>
                <w:color w:val="000000"/>
                <w:sz w:val="20"/>
                <w:szCs w:val="20"/>
              </w:rPr>
              <w:t xml:space="preserve">IDS/IPS Alerts</w:t>
            </w:r>
          </w:p>
        </w:tc>
        <w:tc>
          <w:tcPr>
            <w:tcW w:type="dxa" w:w="1600"/>
            <w:tcMar>
              <w:top w:type="dxa" w:w="100"/>
              <w:left w:type="dxa" w:w="120"/>
              <w:bottom w:type="dxa" w:w="100"/>
              <w:right w:type="dxa" w:w="120"/>
            </w:tcMar>
          </w:tcPr>
          <w:p>
            <w:r>
              <w:rPr>
                <w:b w:val="false"/>
                <w:bCs w:val="false"/>
                <w:color w:val="000000"/>
                <w:sz w:val="20"/>
                <w:szCs w:val="20"/>
              </w:rPr>
              <w:t xml:space="preserve">Flag</w:t>
            </w:r>
          </w:p>
        </w:tc>
        <w:tc>
          <w:tcPr>
            <w:tcW w:type="dxa" w:w="5350"/>
            <w:tcMar>
              <w:top w:type="dxa" w:w="100"/>
              <w:left w:type="dxa" w:w="120"/>
              <w:bottom w:type="dxa" w:w="100"/>
              <w:right w:type="dxa" w:w="120"/>
            </w:tcMar>
          </w:tcPr>
          <w:p>
            <w:r>
              <w:rPr>
                <w:b w:val="false"/>
                <w:bCs w:val="false"/>
                <w:color w:val="000000"/>
                <w:sz w:val="20"/>
                <w:szCs w:val="20"/>
              </w:rPr>
              <w:t xml:space="preserve">Indicates a corresponding IDS/IPS alert exists.</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Log Source</w:t>
            </w:r>
          </w:p>
        </w:tc>
        <w:tc>
          <w:tcPr>
            <w:tcW w:type="dxa" w:w="1600"/>
            <w:shd w:fill="F2F2F2" w:val="clear"/>
            <w:tcMar>
              <w:top w:type="dxa" w:w="100"/>
              <w:left w:type="dxa" w:w="120"/>
              <w:bottom w:type="dxa" w:w="100"/>
              <w:right w:type="dxa" w:w="120"/>
            </w:tcMar>
          </w:tcPr>
          <w:p>
            <w:r>
              <w:rPr>
                <w:b w:val="false"/>
                <w:bCs w:val="false"/>
                <w:color w:val="000000"/>
                <w:sz w:val="20"/>
                <w:szCs w:val="20"/>
              </w:rPr>
              <w:t xml:space="preserve">Categorical</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System that generated the log: Server or Firewall.</w:t>
            </w:r>
          </w:p>
        </w:tc>
      </w:tr>
    </w:tbl>
    <w:p>
      <w:r>
        <w:br w:type="page"/>
      </w:r>
    </w:p>
    <w:p>
      <w:pPr>
        <w:pStyle w:val="Heading1"/>
        <w:spacing w:after="200" w:before="400"/>
      </w:pPr>
      <w:r>
        <w:t xml:space="preserve">5. Business &amp; Functional Requirements</w:t>
      </w:r>
    </w:p>
    <w:p>
      <w:pPr>
        <w:pStyle w:val="Heading2"/>
        <w:spacing w:after="150" w:before="300"/>
      </w:pPr>
      <w:r>
        <w:t xml:space="preserve">5.1 Data Preparation Requirements (Python)</w:t>
      </w:r>
    </w:p>
    <w:p>
      <w:pPr>
        <w:pStyle w:val="ListParagraph"/>
        <w:numPr>
          <w:ilvl w:val="0"/>
          <w:numId w:val="2"/>
        </w:numPr>
        <w:spacing w:after="100" w:line="276"/>
      </w:pPr>
      <w:r>
        <w:t xml:space="preserve">Standardise and encode null detection flags (Malware Indicators, Alerts/Warnings, Firewall Logs, IDS/IPS Alerts, Proxy Information) as explicit Yes/No booleans.</w:t>
      </w:r>
    </w:p>
    <w:p>
      <w:pPr>
        <w:pStyle w:val="ListParagraph"/>
        <w:numPr>
          <w:ilvl w:val="0"/>
          <w:numId w:val="2"/>
        </w:numPr>
        <w:spacing w:after="100" w:line="276"/>
      </w:pPr>
      <w:r>
        <w:t xml:space="preserve">Parse Timestamp into separate date, hour, day-of-week, and year-month fields for time-based analysis.</w:t>
      </w:r>
    </w:p>
    <w:p>
      <w:pPr>
        <w:pStyle w:val="ListParagraph"/>
        <w:numPr>
          <w:ilvl w:val="0"/>
          <w:numId w:val="2"/>
        </w:numPr>
        <w:spacing w:after="100" w:line="276"/>
      </w:pPr>
      <w:r>
        <w:t xml:space="preserve">Validate Source/Destination Port ranges and flag well-known ports (0–1023) vs. registered/dynamic ports.</w:t>
      </w:r>
    </w:p>
    <w:p>
      <w:pPr>
        <w:pStyle w:val="ListParagraph"/>
        <w:numPr>
          <w:ilvl w:val="0"/>
          <w:numId w:val="2"/>
        </w:numPr>
        <w:spacing w:after="100" w:line="276"/>
      </w:pPr>
      <w:r>
        <w:t xml:space="preserve">Engineer a ‘Detection Coverage Score’ — count of detection signals present (0–4) per event.</w:t>
      </w:r>
    </w:p>
    <w:p>
      <w:pPr>
        <w:pStyle w:val="ListParagraph"/>
        <w:numPr>
          <w:ilvl w:val="0"/>
          <w:numId w:val="2"/>
        </w:numPr>
        <w:spacing w:after="100" w:line="276"/>
      </w:pPr>
      <w:r>
        <w:t xml:space="preserve">Engineer a ‘Response Alignment’ flag — whether Action Taken (Blocked) matches High severity events, to surface under-responded incidents.</w:t>
      </w:r>
    </w:p>
    <w:p>
      <w:pPr>
        <w:pStyle w:val="ListParagraph"/>
        <w:numPr>
          <w:ilvl w:val="0"/>
          <w:numId w:val="2"/>
        </w:numPr>
        <w:spacing w:after="100" w:line="276"/>
      </w:pPr>
      <w:r>
        <w:t xml:space="preserve">Split Geo-location Data into City and State/Region columns.</w:t>
      </w:r>
    </w:p>
    <w:p>
      <w:pPr>
        <w:pStyle w:val="Heading2"/>
        <w:spacing w:after="150" w:before="300"/>
      </w:pPr>
      <w:r>
        <w:t xml:space="preserve">5.2 Analytical Requirements (SQL)</w:t>
      </w:r>
    </w:p>
    <w:p>
      <w:pPr>
        <w:spacing w:after="160" w:line="276"/>
      </w:pPr>
      <w:r>
        <w:t xml:space="preserve">The following business questions must be answerable via SQL queries using aggregation, filtering, joins/window functions, and grouping:</w:t>
      </w:r>
    </w:p>
    <w:p>
      <w:pPr>
        <w:pStyle w:val="ListParagraph"/>
        <w:numPr>
          <w:ilvl w:val="0"/>
          <w:numId w:val="1"/>
        </w:numPr>
        <w:spacing w:after="100" w:line="276"/>
      </w:pPr>
      <w:r>
        <w:t xml:space="preserve">What is the monthly/yearly trend in total events and in High-severity events specifically?</w:t>
      </w:r>
    </w:p>
    <w:p>
      <w:pPr>
        <w:pStyle w:val="ListParagraph"/>
        <w:numPr>
          <w:ilvl w:val="0"/>
          <w:numId w:val="1"/>
        </w:numPr>
        <w:spacing w:after="100" w:line="276"/>
      </w:pPr>
      <w:r>
        <w:t xml:space="preserve">Which Attack Type is most frequent within each Network Segment, and does this vary by Protocol?</w:t>
      </w:r>
    </w:p>
    <w:p>
      <w:pPr>
        <w:pStyle w:val="ListParagraph"/>
        <w:numPr>
          <w:ilvl w:val="0"/>
          <w:numId w:val="1"/>
        </w:numPr>
        <w:spacing w:after="100" w:line="276"/>
      </w:pPr>
      <w:r>
        <w:t xml:space="preserve">What proportion of High-severity events were Blocked vs. Logged vs. Ignored? Where is the response gap largest?</w:t>
      </w:r>
    </w:p>
    <w:p>
      <w:pPr>
        <w:pStyle w:val="ListParagraph"/>
        <w:numPr>
          <w:ilvl w:val="0"/>
          <w:numId w:val="1"/>
        </w:numPr>
        <w:spacing w:after="100" w:line="276"/>
      </w:pPr>
      <w:r>
        <w:t xml:space="preserve">Which Source/Destination Port combinations show the highest average Anomaly Score?</w:t>
      </w:r>
    </w:p>
    <w:p>
      <w:pPr>
        <w:pStyle w:val="ListParagraph"/>
        <w:numPr>
          <w:ilvl w:val="0"/>
          <w:numId w:val="1"/>
        </w:numPr>
        <w:spacing w:after="100" w:line="276"/>
      </w:pPr>
      <w:r>
        <w:t xml:space="preserve">How does Detection Coverage Score correlate with Action Taken — are poorly-monitored events more likely to be Ignored?</w:t>
      </w:r>
    </w:p>
    <w:p>
      <w:pPr>
        <w:pStyle w:val="ListParagraph"/>
        <w:numPr>
          <w:ilvl w:val="0"/>
          <w:numId w:val="1"/>
        </w:numPr>
        <w:spacing w:after="100" w:line="276"/>
      </w:pPr>
      <w:r>
        <w:t xml:space="preserve">What are the top 10 highest-anomaly-score events, and what do they have in common (Traffic Type, Protocol, Segment)?</w:t>
      </w:r>
    </w:p>
    <w:p>
      <w:pPr>
        <w:pStyle w:val="ListParagraph"/>
        <w:numPr>
          <w:ilvl w:val="0"/>
          <w:numId w:val="1"/>
        </w:numPr>
        <w:spacing w:after="100" w:line="276"/>
      </w:pPr>
      <w:r>
        <w:t xml:space="preserve">Rank Attack Signatures by frequency within each Attack Type using window functions (RANK/DENSE_RANK).</w:t>
      </w:r>
    </w:p>
    <w:p>
      <w:pPr>
        <w:pStyle w:val="Heading2"/>
        <w:spacing w:after="150" w:before="300"/>
      </w:pPr>
      <w:r>
        <w:t xml:space="preserve">5.3 Dashboard &amp; Reporting Requirements (Power BI)</w:t>
      </w:r>
    </w:p>
    <w:p>
      <w:pPr>
        <w:spacing w:after="160" w:line="276"/>
      </w:pPr>
      <w:r>
        <w:t xml:space="preserve">The Power BI dashboard must include, at minimum:</w:t>
      </w:r>
    </w:p>
    <w:p>
      <w:pPr>
        <w:pStyle w:val="ListParagraph"/>
        <w:numPr>
          <w:ilvl w:val="0"/>
          <w:numId w:val="1"/>
        </w:numPr>
        <w:spacing w:after="100" w:line="276"/>
      </w:pPr>
      <w:r>
        <w:t xml:space="preserve">KPI header cards: Total Events, % High Severity, % Blocked, Average Anomaly Score.</w:t>
      </w:r>
    </w:p>
    <w:p>
      <w:pPr>
        <w:pStyle w:val="ListParagraph"/>
        <w:numPr>
          <w:ilvl w:val="0"/>
          <w:numId w:val="1"/>
        </w:numPr>
        <w:spacing w:after="100" w:line="276"/>
      </w:pPr>
      <w:r>
        <w:t xml:space="preserve">Trend chart: event volume over time (monthly), with a severity breakdown.</w:t>
      </w:r>
    </w:p>
    <w:p>
      <w:pPr>
        <w:pStyle w:val="ListParagraph"/>
        <w:numPr>
          <w:ilvl w:val="0"/>
          <w:numId w:val="1"/>
        </w:numPr>
        <w:spacing w:after="100" w:line="276"/>
      </w:pPr>
      <w:r>
        <w:t xml:space="preserve">Attack Type distribution by Network Segment and Protocol (stacked bar or matrix).</w:t>
      </w:r>
    </w:p>
    <w:p>
      <w:pPr>
        <w:pStyle w:val="ListParagraph"/>
        <w:numPr>
          <w:ilvl w:val="0"/>
          <w:numId w:val="1"/>
        </w:numPr>
        <w:spacing w:after="100" w:line="276"/>
      </w:pPr>
      <w:r>
        <w:t xml:space="preserve">Action Taken vs. Severity Level cross-analysis (100% stacked bar) to expose response gaps.</w:t>
      </w:r>
    </w:p>
    <w:p>
      <w:pPr>
        <w:pStyle w:val="ListParagraph"/>
        <w:numPr>
          <w:ilvl w:val="0"/>
          <w:numId w:val="1"/>
        </w:numPr>
        <w:spacing w:after="100" w:line="276"/>
      </w:pPr>
      <w:r>
        <w:t xml:space="preserve">Anomaly Score distribution with drill-through to underlying event details.</w:t>
      </w:r>
    </w:p>
    <w:p>
      <w:pPr>
        <w:pStyle w:val="ListParagraph"/>
        <w:numPr>
          <w:ilvl w:val="0"/>
          <w:numId w:val="1"/>
        </w:numPr>
        <w:spacing w:after="100" w:line="276"/>
      </w:pPr>
      <w:r>
        <w:t xml:space="preserve">Slicers for Date Range, Attack Type, Severity Level, Network Segment, and Protocol.</w:t>
      </w:r>
    </w:p>
    <w:p>
      <w:pPr>
        <w:pStyle w:val="ListParagraph"/>
        <w:numPr>
          <w:ilvl w:val="0"/>
          <w:numId w:val="1"/>
        </w:numPr>
        <w:spacing w:after="100" w:line="276"/>
      </w:pPr>
      <w:r>
        <w:t xml:space="preserve">A summary narrative page with the top 3–5 findings and recommended actions.</w:t>
      </w:r>
    </w:p>
    <w:p>
      <w:pPr>
        <w:pStyle w:val="Heading1"/>
        <w:spacing w:after="200" w:before="400"/>
      </w:pPr>
      <w:r>
        <w:t xml:space="preserve">6. Non-Functional Requirements</w:t>
      </w:r>
    </w:p>
    <w:p>
      <w:pPr>
        <w:pStyle w:val="ListParagraph"/>
        <w:numPr>
          <w:ilvl w:val="0"/>
          <w:numId w:val="1"/>
        </w:numPr>
        <w:spacing w:after="100" w:line="276"/>
      </w:pPr>
      <w:r>
        <w:t xml:space="preserve">Dashboard must load and filter interactively without perceptible lag on the full 40,000-row dataset.</w:t>
      </w:r>
    </w:p>
    <w:p>
      <w:pPr>
        <w:pStyle w:val="ListParagraph"/>
        <w:numPr>
          <w:ilvl w:val="0"/>
          <w:numId w:val="1"/>
        </w:numPr>
        <w:spacing w:after="100" w:line="276"/>
      </w:pPr>
      <w:r>
        <w:t xml:space="preserve">All data preparation steps must be reproducible via a documented Python script/notebook.</w:t>
      </w:r>
    </w:p>
    <w:p>
      <w:pPr>
        <w:pStyle w:val="ListParagraph"/>
        <w:numPr>
          <w:ilvl w:val="0"/>
          <w:numId w:val="1"/>
        </w:numPr>
        <w:spacing w:after="100" w:line="276"/>
      </w:pPr>
      <w:r>
        <w:t xml:space="preserve">SQL scripts must be version-controlled and stored in the project GitHub repository.</w:t>
      </w:r>
    </w:p>
    <w:p>
      <w:pPr>
        <w:pStyle w:val="ListParagraph"/>
        <w:numPr>
          <w:ilvl w:val="0"/>
          <w:numId w:val="1"/>
        </w:numPr>
        <w:spacing w:after="100" w:line="276"/>
      </w:pPr>
      <w:r>
        <w:t xml:space="preserve">All charts must use accessible, colour-blind-safe palettes and clear axis labelling.</w:t>
      </w:r>
    </w:p>
    <w:p>
      <w:pPr>
        <w:pStyle w:val="Heading1"/>
        <w:spacing w:after="200" w:before="400"/>
      </w:pPr>
      <w:r>
        <w:t xml:space="preserve">7. Assumptions and Constraints</w:t>
      </w:r>
    </w:p>
    <w:p>
      <w:pPr>
        <w:pStyle w:val="ListParagraph"/>
        <w:numPr>
          <w:ilvl w:val="0"/>
          <w:numId w:val="1"/>
        </w:numPr>
        <w:spacing w:after="100" w:line="276"/>
      </w:pPr>
      <w:r>
        <w:t xml:space="preserve">The dataset is treated as representative but historical (2020–2023) and is not connected to any live system.</w:t>
      </w:r>
    </w:p>
    <w:p>
      <w:pPr>
        <w:pStyle w:val="ListParagraph"/>
        <w:numPr>
          <w:ilvl w:val="0"/>
          <w:numId w:val="1"/>
        </w:numPr>
        <w:spacing w:after="100" w:line="276"/>
      </w:pPr>
      <w:r>
        <w:t xml:space="preserve">Fields such as Payload Data, User Information, and Device Information are used only for descriptive/illustrative context, not as reliable identifiers, since the dataset is synthetic in parts.</w:t>
      </w:r>
    </w:p>
    <w:p>
      <w:pPr>
        <w:pStyle w:val="ListParagraph"/>
        <w:numPr>
          <w:ilvl w:val="0"/>
          <w:numId w:val="1"/>
        </w:numPr>
        <w:spacing w:after="100" w:line="276"/>
      </w:pPr>
      <w:r>
        <w:t xml:space="preserve">‘Unknown’/null detection-flag values are assumed to indicate absence of that signal, not a data-collection failure.</w:t>
      </w:r>
    </w:p>
    <w:p>
      <w:pPr>
        <w:pStyle w:val="ListParagraph"/>
        <w:numPr>
          <w:ilvl w:val="0"/>
          <w:numId w:val="1"/>
        </w:numPr>
        <w:spacing w:after="100" w:line="276"/>
      </w:pPr>
      <w:r>
        <w:t xml:space="preserve">No production credentials, real user data, or live infrastructure are involved at any stage.</w:t>
      </w:r>
    </w:p>
    <w:p>
      <w:pPr>
        <w:pStyle w:val="Heading1"/>
        <w:spacing w:after="200" w:before="400"/>
      </w:pPr>
      <w:r>
        <w:t xml:space="preserve">8.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1F3864" w:val="clear"/>
            <w:tcMar>
              <w:top w:type="dxa" w:w="100"/>
              <w:left w:type="dxa" w:w="120"/>
              <w:bottom w:type="dxa" w:w="100"/>
              <w:right w:type="dxa" w:w="120"/>
            </w:tcMar>
          </w:tcPr>
          <w:p>
            <w:r>
              <w:rPr>
                <w:b/>
                <w:bCs/>
                <w:color w:val="FFFFFF"/>
                <w:sz w:val="20"/>
                <w:szCs w:val="20"/>
              </w:rPr>
              <w:t xml:space="preserve">Deliverable</w:t>
            </w:r>
          </w:p>
        </w:tc>
        <w:tc>
          <w:tcPr>
            <w:tcW w:type="dxa" w:w="4350"/>
            <w:shd w:fill="1F3864" w:val="clear"/>
            <w:tcMar>
              <w:top w:type="dxa" w:w="100"/>
              <w:left w:type="dxa" w:w="120"/>
              <w:bottom w:type="dxa" w:w="100"/>
              <w:right w:type="dxa" w:w="120"/>
            </w:tcMar>
          </w:tcPr>
          <w:p>
            <w:r>
              <w:rPr>
                <w:b/>
                <w:bCs/>
                <w:color w:val="FFFFFF"/>
                <w:sz w:val="20"/>
                <w:szCs w:val="20"/>
              </w:rPr>
              <w:t xml:space="preserve">Format</w:t>
            </w:r>
          </w:p>
        </w:tc>
      </w:tr>
      <w:tr>
        <w:tc>
          <w:tcPr>
            <w:tcW w:type="dxa" w:w="5000"/>
            <w:shd w:fill="F2F2F2" w:val="clear"/>
            <w:tcMar>
              <w:top w:type="dxa" w:w="100"/>
              <w:left w:type="dxa" w:w="120"/>
              <w:bottom w:type="dxa" w:w="100"/>
              <w:right w:type="dxa" w:w="120"/>
            </w:tcMar>
          </w:tcPr>
          <w:p>
            <w:r>
              <w:rPr>
                <w:b w:val="false"/>
                <w:bCs w:val="false"/>
                <w:color w:val="000000"/>
                <w:sz w:val="20"/>
                <w:szCs w:val="20"/>
              </w:rPr>
              <w:t xml:space="preserve">Cleaned &amp; feature-engineered dataset</w:t>
            </w:r>
          </w:p>
        </w:tc>
        <w:tc>
          <w:tcPr>
            <w:tcW w:type="dxa" w:w="4350"/>
            <w:shd w:fill="F2F2F2" w:val="clear"/>
            <w:tcMar>
              <w:top w:type="dxa" w:w="100"/>
              <w:left w:type="dxa" w:w="120"/>
              <w:bottom w:type="dxa" w:w="100"/>
              <w:right w:type="dxa" w:w="120"/>
            </w:tcMar>
          </w:tcPr>
          <w:p>
            <w:r>
              <w:rPr>
                <w:b w:val="false"/>
                <w:bCs w:val="false"/>
                <w:color w:val="000000"/>
                <w:sz w:val="20"/>
                <w:szCs w:val="20"/>
              </w:rPr>
              <w:t xml:space="preserve">Python (Pandas) script + output CSV</w:t>
            </w:r>
          </w:p>
        </w:tc>
      </w:tr>
      <w:tr>
        <w:tc>
          <w:tcPr>
            <w:tcW w:type="dxa" w:w="5000"/>
            <w:tcMar>
              <w:top w:type="dxa" w:w="100"/>
              <w:left w:type="dxa" w:w="120"/>
              <w:bottom w:type="dxa" w:w="100"/>
              <w:right w:type="dxa" w:w="120"/>
            </w:tcMar>
          </w:tcPr>
          <w:p>
            <w:r>
              <w:rPr>
                <w:b w:val="false"/>
                <w:bCs w:val="false"/>
                <w:color w:val="000000"/>
                <w:sz w:val="20"/>
                <w:szCs w:val="20"/>
              </w:rPr>
              <w:t xml:space="preserve">SQL query bank answering all Section 5.2 questions</w:t>
            </w:r>
          </w:p>
        </w:tc>
        <w:tc>
          <w:tcPr>
            <w:tcW w:type="dxa" w:w="4350"/>
            <w:tcMar>
              <w:top w:type="dxa" w:w="100"/>
              <w:left w:type="dxa" w:w="120"/>
              <w:bottom w:type="dxa" w:w="100"/>
              <w:right w:type="dxa" w:w="120"/>
            </w:tcMar>
          </w:tcPr>
          <w:p>
            <w:r>
              <w:rPr>
                <w:b w:val="false"/>
                <w:bCs w:val="false"/>
                <w:color w:val="000000"/>
                <w:sz w:val="20"/>
                <w:szCs w:val="20"/>
              </w:rPr>
              <w:t xml:space="preserve">.sql file(s), PostgreSQL/SQLite</w:t>
            </w:r>
          </w:p>
        </w:tc>
      </w:tr>
      <w:tr>
        <w:tc>
          <w:tcPr>
            <w:tcW w:type="dxa" w:w="5000"/>
            <w:shd w:fill="F2F2F2" w:val="clear"/>
            <w:tcMar>
              <w:top w:type="dxa" w:w="100"/>
              <w:left w:type="dxa" w:w="120"/>
              <w:bottom w:type="dxa" w:w="100"/>
              <w:right w:type="dxa" w:w="120"/>
            </w:tcMar>
          </w:tcPr>
          <w:p>
            <w:r>
              <w:rPr>
                <w:b w:val="false"/>
                <w:bCs w:val="false"/>
                <w:color w:val="000000"/>
                <w:sz w:val="20"/>
                <w:szCs w:val="20"/>
              </w:rPr>
              <w:t xml:space="preserve">Interactive Power BI dashboard</w:t>
            </w:r>
          </w:p>
        </w:tc>
        <w:tc>
          <w:tcPr>
            <w:tcW w:type="dxa" w:w="4350"/>
            <w:shd w:fill="F2F2F2" w:val="clear"/>
            <w:tcMar>
              <w:top w:type="dxa" w:w="100"/>
              <w:left w:type="dxa" w:w="120"/>
              <w:bottom w:type="dxa" w:w="100"/>
              <w:right w:type="dxa" w:w="120"/>
            </w:tcMar>
          </w:tcPr>
          <w:p>
            <w:r>
              <w:rPr>
                <w:b w:val="false"/>
                <w:bCs w:val="false"/>
                <w:color w:val="000000"/>
                <w:sz w:val="20"/>
                <w:szCs w:val="20"/>
              </w:rPr>
              <w:t xml:space="preserve">.pbix file</w:t>
            </w:r>
          </w:p>
        </w:tc>
      </w:tr>
      <w:tr>
        <w:tc>
          <w:tcPr>
            <w:tcW w:type="dxa" w:w="5000"/>
            <w:tcMar>
              <w:top w:type="dxa" w:w="100"/>
              <w:left w:type="dxa" w:w="120"/>
              <w:bottom w:type="dxa" w:w="100"/>
              <w:right w:type="dxa" w:w="120"/>
            </w:tcMar>
          </w:tcPr>
          <w:p>
            <w:r>
              <w:rPr>
                <w:b w:val="false"/>
                <w:bCs w:val="false"/>
                <w:color w:val="000000"/>
                <w:sz w:val="20"/>
                <w:szCs w:val="20"/>
              </w:rPr>
              <w:t xml:space="preserve">Findings &amp; recommendations report</w:t>
            </w:r>
          </w:p>
        </w:tc>
        <w:tc>
          <w:tcPr>
            <w:tcW w:type="dxa" w:w="4350"/>
            <w:tcMar>
              <w:top w:type="dxa" w:w="100"/>
              <w:left w:type="dxa" w:w="120"/>
              <w:bottom w:type="dxa" w:w="100"/>
              <w:right w:type="dxa" w:w="120"/>
            </w:tcMar>
          </w:tcPr>
          <w:p>
            <w:r>
              <w:rPr>
                <w:b w:val="false"/>
                <w:bCs w:val="false"/>
                <w:color w:val="000000"/>
                <w:sz w:val="20"/>
                <w:szCs w:val="20"/>
              </w:rPr>
              <w:t xml:space="preserve">PDF / Word document</w:t>
            </w:r>
          </w:p>
        </w:tc>
      </w:tr>
      <w:tr>
        <w:tc>
          <w:tcPr>
            <w:tcW w:type="dxa" w:w="5000"/>
            <w:shd w:fill="F2F2F2" w:val="clear"/>
            <w:tcMar>
              <w:top w:type="dxa" w:w="100"/>
              <w:left w:type="dxa" w:w="120"/>
              <w:bottom w:type="dxa" w:w="100"/>
              <w:right w:type="dxa" w:w="120"/>
            </w:tcMar>
          </w:tcPr>
          <w:p>
            <w:r>
              <w:rPr>
                <w:b w:val="false"/>
                <w:bCs w:val="false"/>
                <w:color w:val="000000"/>
                <w:sz w:val="20"/>
                <w:szCs w:val="20"/>
              </w:rPr>
              <w:t xml:space="preserve">Project documentation &amp; code</w:t>
            </w:r>
          </w:p>
        </w:tc>
        <w:tc>
          <w:tcPr>
            <w:tcW w:type="dxa" w:w="4350"/>
            <w:shd w:fill="F2F2F2" w:val="clear"/>
            <w:tcMar>
              <w:top w:type="dxa" w:w="100"/>
              <w:left w:type="dxa" w:w="120"/>
              <w:bottom w:type="dxa" w:w="100"/>
              <w:right w:type="dxa" w:w="120"/>
            </w:tcMar>
          </w:tcPr>
          <w:p>
            <w:r>
              <w:rPr>
                <w:b w:val="false"/>
                <w:bCs w:val="false"/>
                <w:color w:val="000000"/>
                <w:sz w:val="20"/>
                <w:szCs w:val="20"/>
              </w:rPr>
              <w:t xml:space="preserve">GitHub repository (README + notebooks + scripts)</w:t>
            </w:r>
          </w:p>
        </w:tc>
      </w:tr>
    </w:tbl>
    <w:p>
      <w:pPr>
        <w:pStyle w:val="Heading1"/>
        <w:spacing w:after="200" w:before="400"/>
      </w:pPr>
      <w:r>
        <w:t xml:space="preserve">9. Project Timeline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Phase</w:t>
            </w:r>
          </w:p>
        </w:tc>
        <w:tc>
          <w:tcPr>
            <w:tcW w:type="dxa" w:w="5150"/>
            <w:shd w:fill="1F3864" w:val="clear"/>
            <w:tcMar>
              <w:top w:type="dxa" w:w="100"/>
              <w:left w:type="dxa" w:w="120"/>
              <w:bottom w:type="dxa" w:w="100"/>
              <w:right w:type="dxa" w:w="120"/>
            </w:tcMar>
          </w:tcPr>
          <w:p>
            <w:r>
              <w:rPr>
                <w:b/>
                <w:bCs/>
                <w:color w:val="FFFFFF"/>
                <w:sz w:val="20"/>
                <w:szCs w:val="20"/>
              </w:rPr>
              <w:t xml:space="preserve">Activities</w:t>
            </w:r>
          </w:p>
        </w:tc>
        <w:tc>
          <w:tcPr>
            <w:tcW w:type="dxa" w:w="2000"/>
            <w:shd w:fill="1F3864" w:val="clear"/>
            <w:tcMar>
              <w:top w:type="dxa" w:w="100"/>
              <w:left w:type="dxa" w:w="120"/>
              <w:bottom w:type="dxa" w:w="100"/>
              <w:right w:type="dxa" w:w="120"/>
            </w:tcMar>
          </w:tcPr>
          <w:p>
            <w:r>
              <w:rPr>
                <w:b/>
                <w:bCs/>
                <w:color w:val="FFFFFF"/>
                <w:sz w:val="20"/>
                <w:szCs w:val="20"/>
              </w:rPr>
              <w:t xml:space="preserve">Duration</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Phase 1</w:t>
            </w:r>
          </w:p>
        </w:tc>
        <w:tc>
          <w:tcPr>
            <w:tcW w:type="dxa" w:w="5150"/>
            <w:shd w:fill="F2F2F2" w:val="clear"/>
            <w:tcMar>
              <w:top w:type="dxa" w:w="100"/>
              <w:left w:type="dxa" w:w="120"/>
              <w:bottom w:type="dxa" w:w="100"/>
              <w:right w:type="dxa" w:w="120"/>
            </w:tcMar>
          </w:tcPr>
          <w:p>
            <w:r>
              <w:rPr>
                <w:b w:val="false"/>
                <w:bCs w:val="false"/>
                <w:color w:val="000000"/>
                <w:sz w:val="20"/>
                <w:szCs w:val="20"/>
              </w:rPr>
              <w:t xml:space="preserve">Data cleaning, null handling, feature engineering (Python)</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2–3 days</w:t>
            </w:r>
          </w:p>
        </w:tc>
      </w:tr>
      <w:tr>
        <w:tc>
          <w:tcPr>
            <w:tcW w:type="dxa" w:w="2200"/>
            <w:tcMar>
              <w:top w:type="dxa" w:w="100"/>
              <w:left w:type="dxa" w:w="120"/>
              <w:bottom w:type="dxa" w:w="100"/>
              <w:right w:type="dxa" w:w="120"/>
            </w:tcMar>
          </w:tcPr>
          <w:p>
            <w:r>
              <w:rPr>
                <w:b w:val="false"/>
                <w:bCs w:val="false"/>
                <w:color w:val="000000"/>
                <w:sz w:val="20"/>
                <w:szCs w:val="20"/>
              </w:rPr>
              <w:t xml:space="preserve">Phase 2</w:t>
            </w:r>
          </w:p>
        </w:tc>
        <w:tc>
          <w:tcPr>
            <w:tcW w:type="dxa" w:w="5150"/>
            <w:tcMar>
              <w:top w:type="dxa" w:w="100"/>
              <w:left w:type="dxa" w:w="120"/>
              <w:bottom w:type="dxa" w:w="100"/>
              <w:right w:type="dxa" w:w="120"/>
            </w:tcMar>
          </w:tcPr>
          <w:p>
            <w:r>
              <w:rPr>
                <w:b w:val="false"/>
                <w:bCs w:val="false"/>
                <w:color w:val="000000"/>
                <w:sz w:val="20"/>
                <w:szCs w:val="20"/>
              </w:rPr>
              <w:t xml:space="preserve">SQL modelling and business-question query development</w:t>
            </w:r>
          </w:p>
        </w:tc>
        <w:tc>
          <w:tcPr>
            <w:tcW w:type="dxa" w:w="2000"/>
            <w:tcMar>
              <w:top w:type="dxa" w:w="100"/>
              <w:left w:type="dxa" w:w="120"/>
              <w:bottom w:type="dxa" w:w="100"/>
              <w:right w:type="dxa" w:w="120"/>
            </w:tcMar>
          </w:tcPr>
          <w:p>
            <w:r>
              <w:rPr>
                <w:b w:val="false"/>
                <w:bCs w:val="false"/>
                <w:color w:val="000000"/>
                <w:sz w:val="20"/>
                <w:szCs w:val="20"/>
              </w:rPr>
              <w:t xml:space="preserve">2–3 days</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Phase 3</w:t>
            </w:r>
          </w:p>
        </w:tc>
        <w:tc>
          <w:tcPr>
            <w:tcW w:type="dxa" w:w="5150"/>
            <w:shd w:fill="F2F2F2" w:val="clear"/>
            <w:tcMar>
              <w:top w:type="dxa" w:w="100"/>
              <w:left w:type="dxa" w:w="120"/>
              <w:bottom w:type="dxa" w:w="100"/>
              <w:right w:type="dxa" w:w="120"/>
            </w:tcMar>
          </w:tcPr>
          <w:p>
            <w:r>
              <w:rPr>
                <w:b w:val="false"/>
                <w:bCs w:val="false"/>
                <w:color w:val="000000"/>
                <w:sz w:val="20"/>
                <w:szCs w:val="20"/>
              </w:rPr>
              <w:t xml:space="preserve">Power BI dashboard build and styling</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2–3 days</w:t>
            </w:r>
          </w:p>
        </w:tc>
      </w:tr>
      <w:tr>
        <w:tc>
          <w:tcPr>
            <w:tcW w:type="dxa" w:w="2200"/>
            <w:tcMar>
              <w:top w:type="dxa" w:w="100"/>
              <w:left w:type="dxa" w:w="120"/>
              <w:bottom w:type="dxa" w:w="100"/>
              <w:right w:type="dxa" w:w="120"/>
            </w:tcMar>
          </w:tcPr>
          <w:p>
            <w:r>
              <w:rPr>
                <w:b w:val="false"/>
                <w:bCs w:val="false"/>
                <w:color w:val="000000"/>
                <w:sz w:val="20"/>
                <w:szCs w:val="20"/>
              </w:rPr>
              <w:t xml:space="preserve">Phase 4</w:t>
            </w:r>
          </w:p>
        </w:tc>
        <w:tc>
          <w:tcPr>
            <w:tcW w:type="dxa" w:w="5150"/>
            <w:tcMar>
              <w:top w:type="dxa" w:w="100"/>
              <w:left w:type="dxa" w:w="120"/>
              <w:bottom w:type="dxa" w:w="100"/>
              <w:right w:type="dxa" w:w="120"/>
            </w:tcMar>
          </w:tcPr>
          <w:p>
            <w:r>
              <w:rPr>
                <w:b w:val="false"/>
                <w:bCs w:val="false"/>
                <w:color w:val="000000"/>
                <w:sz w:val="20"/>
                <w:szCs w:val="20"/>
              </w:rPr>
              <w:t xml:space="preserve">Insight write-up, recommendations, README and repo polish</w:t>
            </w:r>
          </w:p>
        </w:tc>
        <w:tc>
          <w:tcPr>
            <w:tcW w:type="dxa" w:w="2000"/>
            <w:tcMar>
              <w:top w:type="dxa" w:w="100"/>
              <w:left w:type="dxa" w:w="120"/>
              <w:bottom w:type="dxa" w:w="100"/>
              <w:right w:type="dxa" w:w="120"/>
            </w:tcMar>
          </w:tcPr>
          <w:p>
            <w:r>
              <w:rPr>
                <w:b w:val="false"/>
                <w:bCs w:val="false"/>
                <w:color w:val="000000"/>
                <w:sz w:val="20"/>
                <w:szCs w:val="20"/>
              </w:rPr>
              <w:t xml:space="preserve">1–2 days</w:t>
            </w:r>
          </w:p>
        </w:tc>
      </w:tr>
    </w:tbl>
    <w:p>
      <w:pPr>
        <w:pStyle w:val="Heading1"/>
        <w:spacing w:after="200" w:before="400"/>
      </w:pPr>
      <w:r>
        <w:t xml:space="preserve">10.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864" w:val="clear"/>
            <w:tcMar>
              <w:top w:type="dxa" w:w="100"/>
              <w:left w:type="dxa" w:w="120"/>
              <w:bottom w:type="dxa" w:w="100"/>
              <w:right w:type="dxa" w:w="120"/>
            </w:tcMar>
          </w:tcPr>
          <w:p>
            <w:r>
              <w:rPr>
                <w:b/>
                <w:bCs/>
                <w:color w:val="FFFFFF"/>
                <w:sz w:val="20"/>
                <w:szCs w:val="20"/>
              </w:rPr>
              <w:t xml:space="preserve">Risk</w:t>
            </w:r>
          </w:p>
        </w:tc>
        <w:tc>
          <w:tcPr>
            <w:tcW w:type="dxa" w:w="5150"/>
            <w:shd w:fill="1F3864" w:val="clear"/>
            <w:tcMar>
              <w:top w:type="dxa" w:w="100"/>
              <w:left w:type="dxa" w:w="120"/>
              <w:bottom w:type="dxa" w:w="100"/>
              <w:right w:type="dxa" w:w="120"/>
            </w:tcMar>
          </w:tcPr>
          <w:p>
            <w:r>
              <w:rPr>
                <w:b/>
                <w:bCs/>
                <w:color w:val="FFFFFF"/>
                <w:sz w:val="20"/>
                <w:szCs w:val="20"/>
              </w:rPr>
              <w:t xml:space="preserve">Mitigation</w:t>
            </w:r>
          </w:p>
        </w:tc>
      </w:tr>
      <w:tr>
        <w:tc>
          <w:tcPr>
            <w:tcW w:type="dxa" w:w="4200"/>
            <w:shd w:fill="F2F2F2" w:val="clear"/>
            <w:tcMar>
              <w:top w:type="dxa" w:w="100"/>
              <w:left w:type="dxa" w:w="120"/>
              <w:bottom w:type="dxa" w:w="100"/>
              <w:right w:type="dxa" w:w="120"/>
            </w:tcMar>
          </w:tcPr>
          <w:p>
            <w:r>
              <w:rPr>
                <w:b w:val="false"/>
                <w:bCs w:val="false"/>
                <w:color w:val="000000"/>
                <w:sz w:val="20"/>
                <w:szCs w:val="20"/>
              </w:rPr>
              <w:t xml:space="preserve">Dataset partly synthetic; findings may not reflect a real network</w:t>
            </w:r>
          </w:p>
        </w:tc>
        <w:tc>
          <w:tcPr>
            <w:tcW w:type="dxa" w:w="5150"/>
            <w:shd w:fill="F2F2F2" w:val="clear"/>
            <w:tcMar>
              <w:top w:type="dxa" w:w="100"/>
              <w:left w:type="dxa" w:w="120"/>
              <w:bottom w:type="dxa" w:w="100"/>
              <w:right w:type="dxa" w:w="120"/>
            </w:tcMar>
          </w:tcPr>
          <w:p>
            <w:r>
              <w:rPr>
                <w:b w:val="false"/>
                <w:bCs w:val="false"/>
                <w:color w:val="000000"/>
                <w:sz w:val="20"/>
                <w:szCs w:val="20"/>
              </w:rPr>
              <w:t xml:space="preserve">Frame report as an illustrative analytics exercise; focus on methodology quality over real-world claims</w:t>
            </w:r>
          </w:p>
        </w:tc>
      </w:tr>
      <w:tr>
        <w:tc>
          <w:tcPr>
            <w:tcW w:type="dxa" w:w="4200"/>
            <w:tcMar>
              <w:top w:type="dxa" w:w="100"/>
              <w:left w:type="dxa" w:w="120"/>
              <w:bottom w:type="dxa" w:w="100"/>
              <w:right w:type="dxa" w:w="120"/>
            </w:tcMar>
          </w:tcPr>
          <w:p>
            <w:r>
              <w:rPr>
                <w:b w:val="false"/>
                <w:bCs w:val="false"/>
                <w:color w:val="000000"/>
                <w:sz w:val="20"/>
                <w:szCs w:val="20"/>
              </w:rPr>
              <w:t xml:space="preserve">High null rates in detection-flag fields could bias coverage metrics</w:t>
            </w:r>
          </w:p>
        </w:tc>
        <w:tc>
          <w:tcPr>
            <w:tcW w:type="dxa" w:w="5150"/>
            <w:tcMar>
              <w:top w:type="dxa" w:w="100"/>
              <w:left w:type="dxa" w:w="120"/>
              <w:bottom w:type="dxa" w:w="100"/>
              <w:right w:type="dxa" w:w="120"/>
            </w:tcMar>
          </w:tcPr>
          <w:p>
            <w:r>
              <w:rPr>
                <w:b w:val="false"/>
                <w:bCs w:val="false"/>
                <w:color w:val="000000"/>
                <w:sz w:val="20"/>
                <w:szCs w:val="20"/>
              </w:rPr>
              <w:t xml:space="preserve">Explicitly document null-handling logic and treat nulls as a labelled category, not drop rows</w:t>
            </w:r>
          </w:p>
        </w:tc>
      </w:tr>
      <w:tr>
        <w:tc>
          <w:tcPr>
            <w:tcW w:type="dxa" w:w="4200"/>
            <w:shd w:fill="F2F2F2" w:val="clear"/>
            <w:tcMar>
              <w:top w:type="dxa" w:w="100"/>
              <w:left w:type="dxa" w:w="120"/>
              <w:bottom w:type="dxa" w:w="100"/>
              <w:right w:type="dxa" w:w="120"/>
            </w:tcMar>
          </w:tcPr>
          <w:p>
            <w:r>
              <w:rPr>
                <w:b w:val="false"/>
                <w:bCs w:val="false"/>
                <w:color w:val="000000"/>
                <w:sz w:val="20"/>
                <w:szCs w:val="20"/>
              </w:rPr>
              <w:t xml:space="preserve">Scope creep into ML/predictive modelling</w:t>
            </w:r>
          </w:p>
        </w:tc>
        <w:tc>
          <w:tcPr>
            <w:tcW w:type="dxa" w:w="5150"/>
            <w:shd w:fill="F2F2F2" w:val="clear"/>
            <w:tcMar>
              <w:top w:type="dxa" w:w="100"/>
              <w:left w:type="dxa" w:w="120"/>
              <w:bottom w:type="dxa" w:w="100"/>
              <w:right w:type="dxa" w:w="120"/>
            </w:tcMar>
          </w:tcPr>
          <w:p>
            <w:r>
              <w:rPr>
                <w:b w:val="false"/>
                <w:bCs w:val="false"/>
                <w:color w:val="000000"/>
                <w:sz w:val="20"/>
                <w:szCs w:val="20"/>
              </w:rPr>
              <w:t xml:space="preserve">Section 2.2 explicitly excludes modelling from this phase</w:t>
            </w:r>
          </w:p>
        </w:tc>
      </w:tr>
    </w:tbl>
    <w:p>
      <w:pPr>
        <w:pStyle w:val="Heading1"/>
        <w:spacing w:after="200" w:before="400"/>
      </w:pPr>
      <w:r>
        <w:t xml:space="preserve">11. Appendix: Glossary</w:t>
      </w:r>
    </w:p>
    <w:p>
      <w:pPr>
        <w:pStyle w:val="ListParagraph"/>
        <w:numPr>
          <w:ilvl w:val="0"/>
          <w:numId w:val="1"/>
        </w:numPr>
        <w:spacing w:after="100" w:line="276"/>
      </w:pPr>
      <w:r>
        <w:t xml:space="preserve">IoC – Indicator of Compromise: a signal suggesting malicious activity.</w:t>
      </w:r>
    </w:p>
    <w:p>
      <w:pPr>
        <w:pStyle w:val="ListParagraph"/>
        <w:numPr>
          <w:ilvl w:val="0"/>
          <w:numId w:val="1"/>
        </w:numPr>
        <w:spacing w:after="100" w:line="276"/>
      </w:pPr>
      <w:r>
        <w:t xml:space="preserve">IDS/IPS – Intrusion Detection System / Intrusion Prevention System.</w:t>
      </w:r>
    </w:p>
    <w:p>
      <w:pPr>
        <w:pStyle w:val="ListParagraph"/>
        <w:numPr>
          <w:ilvl w:val="0"/>
          <w:numId w:val="1"/>
        </w:numPr>
        <w:spacing w:after="100" w:line="276"/>
      </w:pPr>
      <w:r>
        <w:t xml:space="preserve">Anomaly Score – A numeric score (0–100) representing how unusual an event is relative to baseline traffic.</w:t>
      </w:r>
    </w:p>
    <w:p>
      <w:pPr>
        <w:pStyle w:val="ListParagraph"/>
        <w:numPr>
          <w:ilvl w:val="0"/>
          <w:numId w:val="1"/>
        </w:numPr>
        <w:spacing w:after="100" w:line="276"/>
      </w:pPr>
      <w:r>
        <w:t xml:space="preserve">KPI – Key Performance Indicator.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18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2026-07-26T11:56:23.093Z</dcterms:created>
  <dcterms:modified xsi:type="dcterms:W3CDTF">2026-07-26T11:56:23.106Z</dcterms:modified>
</cp:coreProperties>
</file>

<file path=docProps/custom.xml><?xml version="1.0" encoding="utf-8"?>
<Properties xmlns="http://schemas.openxmlformats.org/officeDocument/2006/custom-properties" xmlns:vt="http://schemas.openxmlformats.org/officeDocument/2006/docPropsVTypes"/>
</file>