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3864"/>
          <w:sz w:val="40"/>
          <w:szCs w:val="40"/>
        </w:rPr>
        <w:t xml:space="preserve">Band Gap Engineering in Semiconductor Quantum Dots</w:t>
      </w:r>
    </w:p>
    <w:p>
      <w:pPr>
        <w:spacing w:after="600"/>
        <w:jc w:val="center"/>
      </w:pPr>
      <w:r>
        <w:rPr>
          <w:rFonts w:ascii="Calibri" w:cs="Calibri" w:eastAsia="Calibri" w:hAnsi="Calibri"/>
          <w:i/>
          <w:iCs/>
          <w:color w:val="44546A"/>
          <w:sz w:val="26"/>
          <w:szCs w:val="26"/>
        </w:rPr>
        <w:t xml:space="preserve">A Quantitative Reference for Composition, Size, and Core/Shell Structure Effects — Compiled for Simulator Development</w:t>
      </w:r>
    </w:p>
    <w:p>
      <w:pPr>
        <w:spacing w:after="200"/>
        <w:jc w:val="center"/>
      </w:pPr>
      <w:r>
        <w:rPr>
          <w:rFonts w:ascii="Calibri" w:cs="Calibri" w:eastAsia="Calibri" w:hAnsi="Calibri"/>
          <w:color w:val="555555"/>
          <w:sz w:val="22"/>
          <w:szCs w:val="22"/>
        </w:rPr>
        <w:t xml:space="preserve">Prepared as a technical reference document. Compiled from the peer-reviewed literature on the effective-mass approximation, k·p theory, and core/shell heterostructure modeling of colloidal and epitaxial quantum dots.</w:t>
      </w:r>
    </w:p>
    <w:p>
      <w:r>
        <w:br w:type="page"/>
      </w:r>
    </w:p>
    <w:p>
      <w:pPr>
        <w:pStyle w:val="Heading1"/>
        <w:spacing w:after="160" w:before="360"/>
      </w:pPr>
      <w:r>
        <w:t xml:space="preserve">Scope and Intent</w:t>
      </w:r>
    </w:p>
    <w:p>
      <w:pPr>
        <w:spacing w:after="160" w:line="276"/>
      </w:pPr>
      <w:r>
        <w:rPr>
          <w:rFonts w:ascii="Calibri" w:cs="Calibri" w:eastAsia="Calibri" w:hAnsi="Calibri"/>
        </w:rPr>
        <w:t xml:space="preserve">This document consolidates the physics governing the electronic band gap of semiconductor quantum dots (QDs) into a form suitable for direct implementation in a numerical simulator. It covers three coupled dependencies:</w:t>
      </w:r>
    </w:p>
    <w:p>
      <w:pPr>
        <w:pStyle w:val="ListParagraph"/>
        <w:numPr>
          <w:ilvl w:val="0"/>
          <w:numId w:val="2"/>
        </w:numPr>
        <w:spacing w:after="100"/>
      </w:pPr>
      <w:r>
        <w:rPr>
          <w:rFonts w:ascii="Calibri" w:cs="Calibri" w:eastAsia="Calibri" w:hAnsi="Calibri"/>
          <w:b/>
          <w:bCs/>
        </w:rPr>
        <w:t xml:space="preserve">Composition</w:t>
      </w:r>
      <w:r>
        <w:rPr>
          <w:rFonts w:ascii="Calibri" w:cs="Calibri" w:eastAsia="Calibri" w:hAnsi="Calibri"/>
        </w:rPr>
        <w:t xml:space="preserve"> — how the bulk (parent) band gap of a binary or alloyed semiconductor sets the baseline gap, including Vegard's-law interpolation and bowing in ternary alloys.</w:t>
      </w:r>
    </w:p>
    <w:p>
      <w:pPr>
        <w:pStyle w:val="ListParagraph"/>
        <w:numPr>
          <w:ilvl w:val="0"/>
          <w:numId w:val="2"/>
        </w:numPr>
        <w:spacing w:after="100"/>
      </w:pPr>
      <w:r>
        <w:rPr>
          <w:rFonts w:ascii="Calibri" w:cs="Calibri" w:eastAsia="Calibri" w:hAnsi="Calibri"/>
          <w:b/>
          <w:bCs/>
        </w:rPr>
        <w:t xml:space="preserve">Radius (quantum confinement)</w:t>
      </w:r>
      <w:r>
        <w:rPr>
          <w:rFonts w:ascii="Calibri" w:cs="Calibri" w:eastAsia="Calibri" w:hAnsi="Calibri"/>
        </w:rPr>
        <w:t xml:space="preserve"> — how shrinking the nanocrystal radius blue-shifts the gap, via the effective-mass approximation (Brus model), its finite-barrier correction, and its known breakdown regime.</w:t>
      </w:r>
    </w:p>
    <w:p>
      <w:pPr>
        <w:pStyle w:val="ListParagraph"/>
        <w:numPr>
          <w:ilvl w:val="0"/>
          <w:numId w:val="2"/>
        </w:numPr>
        <w:spacing w:after="100"/>
      </w:pPr>
      <w:r>
        <w:rPr>
          <w:rFonts w:ascii="Calibri" w:cs="Calibri" w:eastAsia="Calibri" w:hAnsi="Calibri"/>
          <w:b/>
          <w:bCs/>
        </w:rPr>
        <w:t xml:space="preserve">Core/shell architecture</w:t>
      </w:r>
      <w:r>
        <w:rPr>
          <w:rFonts w:ascii="Calibri" w:cs="Calibri" w:eastAsia="Calibri" w:hAnsi="Calibri"/>
        </w:rPr>
        <w:t xml:space="preserve"> — how a shell of a second material changes the effective gap through band offsets (Type I, Type II, quasi-Type II), wavefunction leakage, and lattice-mismatch strain.</w:t>
      </w:r>
    </w:p>
    <w:p>
      <w:pPr>
        <w:spacing w:after="160" w:line="276"/>
      </w:pPr>
      <w:r>
        <w:rPr>
          <w:rFonts w:ascii="Calibri" w:cs="Calibri" w:eastAsia="Calibri" w:hAnsi="Calibri"/>
        </w:rPr>
        <w:t xml:space="preserve">Every formula below is standard in the nanocrystal-physics literature (Brus 1986; Efros &amp; Efros 1982; Kayanuma 1988; and the core/shell extensions of Piryatinski, Schrier/Wang, and others). Material parameters are collected in </w:t>
      </w:r>
      <w:r>
        <w:rPr>
          <w:rFonts w:ascii="Calibri" w:cs="Calibri" w:eastAsia="Calibri" w:hAnsi="Calibri"/>
          <w:b/>
          <w:bCs/>
        </w:rPr>
        <w:t xml:space="preserve">Section 5</w:t>
      </w:r>
      <w:r>
        <w:rPr>
          <w:rFonts w:ascii="Calibri" w:cs="Calibri" w:eastAsia="Calibri" w:hAnsi="Calibri"/>
        </w:rPr>
        <w:t xml:space="preserve"> with source attributions so you can swap in updated values as needed. </w:t>
      </w:r>
      <w:r>
        <w:rPr>
          <w:rFonts w:ascii="Calibri" w:cs="Calibri" w:eastAsia="Calibri" w:hAnsi="Calibri"/>
          <w:b/>
          <w:bCs/>
        </w:rPr>
        <w:t xml:space="preserve">Section 6</w:t>
      </w:r>
      <w:r>
        <w:rPr>
          <w:rFonts w:ascii="Calibri" w:cs="Calibri" w:eastAsia="Calibri" w:hAnsi="Calibri"/>
        </w:rPr>
        <w:t xml:space="preserve"> gives a concrete numerical algorithm (finite-difference radial Schrödinger solver) so the physics here maps directly onto code.</w:t>
      </w:r>
    </w:p>
    <w:p>
      <w:pPr>
        <w:pStyle w:val="Heading1"/>
        <w:spacing w:after="160" w:before="360"/>
      </w:pPr>
      <w:r>
        <w:t xml:space="preserve">1. Physical Framework: Why Confinement Changes the Gap</w:t>
      </w:r>
    </w:p>
    <w:p>
      <w:pPr>
        <w:spacing w:after="160" w:line="276"/>
      </w:pPr>
      <w:r>
        <w:rPr>
          <w:rFonts w:ascii="Calibri" w:cs="Calibri" w:eastAsia="Calibri" w:hAnsi="Calibri"/>
        </w:rPr>
        <w:t xml:space="preserve">In a bulk semiconductor, electrons and holes occupy delocalized Bloch states, and the minimum energy to create an electron–hole pair is the bulk band gap </w:t>
      </w:r>
      <w:r>
        <w:rPr>
          <w:rFonts w:ascii="Calibri" w:cs="Calibri" w:eastAsia="Calibri" w:hAnsi="Calibri"/>
          <w:i/>
          <w:iCs/>
        </w:rPr>
        <w:t xml:space="preserve">E</w:t>
      </w:r>
      <w:r>
        <w:rPr>
          <w:rFonts w:ascii="Calibri" w:cs="Calibri" w:eastAsia="Calibri" w:hAnsi="Calibri"/>
          <w:vertAlign w:val="subscript"/>
        </w:rPr>
        <w:t xml:space="preserve">g,bulk</w:t>
      </w:r>
      <w:r>
        <w:rPr>
          <w:rFonts w:ascii="Calibri" w:cs="Calibri" w:eastAsia="Calibri" w:hAnsi="Calibri"/>
        </w:rPr>
        <w:t xml:space="preserve">. When a crystal is shrunk to a radius </w:t>
      </w:r>
      <w:r>
        <w:rPr>
          <w:rFonts w:ascii="Calibri" w:cs="Calibri" w:eastAsia="Calibri" w:hAnsi="Calibri"/>
          <w:i/>
          <w:iCs/>
        </w:rPr>
        <w:t xml:space="preserve">R</w:t>
      </w:r>
      <w:r>
        <w:rPr>
          <w:rFonts w:ascii="Calibri" w:cs="Calibri" w:eastAsia="Calibri" w:hAnsi="Calibri"/>
        </w:rPr>
        <w:t xml:space="preserve"> comparable to or smaller than the natural spatial extent of the electron–hole pair — the </w:t>
      </w:r>
      <w:r>
        <w:rPr>
          <w:rFonts w:ascii="Calibri" w:cs="Calibri" w:eastAsia="Calibri" w:hAnsi="Calibri"/>
          <w:b/>
          <w:bCs/>
        </w:rPr>
        <w:t xml:space="preserve">exciton Bohr radius</w:t>
      </w:r>
      <w:r>
        <w:rPr>
          <w:rFonts w:ascii="Calibri" w:cs="Calibri" w:eastAsia="Calibri" w:hAnsi="Calibri"/>
        </w:rPr>
        <w:t xml:space="preserve">:</w:t>
      </w:r>
    </w:p>
    <w:p>
      <w:pPr>
        <w:pBdr>
          <w:top w:val="single" w:color="D9DEE4" w:sz="2"/>
          <w:bottom w:val="single" w:color="D9DEE4" w:sz="2"/>
        </w:pBdr>
        <w:shd w:fill="F4F6F8" w:val="clear"/>
        <w:spacing w:after="160" w:before="160"/>
        <w:jc w:val="center"/>
      </w:pPr>
      <w:r>
        <w:rPr>
          <w:rFonts w:ascii="Calibri" w:cs="Calibri" w:eastAsia="Calibri" w:hAnsi="Calibri"/>
          <w:i/>
          <w:iCs/>
        </w:rPr>
        <w:t xml:space="preserve">a</w:t>
      </w:r>
      <w:r>
        <w:rPr>
          <w:rFonts w:ascii="Calibri" w:cs="Calibri" w:eastAsia="Calibri" w:hAnsi="Calibri"/>
          <w:vertAlign w:val="subscript"/>
        </w:rPr>
        <w:t xml:space="preserve">B</w:t>
      </w:r>
      <w:r>
        <w:rPr>
          <w:rFonts w:ascii="Calibri" w:cs="Calibri" w:eastAsia="Calibri" w:hAnsi="Calibri"/>
        </w:rPr>
        <w:t xml:space="preserve"> = </w:t>
      </w:r>
      <w:r>
        <w:rPr>
          <w:rFonts w:ascii="Calibri" w:cs="Calibri" w:eastAsia="Calibri" w:hAnsi="Calibri"/>
        </w:rPr>
        <w:t xml:space="preserve">ħ²·4πε</w:t>
      </w:r>
      <w:r>
        <w:rPr>
          <w:rFonts w:ascii="Calibri" w:cs="Calibri" w:eastAsia="Calibri" w:hAnsi="Calibri"/>
          <w:vertAlign w:val="subscript"/>
        </w:rPr>
        <w:t xml:space="preserve">0</w:t>
      </w:r>
      <w:r>
        <w:rPr>
          <w:rFonts w:ascii="Calibri" w:cs="Calibri" w:eastAsia="Calibri" w:hAnsi="Calibri"/>
          <w:i/>
          <w:iCs/>
        </w:rPr>
        <w:t xml:space="preserve">ε</w:t>
      </w:r>
      <w:r>
        <w:rPr>
          <w:rFonts w:ascii="Calibri" w:cs="Calibri" w:eastAsia="Calibri" w:hAnsi="Calibri"/>
          <w:vertAlign w:val="subscript"/>
        </w:rPr>
        <w:t xml:space="preserve">r</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vertAlign w:val="superscript"/>
        </w:rPr>
        <w:t xml:space="preserve">2</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color w:val="555555"/>
        </w:rPr>
        <w:t xml:space="preserve">   (1.1)</w:t>
      </w:r>
    </w:p>
    <w:p>
      <w:pPr>
        <w:spacing w:after="160" w:line="276"/>
      </w:pPr>
      <w:r>
        <w:rPr>
          <w:rFonts w:ascii="Calibri" w:cs="Calibri" w:eastAsia="Calibri" w:hAnsi="Calibri"/>
        </w:rPr>
        <w:t xml:space="preserve">the carriers are forced into a finite box. Quantum mechanics penalizes localization with kinetic energy (the particle-in-a-box effect), so both the electron and hole ground-state energies rise as </w:t>
      </w:r>
      <w:r>
        <w:rPr>
          <w:rFonts w:ascii="Calibri" w:cs="Calibri" w:eastAsia="Calibri" w:hAnsi="Calibri"/>
          <w:i/>
          <w:iCs/>
        </w:rPr>
        <w:t xml:space="preserve">R</w:t>
      </w:r>
      <w:r>
        <w:rPr>
          <w:rFonts w:ascii="Calibri" w:cs="Calibri" w:eastAsia="Calibri" w:hAnsi="Calibri"/>
        </w:rPr>
        <w:t xml:space="preserve"> shrinks. This is </w:t>
      </w:r>
      <w:r>
        <w:rPr>
          <w:rFonts w:ascii="Calibri" w:cs="Calibri" w:eastAsia="Calibri" w:hAnsi="Calibri"/>
          <w:b/>
          <w:bCs/>
        </w:rPr>
        <w:t xml:space="preserve">quantum confinement</w:t>
      </w:r>
      <w:r>
        <w:rPr>
          <w:rFonts w:ascii="Calibri" w:cs="Calibri" w:eastAsia="Calibri" w:hAnsi="Calibri"/>
        </w:rPr>
        <w:t xml:space="preserve">, and it is the dominant, universal mechanism by which QD band gap depends on size, regardless of material. Three confinement regimes are usually distinguished: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00"/>
      </w:tblGrid>
      <w:tr>
        <w:trPr>
          <w:tblHeader/>
        </w:trPr>
        <w:tc>
          <w:tcPr>
            <w:tcW w:type="dxa" w:w="25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Regime</w:t>
            </w:r>
          </w:p>
        </w:tc>
        <w:tc>
          <w:tcPr>
            <w:tcW w:type="dxa" w:w="25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Condition</w:t>
            </w:r>
          </w:p>
        </w:tc>
        <w:tc>
          <w:tcPr>
            <w:tcW w:type="dxa" w:w="46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Physical picture</w:t>
            </w:r>
          </w:p>
        </w:tc>
      </w:tr>
      <w:tr>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Strong confinement</w:t>
            </w:r>
          </w:p>
        </w:tc>
        <w:tc>
          <w:tcPr>
            <w:tcW w:type="dxa" w:w="2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R &lt; aB</w:t>
            </w:r>
          </w:p>
        </w:tc>
        <w:tc>
          <w:tcPr>
            <w:tcW w:type="dxa" w:w="4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Electron and hole confined independently; Coulomb attraction treated as a perturbation. Brus equation is accurate here.</w:t>
            </w:r>
          </w:p>
        </w:tc>
      </w:tr>
      <w:tr>
        <w:tc>
          <w:tcPr>
            <w:tcW w:type="dxa" w:w="25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Intermediate confinement</w:t>
            </w:r>
          </w:p>
        </w:tc>
        <w:tc>
          <w:tcPr>
            <w:tcW w:type="dxa" w:w="2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R ≈ aB</w:t>
            </w:r>
          </w:p>
        </w:tc>
        <w:tc>
          <w:tcPr>
            <w:tcW w:type="dxa" w:w="46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Correlated electron–hole motion; simple EMA becomes approximate.</w:t>
            </w:r>
          </w:p>
        </w:tc>
      </w:tr>
      <w:tr>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Weak confinement</w:t>
            </w:r>
          </w:p>
        </w:tc>
        <w:tc>
          <w:tcPr>
            <w:tcW w:type="dxa" w:w="2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R &gt; aB</w:t>
            </w:r>
          </w:p>
        </w:tc>
        <w:tc>
          <w:tcPr>
            <w:tcW w:type="dxa" w:w="4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Center-of-mass exciton motion is quantized; gap shift is small (bulk-like).</w:t>
            </w:r>
          </w:p>
        </w:tc>
      </w:tr>
    </w:tbl>
    <w:p>
      <w:pPr>
        <w:spacing w:after="240" w:before="60"/>
        <w:jc w:val="center"/>
      </w:pPr>
      <w:r>
        <w:rPr>
          <w:rFonts w:ascii="Calibri" w:cs="Calibri" w:eastAsia="Calibri" w:hAnsi="Calibri"/>
          <w:i/>
          <w:iCs/>
          <w:color w:val="555555"/>
          <w:sz w:val="20"/>
          <w:szCs w:val="20"/>
        </w:rPr>
        <w:t xml:space="preserve">Table 1.1 — Confinement regimes for a spherical quantum dot of radius R against exciton Bohr radius aB.</w:t>
      </w:r>
    </w:p>
    <w:p>
      <w:pPr>
        <w:spacing w:after="160" w:line="276"/>
      </w:pPr>
      <w:r>
        <w:rPr>
          <w:rFonts w:ascii="Calibri" w:cs="Calibri" w:eastAsia="Calibri" w:hAnsi="Calibri"/>
        </w:rPr>
        <w:t xml:space="preserve">Composition changes the gap through a completely different, independent channel: it sets </w:t>
      </w:r>
      <w:r>
        <w:rPr>
          <w:rFonts w:ascii="Calibri" w:cs="Calibri" w:eastAsia="Calibri" w:hAnsi="Calibri"/>
          <w:i/>
          <w:iCs/>
        </w:rPr>
        <w:t xml:space="preserve">E</w:t>
      </w:r>
      <w:r>
        <w:rPr>
          <w:rFonts w:ascii="Calibri" w:cs="Calibri" w:eastAsia="Calibri" w:hAnsi="Calibri"/>
          <w:vertAlign w:val="subscript"/>
        </w:rPr>
        <w:t xml:space="preserve">g,bulk</w:t>
      </w:r>
      <w:r>
        <w:rPr>
          <w:rFonts w:ascii="Calibri" w:cs="Calibri" w:eastAsia="Calibri" w:hAnsi="Calibri"/>
        </w:rPr>
        <w:t xml:space="preserve">, the effective masses </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 and the dielectric constant </w:t>
      </w:r>
      <w:r>
        <w:rPr>
          <w:rFonts w:ascii="Calibri" w:cs="Calibri" w:eastAsia="Calibri" w:hAnsi="Calibri"/>
          <w:i/>
          <w:iCs/>
        </w:rPr>
        <w:t xml:space="preserve">ε</w:t>
      </w:r>
      <w:r>
        <w:rPr>
          <w:rFonts w:ascii="Calibri" w:cs="Calibri" w:eastAsia="Calibri" w:hAnsi="Calibri"/>
          <w:vertAlign w:val="subscript"/>
        </w:rPr>
        <w:t xml:space="preserve">r</w:t>
      </w:r>
      <w:r>
        <w:rPr>
          <w:rFonts w:ascii="Calibri" w:cs="Calibri" w:eastAsia="Calibri" w:hAnsi="Calibri"/>
        </w:rPr>
        <w:t xml:space="preserve"> that then enter the confinement formulas. Core/shell architecture changes the gap through a third channel: it modifies the confinement </w:t>
      </w:r>
      <w:r>
        <w:rPr>
          <w:rFonts w:ascii="Calibri" w:cs="Calibri" w:eastAsia="Calibri" w:hAnsi="Calibri"/>
          <w:b/>
          <w:bCs/>
        </w:rPr>
        <w:t xml:space="preserve">potential landscape</w:t>
      </w:r>
      <w:r>
        <w:rPr>
          <w:rFonts w:ascii="Calibri" w:cs="Calibri" w:eastAsia="Calibri" w:hAnsi="Calibri"/>
        </w:rPr>
        <w:t xml:space="preserve"> itself (finite barriers instead of infinite walls) and introduces </w:t>
      </w:r>
      <w:r>
        <w:rPr>
          <w:rFonts w:ascii="Calibri" w:cs="Calibri" w:eastAsia="Calibri" w:hAnsi="Calibri"/>
          <w:b/>
          <w:bCs/>
        </w:rPr>
        <w:t xml:space="preserve">strain</w:t>
      </w:r>
      <w:r>
        <w:rPr>
          <w:rFonts w:ascii="Calibri" w:cs="Calibri" w:eastAsia="Calibri" w:hAnsi="Calibri"/>
        </w:rPr>
        <w:t xml:space="preserve"> from lattice mismatch at the interface. All three effects are additive in the sense that they all feed into the same underlying Schrödinger problem — Section 6 shows how to solve that problem numerically once all three are combined.</w:t>
      </w:r>
    </w:p>
    <w:p>
      <w:pPr>
        <w:pStyle w:val="Heading1"/>
        <w:spacing w:after="160" w:before="360"/>
      </w:pPr>
      <w:r>
        <w:t xml:space="preserve">2. Composition Dependence</w:t>
      </w:r>
    </w:p>
    <w:p>
      <w:pPr>
        <w:pStyle w:val="Heading2"/>
        <w:spacing w:after="120" w:before="280"/>
      </w:pPr>
      <w:r>
        <w:t xml:space="preserve">2.1 Binary compounds</w:t>
      </w:r>
    </w:p>
    <w:p>
      <w:pPr>
        <w:spacing w:after="160" w:line="276"/>
      </w:pPr>
      <w:r>
        <w:rPr>
          <w:rFonts w:ascii="Calibri" w:cs="Calibri" w:eastAsia="Calibri" w:hAnsi="Calibri"/>
        </w:rPr>
        <w:t xml:space="preserve">For a binary QD (e.g., CdSe, PbS, InP), composition dependence enters only through the choice of bulk parameters </w:t>
      </w:r>
      <w:r>
        <w:rPr>
          <w:rFonts w:ascii="Calibri" w:cs="Calibri" w:eastAsia="Calibri" w:hAnsi="Calibri"/>
          <w:i/>
          <w:iCs/>
        </w:rPr>
        <w:t xml:space="preserve">E</w:t>
      </w:r>
      <w:r>
        <w:rPr>
          <w:rFonts w:ascii="Calibri" w:cs="Calibri" w:eastAsia="Calibri" w:hAnsi="Calibri"/>
          <w:vertAlign w:val="subscript"/>
        </w:rPr>
        <w:t xml:space="preserve">g,bulk</w:t>
      </w:r>
      <w:r>
        <w:rPr>
          <w:rFonts w:ascii="Calibri" w:cs="Calibri" w:eastAsia="Calibri" w:hAnsi="Calibri"/>
        </w:rPr>
        <w:t xml:space="preserve">, </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 </w:t>
      </w:r>
      <w:r>
        <w:rPr>
          <w:rFonts w:ascii="Calibri" w:cs="Calibri" w:eastAsia="Calibri" w:hAnsi="Calibri"/>
          <w:i/>
          <w:iCs/>
        </w:rPr>
        <w:t xml:space="preserve">ε</w:t>
      </w:r>
      <w:r>
        <w:rPr>
          <w:rFonts w:ascii="Calibri" w:cs="Calibri" w:eastAsia="Calibri" w:hAnsi="Calibri"/>
          <w:vertAlign w:val="subscript"/>
        </w:rPr>
        <w:t xml:space="preserve">r</w:t>
      </w:r>
      <w:r>
        <w:rPr>
          <w:rFonts w:ascii="Calibri" w:cs="Calibri" w:eastAsia="Calibri" w:hAnsi="Calibri"/>
        </w:rPr>
        <w:t xml:space="preserve">, listed per-material in Section 5. There is no continuous composition variable — you select a row from the parameter table.</w:t>
      </w:r>
    </w:p>
    <w:p>
      <w:pPr>
        <w:pStyle w:val="Heading2"/>
        <w:spacing w:after="120" w:before="280"/>
      </w:pPr>
      <w:r>
        <w:t xml:space="preserve">2.2 Ternary and alloyed compounds</w:t>
      </w:r>
    </w:p>
    <w:p>
      <w:pPr>
        <w:spacing w:after="160" w:line="276"/>
      </w:pPr>
      <w:r>
        <w:rPr>
          <w:rFonts w:ascii="Calibri" w:cs="Calibri" w:eastAsia="Calibri" w:hAnsi="Calibri"/>
        </w:rPr>
        <w:t xml:space="preserve">For alloyed nanocrystals such as CdSe</w:t>
      </w:r>
      <w:r>
        <w:rPr>
          <w:rFonts w:ascii="Calibri" w:cs="Calibri" w:eastAsia="Calibri" w:hAnsi="Calibri"/>
          <w:vertAlign w:val="subscript"/>
        </w:rPr>
        <w:t xml:space="preserve">x</w:t>
      </w:r>
      <w:r>
        <w:rPr>
          <w:rFonts w:ascii="Calibri" w:cs="Calibri" w:eastAsia="Calibri" w:hAnsi="Calibri"/>
        </w:rPr>
        <w:t xml:space="preserve">S</w:t>
      </w:r>
      <w:r>
        <w:rPr>
          <w:rFonts w:ascii="Calibri" w:cs="Calibri" w:eastAsia="Calibri" w:hAnsi="Calibri"/>
          <w:vertAlign w:val="subscript"/>
        </w:rPr>
        <w:t xml:space="preserve">1-x</w:t>
      </w:r>
      <w:r>
        <w:rPr>
          <w:rFonts w:ascii="Calibri" w:cs="Calibri" w:eastAsia="Calibri" w:hAnsi="Calibri"/>
        </w:rPr>
        <w:t xml:space="preserve">, In</w:t>
      </w:r>
      <w:r>
        <w:rPr>
          <w:rFonts w:ascii="Calibri" w:cs="Calibri" w:eastAsia="Calibri" w:hAnsi="Calibri"/>
          <w:vertAlign w:val="subscript"/>
        </w:rPr>
        <w:t xml:space="preserve">x</w:t>
      </w:r>
      <w:r>
        <w:rPr>
          <w:rFonts w:ascii="Calibri" w:cs="Calibri" w:eastAsia="Calibri" w:hAnsi="Calibri"/>
        </w:rPr>
        <w:t xml:space="preserve">Ga</w:t>
      </w:r>
      <w:r>
        <w:rPr>
          <w:rFonts w:ascii="Calibri" w:cs="Calibri" w:eastAsia="Calibri" w:hAnsi="Calibri"/>
          <w:vertAlign w:val="subscript"/>
        </w:rPr>
        <w:t xml:space="preserve">1-x</w:t>
      </w:r>
      <w:r>
        <w:rPr>
          <w:rFonts w:ascii="Calibri" w:cs="Calibri" w:eastAsia="Calibri" w:hAnsi="Calibri"/>
        </w:rPr>
        <w:t xml:space="preserve">As, or Cd</w:t>
      </w:r>
      <w:r>
        <w:rPr>
          <w:rFonts w:ascii="Calibri" w:cs="Calibri" w:eastAsia="Calibri" w:hAnsi="Calibri"/>
          <w:vertAlign w:val="subscript"/>
        </w:rPr>
        <w:t xml:space="preserve">x</w:t>
      </w:r>
      <w:r>
        <w:rPr>
          <w:rFonts w:ascii="Calibri" w:cs="Calibri" w:eastAsia="Calibri" w:hAnsi="Calibri"/>
        </w:rPr>
        <w:t xml:space="preserve">Zn</w:t>
      </w:r>
      <w:r>
        <w:rPr>
          <w:rFonts w:ascii="Calibri" w:cs="Calibri" w:eastAsia="Calibri" w:hAnsi="Calibri"/>
          <w:vertAlign w:val="subscript"/>
        </w:rPr>
        <w:t xml:space="preserve">1-x</w:t>
      </w:r>
      <w:r>
        <w:rPr>
          <w:rFonts w:ascii="Calibri" w:cs="Calibri" w:eastAsia="Calibri" w:hAnsi="Calibri"/>
        </w:rPr>
        <w:t xml:space="preserve">S, the bulk gap is interpolated between the two end-member binaries using </w:t>
      </w:r>
      <w:r>
        <w:rPr>
          <w:rFonts w:ascii="Calibri" w:cs="Calibri" w:eastAsia="Calibri" w:hAnsi="Calibri"/>
          <w:b/>
          <w:bCs/>
        </w:rPr>
        <w:t xml:space="preserve">Vegard's law with a bowing correction</w:t>
      </w:r>
      <w:r>
        <w:rPr>
          <w:rFonts w:ascii="Calibri" w:cs="Calibri" w:eastAsia="Calibri" w:hAnsi="Calibri"/>
        </w:rPr>
        <w:t xml:space="preserve">:</w:t>
      </w:r>
    </w:p>
    <w:p>
      <w:pPr>
        <w:pBdr>
          <w:top w:val="single" w:color="D9DEE4" w:sz="2"/>
          <w:bottom w:val="single" w:color="D9DEE4" w:sz="2"/>
        </w:pBdr>
        <w:shd w:fill="F4F6F8" w:val="clear"/>
        <w:spacing w:after="160" w:before="160"/>
        <w:jc w:val="center"/>
      </w:pPr>
      <w:r>
        <w:rPr>
          <w:rFonts w:ascii="Calibri" w:cs="Calibri" w:eastAsia="Calibri" w:hAnsi="Calibri"/>
          <w:i/>
          <w:iCs/>
        </w:rPr>
        <w:t xml:space="preserve">E</w:t>
      </w:r>
      <w:r>
        <w:rPr>
          <w:rFonts w:ascii="Calibri" w:cs="Calibri" w:eastAsia="Calibri" w:hAnsi="Calibri"/>
          <w:vertAlign w:val="subscript"/>
        </w:rPr>
        <w:t xml:space="preserve">g</w:t>
      </w:r>
      <w:r>
        <w:rPr>
          <w:rFonts w:ascii="Calibri" w:cs="Calibri" w:eastAsia="Calibri" w:hAnsi="Calibri"/>
        </w:rPr>
        <w:t xml:space="preserve">(A</w:t>
      </w:r>
      <w:r>
        <w:rPr>
          <w:rFonts w:ascii="Calibri" w:cs="Calibri" w:eastAsia="Calibri" w:hAnsi="Calibri"/>
          <w:vertAlign w:val="subscript"/>
        </w:rPr>
        <w:t xml:space="preserve">x</w:t>
      </w:r>
      <w:r>
        <w:rPr>
          <w:rFonts w:ascii="Calibri" w:cs="Calibri" w:eastAsia="Calibri" w:hAnsi="Calibri"/>
        </w:rPr>
        <w:t xml:space="preserve">B</w:t>
      </w:r>
      <w:r>
        <w:rPr>
          <w:rFonts w:ascii="Calibri" w:cs="Calibri" w:eastAsia="Calibri" w:hAnsi="Calibri"/>
          <w:vertAlign w:val="subscript"/>
        </w:rPr>
        <w:t xml:space="preserve">1-x</w:t>
      </w:r>
      <w:r>
        <w:rPr>
          <w:rFonts w:ascii="Calibri" w:cs="Calibri" w:eastAsia="Calibri" w:hAnsi="Calibri"/>
        </w:rPr>
        <w:t xml:space="preserve">C) = </w:t>
      </w:r>
      <w:r>
        <w:rPr>
          <w:rFonts w:ascii="Calibri" w:cs="Calibri" w:eastAsia="Calibri" w:hAnsi="Calibri"/>
          <w:i/>
          <w:iCs/>
        </w:rPr>
        <w:t xml:space="preserve">x</w:t>
      </w:r>
      <w:r>
        <w:rPr>
          <w:rFonts w:ascii="Calibri" w:cs="Calibri" w:eastAsia="Calibri" w:hAnsi="Calibri"/>
        </w:rPr>
        <w:t xml:space="preserve">·</w:t>
      </w:r>
      <w:r>
        <w:rPr>
          <w:rFonts w:ascii="Calibri" w:cs="Calibri" w:eastAsia="Calibri" w:hAnsi="Calibri"/>
          <w:i/>
          <w:iCs/>
        </w:rPr>
        <w:t xml:space="preserve">E</w:t>
      </w:r>
      <w:r>
        <w:rPr>
          <w:rFonts w:ascii="Calibri" w:cs="Calibri" w:eastAsia="Calibri" w:hAnsi="Calibri"/>
          <w:vertAlign w:val="subscript"/>
        </w:rPr>
        <w:t xml:space="preserve">g</w:t>
      </w:r>
      <w:r>
        <w:rPr>
          <w:rFonts w:ascii="Calibri" w:cs="Calibri" w:eastAsia="Calibri" w:hAnsi="Calibri"/>
        </w:rPr>
        <w:t xml:space="preserve">(AC) + (1−</w:t>
      </w:r>
      <w:r>
        <w:rPr>
          <w:rFonts w:ascii="Calibri" w:cs="Calibri" w:eastAsia="Calibri" w:hAnsi="Calibri"/>
          <w:i/>
          <w:iCs/>
        </w:rPr>
        <w:t xml:space="preserve">x</w:t>
      </w:r>
      <w:r>
        <w:rPr>
          <w:rFonts w:ascii="Calibri" w:cs="Calibri" w:eastAsia="Calibri" w:hAnsi="Calibri"/>
        </w:rPr>
        <w:t xml:space="preserve">)·</w:t>
      </w:r>
      <w:r>
        <w:rPr>
          <w:rFonts w:ascii="Calibri" w:cs="Calibri" w:eastAsia="Calibri" w:hAnsi="Calibri"/>
          <w:i/>
          <w:iCs/>
        </w:rPr>
        <w:t xml:space="preserve">E</w:t>
      </w:r>
      <w:r>
        <w:rPr>
          <w:rFonts w:ascii="Calibri" w:cs="Calibri" w:eastAsia="Calibri" w:hAnsi="Calibri"/>
          <w:vertAlign w:val="subscript"/>
        </w:rPr>
        <w:t xml:space="preserve">g</w:t>
      </w:r>
      <w:r>
        <w:rPr>
          <w:rFonts w:ascii="Calibri" w:cs="Calibri" w:eastAsia="Calibri" w:hAnsi="Calibri"/>
        </w:rPr>
        <w:t xml:space="preserve">(BC) − </w:t>
      </w:r>
      <w:r>
        <w:rPr>
          <w:rFonts w:ascii="Calibri" w:cs="Calibri" w:eastAsia="Calibri" w:hAnsi="Calibri"/>
          <w:i/>
          <w:iCs/>
        </w:rPr>
        <w:t xml:space="preserve">b</w:t>
      </w:r>
      <w:r>
        <w:rPr>
          <w:rFonts w:ascii="Calibri" w:cs="Calibri" w:eastAsia="Calibri" w:hAnsi="Calibri"/>
        </w:rPr>
        <w:t xml:space="preserve">·</w:t>
      </w:r>
      <w:r>
        <w:rPr>
          <w:rFonts w:ascii="Calibri" w:cs="Calibri" w:eastAsia="Calibri" w:hAnsi="Calibri"/>
          <w:i/>
          <w:iCs/>
        </w:rPr>
        <w:t xml:space="preserve">x</w:t>
      </w:r>
      <w:r>
        <w:rPr>
          <w:rFonts w:ascii="Calibri" w:cs="Calibri" w:eastAsia="Calibri" w:hAnsi="Calibri"/>
        </w:rPr>
        <w:t xml:space="preserve">(1−</w:t>
      </w:r>
      <w:r>
        <w:rPr>
          <w:rFonts w:ascii="Calibri" w:cs="Calibri" w:eastAsia="Calibri" w:hAnsi="Calibri"/>
          <w:i/>
          <w:iCs/>
        </w:rPr>
        <w:t xml:space="preserve">x</w:t>
      </w:r>
      <w:r>
        <w:rPr>
          <w:rFonts w:ascii="Calibri" w:cs="Calibri" w:eastAsia="Calibri" w:hAnsi="Calibri"/>
        </w:rPr>
        <w:t xml:space="preserve">)</w:t>
      </w:r>
      <w:r>
        <w:rPr>
          <w:rFonts w:ascii="Calibri" w:cs="Calibri" w:eastAsia="Calibri" w:hAnsi="Calibri"/>
          <w:i/>
          <w:iCs/>
          <w:color w:val="555555"/>
        </w:rPr>
        <w:t xml:space="preserve">   (2.1)</w:t>
      </w:r>
    </w:p>
    <w:p>
      <w:pPr>
        <w:spacing w:after="160" w:line="276"/>
      </w:pPr>
      <w:r>
        <w:rPr>
          <w:rFonts w:ascii="Calibri" w:cs="Calibri" w:eastAsia="Calibri" w:hAnsi="Calibri"/>
        </w:rPr>
        <w:t xml:space="preserve">where </w:t>
      </w:r>
      <w:r>
        <w:rPr>
          <w:rFonts w:ascii="Calibri" w:cs="Calibri" w:eastAsia="Calibri" w:hAnsi="Calibri"/>
          <w:i/>
          <w:iCs/>
        </w:rPr>
        <w:t xml:space="preserve">x</w:t>
      </w:r>
      <w:r>
        <w:rPr>
          <w:rFonts w:ascii="Calibri" w:cs="Calibri" w:eastAsia="Calibri" w:hAnsi="Calibri"/>
        </w:rPr>
        <w:t xml:space="preserve"> is the alloy fraction and </w:t>
      </w:r>
      <w:r>
        <w:rPr>
          <w:rFonts w:ascii="Calibri" w:cs="Calibri" w:eastAsia="Calibri" w:hAnsi="Calibri"/>
          <w:i/>
          <w:iCs/>
        </w:rPr>
        <w:t xml:space="preserve">b</w:t>
      </w:r>
      <w:r>
        <w:rPr>
          <w:rFonts w:ascii="Calibri" w:cs="Calibri" w:eastAsia="Calibri" w:hAnsi="Calibri"/>
        </w:rPr>
        <w:t xml:space="preserve"> is the empirical </w:t>
      </w:r>
      <w:r>
        <w:rPr>
          <w:rFonts w:ascii="Calibri" w:cs="Calibri" w:eastAsia="Calibri" w:hAnsi="Calibri"/>
          <w:b/>
          <w:bCs/>
        </w:rPr>
        <w:t xml:space="preserve">bowing parameter</w:t>
      </w:r>
      <w:r>
        <w:rPr>
          <w:rFonts w:ascii="Calibri" w:cs="Calibri" w:eastAsia="Calibri" w:hAnsi="Calibri"/>
        </w:rPr>
        <w:t xml:space="preserve"> (typically 0.3–1.2 eV depending on the alloy pair; it must be looked up per system — it is not derivable from the end members alone). The same linear-interpolation-plus-bowing form is used for effective masses, lattice constants, and dielectric constants, generally with negligible or zero bowing for those quantities (i.e., simple linear interpolation is usually an adequate approximation for </w:t>
      </w:r>
      <w:r>
        <w:rPr>
          <w:rFonts w:ascii="Calibri" w:cs="Calibri" w:eastAsia="Calibri" w:hAnsi="Calibri"/>
          <w:i/>
          <w:iCs/>
        </w:rPr>
        <w:t xml:space="preserve">m</w:t>
      </w:r>
      <w:r>
        <w:rPr>
          <w:rFonts w:ascii="Calibri" w:cs="Calibri" w:eastAsia="Calibri" w:hAnsi="Calibri"/>
          <w:vertAlign w:val="superscript"/>
        </w:rPr>
        <w:t xml:space="preserve">*</w:t>
      </w:r>
      <w:r>
        <w:rPr>
          <w:rFonts w:ascii="Calibri" w:cs="Calibri" w:eastAsia="Calibri" w:hAnsi="Calibri"/>
        </w:rPr>
        <w:t xml:space="preserve"> and </w:t>
      </w:r>
      <w:r>
        <w:rPr>
          <w:rFonts w:ascii="Calibri" w:cs="Calibri" w:eastAsia="Calibri" w:hAnsi="Calibri"/>
          <w:i/>
          <w:iCs/>
        </w:rPr>
        <w:t xml:space="preserve">ε</w:t>
      </w:r>
      <w:r>
        <w:rPr>
          <w:rFonts w:ascii="Calibri" w:cs="Calibri" w:eastAsia="Calibri" w:hAnsi="Calibri"/>
          <w:vertAlign w:val="subscript"/>
        </w:rPr>
        <w:t xml:space="preserve">r</w:t>
      </w:r>
      <w:r>
        <w:rPr>
          <w:rFonts w:ascii="Calibri" w:cs="Calibri" w:eastAsia="Calibri" w:hAnsi="Calibri"/>
        </w:rPr>
        <w:t xml:space="preserve"> even when </w:t>
      </w:r>
      <w:r>
        <w:rPr>
          <w:rFonts w:ascii="Calibri" w:cs="Calibri" w:eastAsia="Calibri" w:hAnsi="Calibri"/>
          <w:i/>
          <w:iCs/>
        </w:rPr>
        <w:t xml:space="preserve">E</w:t>
      </w:r>
      <w:r>
        <w:rPr>
          <w:rFonts w:ascii="Calibri" w:cs="Calibri" w:eastAsia="Calibri" w:hAnsi="Calibri"/>
          <w:vertAlign w:val="subscript"/>
        </w:rPr>
        <w:t xml:space="preserve">g</w:t>
      </w:r>
      <w:r>
        <w:rPr>
          <w:rFonts w:ascii="Calibri" w:cs="Calibri" w:eastAsia="Calibri" w:hAnsi="Calibri"/>
        </w:rPr>
        <w:t xml:space="preserve"> bows).</w:t>
      </w:r>
    </w:p>
    <w:p>
      <w:pPr>
        <w:spacing w:after="160" w:line="276"/>
      </w:pPr>
      <w:r>
        <w:rPr>
          <w:rFonts w:ascii="Calibri" w:cs="Calibri" w:eastAsia="Calibri" w:hAnsi="Calibri"/>
          <w:b/>
          <w:bCs/>
        </w:rPr>
        <w:t xml:space="preserve">Implementation note for the simulator: </w:t>
      </w:r>
      <w:r>
        <w:rPr>
          <w:rFonts w:ascii="Calibri" w:cs="Calibri" w:eastAsia="Calibri" w:hAnsi="Calibri"/>
        </w:rPr>
        <w:t xml:space="preserve">expose composition </w:t>
      </w:r>
      <w:r>
        <w:rPr>
          <w:rFonts w:ascii="Calibri" w:cs="Calibri" w:eastAsia="Calibri" w:hAnsi="Calibri"/>
          <w:i/>
          <w:iCs/>
        </w:rPr>
        <w:t xml:space="preserve">x</w:t>
      </w:r>
      <w:r>
        <w:rPr>
          <w:rFonts w:ascii="Calibri" w:cs="Calibri" w:eastAsia="Calibri" w:hAnsi="Calibri"/>
        </w:rPr>
        <w:t xml:space="preserve"> as a free parameter that re-derives </w:t>
      </w:r>
      <w:r>
        <w:rPr>
          <w:rFonts w:ascii="Calibri" w:cs="Calibri" w:eastAsia="Calibri" w:hAnsi="Calibri"/>
          <w:i/>
          <w:iCs/>
        </w:rPr>
        <w:t xml:space="preserve">E</w:t>
      </w:r>
      <w:r>
        <w:rPr>
          <w:rFonts w:ascii="Calibri" w:cs="Calibri" w:eastAsia="Calibri" w:hAnsi="Calibri"/>
          <w:vertAlign w:val="subscript"/>
        </w:rPr>
        <w:t xml:space="preserve">g,bulk</w:t>
      </w:r>
      <w:r>
        <w:rPr>
          <w:rFonts w:ascii="Calibri" w:cs="Calibri" w:eastAsia="Calibri" w:hAnsi="Calibri"/>
        </w:rPr>
        <w:t xml:space="preserve">(</w:t>
      </w:r>
      <w:r>
        <w:rPr>
          <w:rFonts w:ascii="Calibri" w:cs="Calibri" w:eastAsia="Calibri" w:hAnsi="Calibri"/>
          <w:i/>
          <w:iCs/>
        </w:rPr>
        <w:t xml:space="preserve">x</w:t>
      </w:r>
      <w:r>
        <w:rPr>
          <w:rFonts w:ascii="Calibri" w:cs="Calibri" w:eastAsia="Calibri" w:hAnsi="Calibri"/>
        </w:rPr>
        <w:t xml:space="preserve">), </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x</w:t>
      </w:r>
      <w:r>
        <w:rPr>
          <w:rFonts w:ascii="Calibri" w:cs="Calibri" w:eastAsia="Calibri" w:hAnsi="Calibri"/>
        </w:rPr>
        <w:t xml:space="preserve">), </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x</w:t>
      </w:r>
      <w:r>
        <w:rPr>
          <w:rFonts w:ascii="Calibri" w:cs="Calibri" w:eastAsia="Calibri" w:hAnsi="Calibri"/>
        </w:rPr>
        <w:t xml:space="preserve">), and </w:t>
      </w:r>
      <w:r>
        <w:rPr>
          <w:rFonts w:ascii="Calibri" w:cs="Calibri" w:eastAsia="Calibri" w:hAnsi="Calibri"/>
          <w:i/>
          <w:iCs/>
        </w:rPr>
        <w:t xml:space="preserve">ε</w:t>
      </w:r>
      <w:r>
        <w:rPr>
          <w:rFonts w:ascii="Calibri" w:cs="Calibri" w:eastAsia="Calibri" w:hAnsi="Calibri"/>
          <w:vertAlign w:val="subscript"/>
        </w:rPr>
        <w:t xml:space="preserve">r</w:t>
      </w:r>
      <w:r>
        <w:rPr>
          <w:rFonts w:ascii="Calibri" w:cs="Calibri" w:eastAsia="Calibri" w:hAnsi="Calibri"/>
        </w:rPr>
        <w:t xml:space="preserve">(</w:t>
      </w:r>
      <w:r>
        <w:rPr>
          <w:rFonts w:ascii="Calibri" w:cs="Calibri" w:eastAsia="Calibri" w:hAnsi="Calibri"/>
          <w:i/>
          <w:iCs/>
        </w:rPr>
        <w:t xml:space="preserve">x</w:t>
      </w:r>
      <w:r>
        <w:rPr>
          <w:rFonts w:ascii="Calibri" w:cs="Calibri" w:eastAsia="Calibri" w:hAnsi="Calibri"/>
        </w:rPr>
        <w:t xml:space="preserve">) before the radius-dependent (Section 3) and shell (Section 4) calculations run. This lets one slider capture, e.g., the CdSe→CdS or InAs→InP transition continuously.</w:t>
      </w:r>
    </w:p>
    <w:p>
      <w:pPr>
        <w:pStyle w:val="Heading1"/>
        <w:spacing w:after="160" w:before="360"/>
      </w:pPr>
      <w:r>
        <w:t xml:space="preserve">3. Radius Dependence — The Effective-Mass (Brus) Model</w:t>
      </w:r>
    </w:p>
    <w:p>
      <w:pPr>
        <w:pStyle w:val="Heading2"/>
        <w:spacing w:after="120" w:before="280"/>
      </w:pPr>
      <w:r>
        <w:t xml:space="preserve">3.1 Infinite-barrier derivation</w:t>
      </w:r>
    </w:p>
    <w:p>
      <w:pPr>
        <w:spacing w:after="160" w:line="276"/>
      </w:pPr>
      <w:r>
        <w:rPr>
          <w:rFonts w:ascii="Calibri" w:cs="Calibri" w:eastAsia="Calibri" w:hAnsi="Calibri"/>
        </w:rPr>
        <w:t xml:space="preserve">Model the QD as a sphere of radius </w:t>
      </w:r>
      <w:r>
        <w:rPr>
          <w:rFonts w:ascii="Calibri" w:cs="Calibri" w:eastAsia="Calibri" w:hAnsi="Calibri"/>
          <w:i/>
          <w:iCs/>
        </w:rPr>
        <w:t xml:space="preserve">R</w:t>
      </w:r>
      <w:r>
        <w:rPr>
          <w:rFonts w:ascii="Calibri" w:cs="Calibri" w:eastAsia="Calibri" w:hAnsi="Calibri"/>
        </w:rPr>
        <w:t xml:space="preserve"> with an infinitely high confining potential at the surface. Solving the single-particle Schrödinger equation separately for the electron and the hole (each treated with its own bulk effective mass, the parabolic-band approximation) gives a ground-state (1S) kinetic confinement energy for each carrier:</w:t>
      </w:r>
    </w:p>
    <w:p>
      <w:pPr>
        <w:pBdr>
          <w:top w:val="single" w:color="D9DEE4" w:sz="2"/>
          <w:bottom w:val="single" w:color="D9DEE4" w:sz="2"/>
        </w:pBdr>
        <w:shd w:fill="F4F6F8" w:val="clear"/>
        <w:spacing w:after="160" w:before="160"/>
        <w:jc w:val="center"/>
      </w:pPr>
      <w:r>
        <w:rPr>
          <w:rFonts w:ascii="Calibri" w:cs="Calibri" w:eastAsia="Calibri" w:hAnsi="Calibri"/>
          <w:i/>
          <w:iCs/>
        </w:rPr>
        <w:t xml:space="preserve">E</w:t>
      </w:r>
      <w:r>
        <w:rPr>
          <w:rFonts w:ascii="Calibri" w:cs="Calibri" w:eastAsia="Calibri" w:hAnsi="Calibri"/>
          <w:vertAlign w:val="subscript"/>
        </w:rPr>
        <w:t xml:space="preserve">conf</w:t>
      </w:r>
      <w:r>
        <w:rPr>
          <w:rFonts w:ascii="Calibri" w:cs="Calibri" w:eastAsia="Calibri" w:hAnsi="Calibri"/>
        </w:rPr>
        <w:t xml:space="preserve"> = ħ²π² / (2</w:t>
      </w:r>
      <w:r>
        <w:rPr>
          <w:rFonts w:ascii="Calibri" w:cs="Calibri" w:eastAsia="Calibri" w:hAnsi="Calibri"/>
          <w:i/>
          <w:iCs/>
        </w:rPr>
        <w:t xml:space="preserve">R</w:t>
      </w:r>
      <w:r>
        <w:rPr>
          <w:rFonts w:ascii="Calibri" w:cs="Calibri" w:eastAsia="Calibri" w:hAnsi="Calibri"/>
          <w:vertAlign w:val="superscript"/>
        </w:rPr>
        <w:t xml:space="preserve">2</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color w:val="555555"/>
        </w:rPr>
        <w:t xml:space="preserve">   (3.1)</w:t>
      </w:r>
    </w:p>
    <w:p>
      <w:pPr>
        <w:spacing w:after="160" w:line="276"/>
      </w:pPr>
      <w:r>
        <w:rPr>
          <w:rFonts w:ascii="Calibri" w:cs="Calibri" w:eastAsia="Calibri" w:hAnsi="Calibri"/>
        </w:rPr>
        <w:t xml:space="preserve">Adding the attractive electron–hole Coulomb interaction (screened by the dielectric constant, treated as a first-order perturbation) gives the full </w:t>
      </w:r>
      <w:r>
        <w:rPr>
          <w:rFonts w:ascii="Calibri" w:cs="Calibri" w:eastAsia="Calibri" w:hAnsi="Calibri"/>
          <w:b/>
          <w:bCs/>
        </w:rPr>
        <w:t xml:space="preserve">Brus equation</w:t>
      </w:r>
      <w:r>
        <w:rPr>
          <w:rFonts w:ascii="Calibri" w:cs="Calibri" w:eastAsia="Calibri" w:hAnsi="Calibri"/>
        </w:rPr>
        <w:t xml:space="preserve">:</w:t>
      </w:r>
    </w:p>
    <w:p>
      <w:pPr>
        <w:pBdr>
          <w:top w:val="single" w:color="D9DEE4" w:sz="2"/>
          <w:bottom w:val="single" w:color="D9DEE4" w:sz="2"/>
        </w:pBdr>
        <w:shd w:fill="F4F6F8" w:val="clear"/>
        <w:spacing w:after="160" w:before="160"/>
        <w:jc w:val="center"/>
      </w:pPr>
      <w:r>
        <w:rPr>
          <w:rFonts w:ascii="Calibri" w:cs="Calibri" w:eastAsia="Calibri" w:hAnsi="Calibri"/>
          <w:i/>
          <w:iCs/>
        </w:rPr>
        <w:t xml:space="preserve">E</w:t>
      </w:r>
      <w:r>
        <w:rPr>
          <w:rFonts w:ascii="Calibri" w:cs="Calibri" w:eastAsia="Calibri" w:hAnsi="Calibri"/>
          <w:vertAlign w:val="subscript"/>
        </w:rPr>
        <w:t xml:space="preserve">g</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vertAlign w:val="subscript"/>
        </w:rPr>
        <w:t xml:space="preserve">g,bulk</w:t>
      </w:r>
      <w:r>
        <w:rPr>
          <w:rFonts w:ascii="Calibri" w:cs="Calibri" w:eastAsia="Calibri" w:hAnsi="Calibri"/>
        </w:rPr>
        <w:t xml:space="preserve"> + ħ²π² / (2</w:t>
      </w:r>
      <w:r>
        <w:rPr>
          <w:rFonts w:ascii="Calibri" w:cs="Calibri" w:eastAsia="Calibri" w:hAnsi="Calibri"/>
          <w:i/>
          <w:iCs/>
        </w:rPr>
        <w:t xml:space="preserve">R</w:t>
      </w:r>
      <w:r>
        <w:rPr>
          <w:rFonts w:ascii="Calibri" w:cs="Calibri" w:eastAsia="Calibri" w:hAnsi="Calibri"/>
          <w:vertAlign w:val="superscript"/>
        </w:rPr>
        <w:t xml:space="preserve">2</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 − 1.8</w:t>
      </w:r>
      <w:r>
        <w:rPr>
          <w:rFonts w:ascii="Calibri" w:cs="Calibri" w:eastAsia="Calibri" w:hAnsi="Calibri"/>
          <w:i/>
          <w:iCs/>
        </w:rPr>
        <w:t xml:space="preserve">e</w:t>
      </w:r>
      <w:r>
        <w:rPr>
          <w:rFonts w:ascii="Calibri" w:cs="Calibri" w:eastAsia="Calibri" w:hAnsi="Calibri"/>
          <w:vertAlign w:val="superscript"/>
        </w:rPr>
        <w:t xml:space="preserve">2</w:t>
      </w:r>
      <w:r>
        <w:rPr>
          <w:rFonts w:ascii="Calibri" w:cs="Calibri" w:eastAsia="Calibri" w:hAnsi="Calibri"/>
        </w:rPr>
        <w:t xml:space="preserve"> / (4π</w:t>
      </w:r>
      <w:r>
        <w:rPr>
          <w:rFonts w:ascii="Calibri" w:cs="Calibri" w:eastAsia="Calibri" w:hAnsi="Calibri"/>
          <w:i/>
          <w:iCs/>
        </w:rPr>
        <w:t xml:space="preserve">ε</w:t>
      </w:r>
      <w:r>
        <w:rPr>
          <w:rFonts w:ascii="Calibri" w:cs="Calibri" w:eastAsia="Calibri" w:hAnsi="Calibri"/>
          <w:vertAlign w:val="subscript"/>
        </w:rPr>
        <w:t xml:space="preserve">0</w:t>
      </w:r>
      <w:r>
        <w:rPr>
          <w:rFonts w:ascii="Calibri" w:cs="Calibri" w:eastAsia="Calibri" w:hAnsi="Calibri"/>
          <w:i/>
          <w:iCs/>
        </w:rPr>
        <w:t xml:space="preserve">ε</w:t>
      </w:r>
      <w:r>
        <w:rPr>
          <w:rFonts w:ascii="Calibri" w:cs="Calibri" w:eastAsia="Calibri" w:hAnsi="Calibri"/>
          <w:vertAlign w:val="subscript"/>
        </w:rPr>
        <w:t xml:space="preserve">r</w:t>
      </w:r>
      <w:r>
        <w:rPr>
          <w:rFonts w:ascii="Calibri" w:cs="Calibri" w:eastAsia="Calibri" w:hAnsi="Calibri"/>
          <w:i/>
          <w:iCs/>
        </w:rPr>
        <w:t xml:space="preserve">R</w:t>
      </w:r>
      <w:r>
        <w:rPr>
          <w:rFonts w:ascii="Calibri" w:cs="Calibri" w:eastAsia="Calibri" w:hAnsi="Calibri"/>
        </w:rPr>
        <w:t xml:space="preserve">)</w:t>
      </w:r>
      <w:r>
        <w:rPr>
          <w:rFonts w:ascii="Calibri" w:cs="Calibri" w:eastAsia="Calibri" w:hAnsi="Calibri"/>
          <w:i/>
          <w:iCs/>
          <w:color w:val="555555"/>
        </w:rPr>
        <w:t xml:space="preserve">   (3.2)</w:t>
      </w:r>
    </w:p>
    <w:p>
      <w:pPr>
        <w:spacing w:after="160" w:line="276"/>
      </w:pPr>
      <w:r>
        <w:rPr>
          <w:rFonts w:ascii="Calibri" w:cs="Calibri" w:eastAsia="Calibri" w:hAnsi="Calibri"/>
        </w:rPr>
        <w:t xml:space="preserve">where </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and </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 are electron and hole effective masses (in units of the free electron mass </w:t>
      </w:r>
      <w:r>
        <w:rPr>
          <w:rFonts w:ascii="Calibri" w:cs="Calibri" w:eastAsia="Calibri" w:hAnsi="Calibri"/>
          <w:i/>
          <w:iCs/>
        </w:rPr>
        <w:t xml:space="preserve">m</w:t>
      </w:r>
      <w:r>
        <w:rPr>
          <w:rFonts w:ascii="Calibri" w:cs="Calibri" w:eastAsia="Calibri" w:hAnsi="Calibri"/>
          <w:vertAlign w:val="subscript"/>
        </w:rPr>
        <w:t xml:space="preserve">0</w:t>
      </w:r>
      <w:r>
        <w:rPr>
          <w:rFonts w:ascii="Calibri" w:cs="Calibri" w:eastAsia="Calibri" w:hAnsi="Calibri"/>
        </w:rPr>
        <w:t xml:space="preserve">), </w:t>
      </w:r>
      <w:r>
        <w:rPr>
          <w:rFonts w:ascii="Calibri" w:cs="Calibri" w:eastAsia="Calibri" w:hAnsi="Calibri"/>
          <w:i/>
          <w:iCs/>
        </w:rPr>
        <w:t xml:space="preserve">ε</w:t>
      </w:r>
      <w:r>
        <w:rPr>
          <w:rFonts w:ascii="Calibri" w:cs="Calibri" w:eastAsia="Calibri" w:hAnsi="Calibri"/>
          <w:vertAlign w:val="subscript"/>
        </w:rPr>
        <w:t xml:space="preserve">r</w:t>
      </w:r>
      <w:r>
        <w:rPr>
          <w:rFonts w:ascii="Calibri" w:cs="Calibri" w:eastAsia="Calibri" w:hAnsi="Calibri"/>
        </w:rPr>
        <w:t xml:space="preserve"> is the (typically static or an intermediate) dielectric constant of the material, and the constant 1.8 is the Coulomb overlap integral for the 1S hydrogenic ground state in a sphere. A third, usually small, term for spatial correlation (~0.248</w:t>
      </w:r>
      <w:r>
        <w:rPr>
          <w:rFonts w:ascii="Calibri" w:cs="Calibri" w:eastAsia="Calibri" w:hAnsi="Calibri"/>
          <w:i/>
          <w:iCs/>
        </w:rPr>
        <w:t xml:space="preserve">E</w:t>
      </w:r>
      <w:r>
        <w:rPr>
          <w:rFonts w:ascii="Calibri" w:cs="Calibri" w:eastAsia="Calibri" w:hAnsi="Calibri"/>
          <w:vertAlign w:val="subscript"/>
        </w:rPr>
        <w:t xml:space="preserve">Ry</w:t>
      </w:r>
      <w:r>
        <w:rPr>
          <w:rFonts w:ascii="Calibri" w:cs="Calibri" w:eastAsia="Calibri" w:hAnsi="Calibri"/>
        </w:rPr>
        <w:t xml:space="preserve">*, the effective Rydberg energy) is sometimes retained for low-dielectric-constant materials but is negligible for most II–VI and IV–VI QDs and is commonly dropped:</w:t>
      </w:r>
    </w:p>
    <w:p>
      <w:pPr>
        <w:pBdr>
          <w:top w:val="single" w:color="D9DEE4" w:sz="2"/>
          <w:bottom w:val="single" w:color="D9DEE4" w:sz="2"/>
        </w:pBdr>
        <w:shd w:fill="F4F6F8" w:val="clear"/>
        <w:spacing w:after="160" w:before="160"/>
        <w:jc w:val="center"/>
      </w:pPr>
      <w:r>
        <w:rPr>
          <w:rFonts w:ascii="Calibri" w:cs="Calibri" w:eastAsia="Calibri" w:hAnsi="Calibri"/>
          <w:i/>
          <w:iCs/>
        </w:rPr>
        <w:t xml:space="preserve">E</w:t>
      </w:r>
      <w:r>
        <w:rPr>
          <w:rFonts w:ascii="Calibri" w:cs="Calibri" w:eastAsia="Calibri" w:hAnsi="Calibri"/>
          <w:vertAlign w:val="subscript"/>
        </w:rPr>
        <w:t xml:space="preserve">g</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vertAlign w:val="subscript"/>
        </w:rPr>
        <w:t xml:space="preserve">g,bulk</w:t>
      </w:r>
      <w:r>
        <w:rPr>
          <w:rFonts w:ascii="Calibri" w:cs="Calibri" w:eastAsia="Calibri" w:hAnsi="Calibri"/>
        </w:rPr>
        <w:t xml:space="preserve"> + ħ²π² / (2</w:t>
      </w:r>
      <w:r>
        <w:rPr>
          <w:rFonts w:ascii="Calibri" w:cs="Calibri" w:eastAsia="Calibri" w:hAnsi="Calibri"/>
          <w:i/>
          <w:iCs/>
        </w:rPr>
        <w:t xml:space="preserve">R</w:t>
      </w:r>
      <w:r>
        <w:rPr>
          <w:rFonts w:ascii="Calibri" w:cs="Calibri" w:eastAsia="Calibri" w:hAnsi="Calibri"/>
          <w:vertAlign w:val="superscript"/>
        </w:rPr>
        <w:t xml:space="preserve">2</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 − 1.8</w:t>
      </w:r>
      <w:r>
        <w:rPr>
          <w:rFonts w:ascii="Calibri" w:cs="Calibri" w:eastAsia="Calibri" w:hAnsi="Calibri"/>
          <w:i/>
          <w:iCs/>
        </w:rPr>
        <w:t xml:space="preserve">e</w:t>
      </w:r>
      <w:r>
        <w:rPr>
          <w:rFonts w:ascii="Calibri" w:cs="Calibri" w:eastAsia="Calibri" w:hAnsi="Calibri"/>
          <w:vertAlign w:val="superscript"/>
        </w:rPr>
        <w:t xml:space="preserve">2</w:t>
      </w:r>
      <w:r>
        <w:rPr>
          <w:rFonts w:ascii="Calibri" w:cs="Calibri" w:eastAsia="Calibri" w:hAnsi="Calibri"/>
        </w:rPr>
        <w:t xml:space="preserve"> / (4π</w:t>
      </w:r>
      <w:r>
        <w:rPr>
          <w:rFonts w:ascii="Calibri" w:cs="Calibri" w:eastAsia="Calibri" w:hAnsi="Calibri"/>
          <w:i/>
          <w:iCs/>
        </w:rPr>
        <w:t xml:space="preserve">ε</w:t>
      </w:r>
      <w:r>
        <w:rPr>
          <w:rFonts w:ascii="Calibri" w:cs="Calibri" w:eastAsia="Calibri" w:hAnsi="Calibri"/>
          <w:vertAlign w:val="subscript"/>
        </w:rPr>
        <w:t xml:space="preserve">0</w:t>
      </w:r>
      <w:r>
        <w:rPr>
          <w:rFonts w:ascii="Calibri" w:cs="Calibri" w:eastAsia="Calibri" w:hAnsi="Calibri"/>
          <w:i/>
          <w:iCs/>
        </w:rPr>
        <w:t xml:space="preserve">ε</w:t>
      </w:r>
      <w:r>
        <w:rPr>
          <w:rFonts w:ascii="Calibri" w:cs="Calibri" w:eastAsia="Calibri" w:hAnsi="Calibri"/>
          <w:vertAlign w:val="subscript"/>
        </w:rPr>
        <w:t xml:space="preserve">r</w:t>
      </w:r>
      <w:r>
        <w:rPr>
          <w:rFonts w:ascii="Calibri" w:cs="Calibri" w:eastAsia="Calibri" w:hAnsi="Calibri"/>
          <w:i/>
          <w:iCs/>
        </w:rPr>
        <w:t xml:space="preserve">R</w:t>
      </w:r>
      <w:r>
        <w:rPr>
          <w:rFonts w:ascii="Calibri" w:cs="Calibri" w:eastAsia="Calibri" w:hAnsi="Calibri"/>
        </w:rPr>
        <w:t xml:space="preserve">) − 0.248</w:t>
      </w:r>
      <w:r>
        <w:rPr>
          <w:rFonts w:ascii="Calibri" w:cs="Calibri" w:eastAsia="Calibri" w:hAnsi="Calibri"/>
          <w:i/>
          <w:iCs/>
        </w:rPr>
        <w:t xml:space="preserve">E</w:t>
      </w:r>
      <w:r>
        <w:rPr>
          <w:rFonts w:ascii="Calibri" w:cs="Calibri" w:eastAsia="Calibri" w:hAnsi="Calibri"/>
          <w:vertAlign w:val="subscript"/>
        </w:rPr>
        <w:t xml:space="preserve">Ry</w:t>
      </w:r>
      <w:r>
        <w:rPr>
          <w:rFonts w:ascii="Calibri" w:cs="Calibri" w:eastAsia="Calibri" w:hAnsi="Calibri"/>
          <w:vertAlign w:val="superscript"/>
        </w:rPr>
        <w:t xml:space="preserve">*</w:t>
      </w:r>
      <w:r>
        <w:rPr>
          <w:rFonts w:ascii="Calibri" w:cs="Calibri" w:eastAsia="Calibri" w:hAnsi="Calibri"/>
          <w:i/>
          <w:iCs/>
          <w:color w:val="555555"/>
        </w:rPr>
        <w:t xml:space="preserve">   (3.3)</w:t>
      </w:r>
    </w:p>
    <w:p>
      <w:pPr>
        <w:spacing w:after="160" w:line="276"/>
      </w:pPr>
      <w:r>
        <w:rPr>
          <w:rFonts w:ascii="Calibri" w:cs="Calibri" w:eastAsia="Calibri" w:hAnsi="Calibri"/>
        </w:rPr>
        <w:t xml:space="preserve">The two competing terms in Eq. 3.2 explain the shape of the size curve: the confinement term scales as 1/</w:t>
      </w:r>
      <w:r>
        <w:rPr>
          <w:rFonts w:ascii="Calibri" w:cs="Calibri" w:eastAsia="Calibri" w:hAnsi="Calibri"/>
          <w:i/>
          <w:iCs/>
        </w:rPr>
        <w:t xml:space="preserve">R</w:t>
      </w:r>
      <w:r>
        <w:rPr>
          <w:rFonts w:ascii="Calibri" w:cs="Calibri" w:eastAsia="Calibri" w:hAnsi="Calibri"/>
          <w:vertAlign w:val="superscript"/>
        </w:rPr>
        <w:t xml:space="preserve">2</w:t>
      </w:r>
      <w:r>
        <w:rPr>
          <w:rFonts w:ascii="Calibri" w:cs="Calibri" w:eastAsia="Calibri" w:hAnsi="Calibri"/>
        </w:rPr>
        <w:t xml:space="preserve"> (dominant at small </w:t>
      </w:r>
      <w:r>
        <w:rPr>
          <w:rFonts w:ascii="Calibri" w:cs="Calibri" w:eastAsia="Calibri" w:hAnsi="Calibri"/>
          <w:i/>
          <w:iCs/>
        </w:rPr>
        <w:t xml:space="preserve">R</w:t>
      </w:r>
      <w:r>
        <w:rPr>
          <w:rFonts w:ascii="Calibri" w:cs="Calibri" w:eastAsia="Calibri" w:hAnsi="Calibri"/>
        </w:rPr>
        <w:t xml:space="preserve">, always blue-shifting) while the Coulomb term scales as 1/</w:t>
      </w:r>
      <w:r>
        <w:rPr>
          <w:rFonts w:ascii="Calibri" w:cs="Calibri" w:eastAsia="Calibri" w:hAnsi="Calibri"/>
          <w:i/>
          <w:iCs/>
        </w:rPr>
        <w:t xml:space="preserve">R</w:t>
      </w:r>
      <w:r>
        <w:rPr>
          <w:rFonts w:ascii="Calibri" w:cs="Calibri" w:eastAsia="Calibri" w:hAnsi="Calibri"/>
        </w:rPr>
        <w:t xml:space="preserve"> (always red-shifting, weaker at small </w:t>
      </w:r>
      <w:r>
        <w:rPr>
          <w:rFonts w:ascii="Calibri" w:cs="Calibri" w:eastAsia="Calibri" w:hAnsi="Calibri"/>
          <w:i/>
          <w:iCs/>
        </w:rPr>
        <w:t xml:space="preserve">R</w:t>
      </w:r>
      <w:r>
        <w:rPr>
          <w:rFonts w:ascii="Calibri" w:cs="Calibri" w:eastAsia="Calibri" w:hAnsi="Calibri"/>
        </w:rPr>
        <w:t xml:space="preserve">). The net result is a monotonic blue shift of </w:t>
      </w:r>
      <w:r>
        <w:rPr>
          <w:rFonts w:ascii="Calibri" w:cs="Calibri" w:eastAsia="Calibri" w:hAnsi="Calibri"/>
          <w:i/>
          <w:iCs/>
        </w:rPr>
        <w:t xml:space="preserve">E</w:t>
      </w:r>
      <w:r>
        <w:rPr>
          <w:rFonts w:ascii="Calibri" w:cs="Calibri" w:eastAsia="Calibri" w:hAnsi="Calibri"/>
          <w:vertAlign w:val="subscript"/>
        </w:rPr>
        <w:t xml:space="preserve">g</w:t>
      </w:r>
      <w:r>
        <w:rPr>
          <w:rFonts w:ascii="Calibri" w:cs="Calibri" w:eastAsia="Calibri" w:hAnsi="Calibri"/>
        </w:rPr>
        <w:t xml:space="preserve"> as </w:t>
      </w:r>
      <w:r>
        <w:rPr>
          <w:rFonts w:ascii="Calibri" w:cs="Calibri" w:eastAsia="Calibri" w:hAnsi="Calibri"/>
          <w:i/>
          <w:iCs/>
        </w:rPr>
        <w:t xml:space="preserve">R</w:t>
      </w:r>
      <w:r>
        <w:rPr>
          <w:rFonts w:ascii="Calibri" w:cs="Calibri" w:eastAsia="Calibri" w:hAnsi="Calibri"/>
        </w:rPr>
        <w:t xml:space="preserve"> decreases, but with a slightly sub-quadratic slope compared to the confinement term alone.</w:t>
      </w:r>
    </w:p>
    <w:p>
      <w:pPr>
        <w:pStyle w:val="Heading2"/>
        <w:spacing w:after="120" w:before="280"/>
      </w:pPr>
      <w:r>
        <w:t xml:space="preserve">3.2 Finite-barrier correction</w:t>
      </w:r>
    </w:p>
    <w:p>
      <w:pPr>
        <w:spacing w:after="160" w:line="276"/>
      </w:pPr>
      <w:r>
        <w:rPr>
          <w:rFonts w:ascii="Calibri" w:cs="Calibri" w:eastAsia="Calibri" w:hAnsi="Calibri"/>
        </w:rPr>
        <w:t xml:space="preserve">Eq. 3.2 assumes an infinite potential wall, which is unphysical — real QDs (bare or ligand-passivated) have a finite barrier </w:t>
      </w:r>
      <w:r>
        <w:rPr>
          <w:rFonts w:ascii="Calibri" w:cs="Calibri" w:eastAsia="Calibri" w:hAnsi="Calibri"/>
          <w:i/>
          <w:iCs/>
        </w:rPr>
        <w:t xml:space="preserve">V</w:t>
      </w:r>
      <w:r>
        <w:rPr>
          <w:rFonts w:ascii="Calibri" w:cs="Calibri" w:eastAsia="Calibri" w:hAnsi="Calibri"/>
          <w:vertAlign w:val="subscript"/>
        </w:rPr>
        <w:t xml:space="preserve">0</w:t>
      </w:r>
      <w:r>
        <w:rPr>
          <w:rFonts w:ascii="Calibri" w:cs="Calibri" w:eastAsia="Calibri" w:hAnsi="Calibri"/>
        </w:rPr>
        <w:t xml:space="preserve"> at the surface, and the wavefunction leaks outside the nanocrystal. This matters most for small </w:t>
      </w:r>
      <w:r>
        <w:rPr>
          <w:rFonts w:ascii="Calibri" w:cs="Calibri" w:eastAsia="Calibri" w:hAnsi="Calibri"/>
          <w:i/>
          <w:iCs/>
        </w:rPr>
        <w:t xml:space="preserve">R</w:t>
      </w:r>
      <w:r>
        <w:rPr>
          <w:rFonts w:ascii="Calibri" w:cs="Calibri" w:eastAsia="Calibri" w:hAnsi="Calibri"/>
        </w:rPr>
        <w:t xml:space="preserve"> and small </w:t>
      </w:r>
      <w:r>
        <w:rPr>
          <w:rFonts w:ascii="Calibri" w:cs="Calibri" w:eastAsia="Calibri" w:hAnsi="Calibri"/>
          <w:i/>
          <w:iCs/>
        </w:rPr>
        <w:t xml:space="preserve">m</w:t>
      </w:r>
      <w:r>
        <w:rPr>
          <w:rFonts w:ascii="Calibri" w:cs="Calibri" w:eastAsia="Calibri" w:hAnsi="Calibri"/>
          <w:vertAlign w:val="superscript"/>
        </w:rPr>
        <w:t xml:space="preserve">*</w:t>
      </w:r>
      <w:r>
        <w:rPr>
          <w:rFonts w:ascii="Calibri" w:cs="Calibri" w:eastAsia="Calibri" w:hAnsi="Calibri"/>
        </w:rPr>
        <w:t xml:space="preserve">, where Eq. 3.2 systematically </w:t>
      </w:r>
      <w:r>
        <w:rPr>
          <w:rFonts w:ascii="Calibri" w:cs="Calibri" w:eastAsia="Calibri" w:hAnsi="Calibri"/>
          <w:b/>
          <w:bCs/>
        </w:rPr>
        <w:t xml:space="preserve">overestimates</w:t>
      </w:r>
      <w:r>
        <w:rPr>
          <w:rFonts w:ascii="Calibri" w:cs="Calibri" w:eastAsia="Calibri" w:hAnsi="Calibri"/>
        </w:rPr>
        <w:t xml:space="preserve"> the blue shift. The finite-depth spherical well replaces the boundary condition </w:t>
      </w:r>
      <w:r>
        <w:rPr>
          <w:rFonts w:ascii="Calibri" w:cs="Calibri" w:eastAsia="Calibri" w:hAnsi="Calibri"/>
          <w:i/>
          <w:iCs/>
        </w:rPr>
        <w:t xml:space="preserve">ψ</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 0 with a transcendental matching condition. For a 1S state with barrier height </w:t>
      </w:r>
      <w:r>
        <w:rPr>
          <w:rFonts w:ascii="Calibri" w:cs="Calibri" w:eastAsia="Calibri" w:hAnsi="Calibri"/>
          <w:i/>
          <w:iCs/>
        </w:rPr>
        <w:t xml:space="preserve">V</w:t>
      </w:r>
      <w:r>
        <w:rPr>
          <w:rFonts w:ascii="Calibri" w:cs="Calibri" w:eastAsia="Calibri" w:hAnsi="Calibri"/>
          <w:vertAlign w:val="subscript"/>
        </w:rPr>
        <w:t xml:space="preserve">0</w:t>
      </w:r>
      <w:r>
        <w:rPr>
          <w:rFonts w:ascii="Calibri" w:cs="Calibri" w:eastAsia="Calibri" w:hAnsi="Calibri"/>
        </w:rPr>
        <w:t xml:space="preserve">, the confinement energy </w:t>
      </w:r>
      <w:r>
        <w:rPr>
          <w:rFonts w:ascii="Calibri" w:cs="Calibri" w:eastAsia="Calibri" w:hAnsi="Calibri"/>
          <w:i/>
          <w:iCs/>
        </w:rPr>
        <w:t xml:space="preserve">E</w:t>
      </w:r>
      <w:r>
        <w:rPr>
          <w:rFonts w:ascii="Calibri" w:cs="Calibri" w:eastAsia="Calibri" w:hAnsi="Calibri"/>
        </w:rPr>
        <w:t xml:space="preserve"> (relative to the well bottom) solves:</w:t>
      </w:r>
    </w:p>
    <w:p>
      <w:pPr>
        <w:pBdr>
          <w:top w:val="single" w:color="D9DEE4" w:sz="2"/>
          <w:bottom w:val="single" w:color="D9DEE4" w:sz="2"/>
        </w:pBdr>
        <w:shd w:fill="F4F6F8" w:val="clear"/>
        <w:spacing w:after="160" w:before="160"/>
        <w:jc w:val="center"/>
      </w:pPr>
      <w:r>
        <w:rPr>
          <w:rFonts w:ascii="Calibri" w:cs="Calibri" w:eastAsia="Calibri" w:hAnsi="Calibri"/>
        </w:rPr>
        <w:t xml:space="preserve">−</w:t>
      </w:r>
      <w:r>
        <w:rPr>
          <w:rFonts w:ascii="Calibri" w:cs="Calibri" w:eastAsia="Calibri" w:hAnsi="Calibri"/>
          <w:i/>
          <w:iCs/>
        </w:rPr>
        <w:t xml:space="preserve">k</w:t>
      </w:r>
      <w:r>
        <w:rPr>
          <w:rFonts w:ascii="Calibri" w:cs="Calibri" w:eastAsia="Calibri" w:hAnsi="Calibri"/>
        </w:rPr>
        <w:t xml:space="preserve"> cot(</w:t>
      </w:r>
      <w:r>
        <w:rPr>
          <w:rFonts w:ascii="Calibri" w:cs="Calibri" w:eastAsia="Calibri" w:hAnsi="Calibri"/>
          <w:i/>
          <w:iCs/>
        </w:rPr>
        <w:t xml:space="preserve">kR</w:t>
      </w:r>
      <w:r>
        <w:rPr>
          <w:rFonts w:ascii="Calibri" w:cs="Calibri" w:eastAsia="Calibri" w:hAnsi="Calibri"/>
        </w:rPr>
        <w:t xml:space="preserve">) = </w:t>
      </w:r>
      <w:r>
        <w:rPr>
          <w:rFonts w:ascii="Calibri" w:cs="Calibri" w:eastAsia="Calibri" w:hAnsi="Calibri"/>
          <w:i/>
          <w:iCs/>
        </w:rPr>
        <w:t xml:space="preserve">κ</w:t>
      </w:r>
      <w:r>
        <w:rPr>
          <w:rFonts w:ascii="Calibri" w:cs="Calibri" w:eastAsia="Calibri" w:hAnsi="Calibri"/>
        </w:rPr>
        <w:t xml:space="preserve">   with   </w:t>
      </w:r>
      <w:r>
        <w:rPr>
          <w:rFonts w:ascii="Calibri" w:cs="Calibri" w:eastAsia="Calibri" w:hAnsi="Calibri"/>
          <w:i/>
          <w:iCs/>
        </w:rPr>
        <w:t xml:space="preserve">k</w:t>
      </w:r>
      <w:r>
        <w:rPr>
          <w:rFonts w:ascii="Calibri" w:cs="Calibri" w:eastAsia="Calibri" w:hAnsi="Calibri"/>
        </w:rPr>
        <w:t xml:space="preserve"> = </w:t>
      </w:r>
      <w:r>
        <w:rPr>
          <w:rFonts w:ascii="Calibri" w:cs="Calibri" w:eastAsia="Calibri" w:hAnsi="Calibri"/>
        </w:rPr>
        <w:t xml:space="preserve">√(2</w:t>
      </w:r>
      <w:r>
        <w:rPr>
          <w:rFonts w:ascii="Calibri" w:cs="Calibri" w:eastAsia="Calibri" w:hAnsi="Calibri"/>
          <w:i/>
          <w:iCs/>
        </w:rPr>
        <w:t xml:space="preserve">m</w:t>
      </w:r>
      <w:r>
        <w:rPr>
          <w:rFonts w:ascii="Calibri" w:cs="Calibri" w:eastAsia="Calibri" w:hAnsi="Calibri"/>
          <w:vertAlign w:val="subscript"/>
        </w:rPr>
        <w:t xml:space="preserve">in</w:t>
      </w:r>
      <w:r>
        <w:rPr>
          <w:rFonts w:ascii="Calibri" w:cs="Calibri" w:eastAsia="Calibri" w:hAnsi="Calibri"/>
          <w:vertAlign w:val="superscript"/>
        </w:rPr>
        <w:t xml:space="preserve">*</w:t>
      </w:r>
      <w:r>
        <w:rPr>
          <w:rFonts w:ascii="Calibri" w:cs="Calibri" w:eastAsia="Calibri" w:hAnsi="Calibri"/>
          <w:i/>
          <w:iCs/>
        </w:rPr>
        <w:t xml:space="preserve">E</w:t>
      </w:r>
      <w:r>
        <w:rPr>
          <w:rFonts w:ascii="Calibri" w:cs="Calibri" w:eastAsia="Calibri" w:hAnsi="Calibri"/>
        </w:rPr>
        <w:t xml:space="preserve">) / ħ</w:t>
      </w:r>
      <w:r>
        <w:rPr>
          <w:rFonts w:ascii="Calibri" w:cs="Calibri" w:eastAsia="Calibri" w:hAnsi="Calibri"/>
        </w:rPr>
        <w:t xml:space="preserve">,   </w:t>
      </w:r>
      <w:r>
        <w:rPr>
          <w:rFonts w:ascii="Calibri" w:cs="Calibri" w:eastAsia="Calibri" w:hAnsi="Calibri"/>
          <w:i/>
          <w:iCs/>
        </w:rPr>
        <w:t xml:space="preserve">κ</w:t>
      </w:r>
      <w:r>
        <w:rPr>
          <w:rFonts w:ascii="Calibri" w:cs="Calibri" w:eastAsia="Calibri" w:hAnsi="Calibri"/>
        </w:rPr>
        <w:t xml:space="preserve"> = </w:t>
      </w:r>
      <w:r>
        <w:rPr>
          <w:rFonts w:ascii="Calibri" w:cs="Calibri" w:eastAsia="Calibri" w:hAnsi="Calibri"/>
        </w:rPr>
        <w:t xml:space="preserve">√(2</w:t>
      </w:r>
      <w:r>
        <w:rPr>
          <w:rFonts w:ascii="Calibri" w:cs="Calibri" w:eastAsia="Calibri" w:hAnsi="Calibri"/>
          <w:i/>
          <w:iCs/>
        </w:rPr>
        <w:t xml:space="preserve">m</w:t>
      </w:r>
      <w:r>
        <w:rPr>
          <w:rFonts w:ascii="Calibri" w:cs="Calibri" w:eastAsia="Calibri" w:hAnsi="Calibri"/>
          <w:vertAlign w:val="subscript"/>
        </w:rPr>
        <w:t xml:space="preserve">out</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V</w:t>
      </w:r>
      <w:r>
        <w:rPr>
          <w:rFonts w:ascii="Calibri" w:cs="Calibri" w:eastAsia="Calibri" w:hAnsi="Calibri"/>
          <w:vertAlign w:val="subscript"/>
        </w:rPr>
        <w:t xml:space="preserve">0</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rPr>
        <w:t xml:space="preserve">)) / ħ</w:t>
      </w:r>
      <w:r>
        <w:rPr>
          <w:rFonts w:ascii="Calibri" w:cs="Calibri" w:eastAsia="Calibri" w:hAnsi="Calibri"/>
          <w:i/>
          <w:iCs/>
          <w:color w:val="555555"/>
        </w:rPr>
        <w:t xml:space="preserve">   (3.4)</w:t>
      </w:r>
    </w:p>
    <w:p>
      <w:pPr>
        <w:spacing w:after="160" w:line="276"/>
      </w:pPr>
      <w:r>
        <w:rPr>
          <w:rFonts w:ascii="Calibri" w:cs="Calibri" w:eastAsia="Calibri" w:hAnsi="Calibri"/>
        </w:rPr>
        <w:t xml:space="preserve">solved numerically (bisection or shooting method — see Section 6) rather than in closed form. For </w:t>
      </w:r>
      <w:r>
        <w:rPr>
          <w:rFonts w:ascii="Calibri" w:cs="Calibri" w:eastAsia="Calibri" w:hAnsi="Calibri"/>
          <w:i/>
          <w:iCs/>
        </w:rPr>
        <w:t xml:space="preserve">V</w:t>
      </w:r>
      <w:r>
        <w:rPr>
          <w:rFonts w:ascii="Calibri" w:cs="Calibri" w:eastAsia="Calibri" w:hAnsi="Calibri"/>
          <w:vertAlign w:val="subscript"/>
        </w:rPr>
        <w:t xml:space="preserve">0</w:t>
      </w:r>
      <w:r>
        <w:rPr>
          <w:rFonts w:ascii="Calibri" w:cs="Calibri" w:eastAsia="Calibri" w:hAnsi="Calibri"/>
        </w:rPr>
        <w:t xml:space="preserve"> → ∞ this recovers Eq. 3.1 exactly. Typical organic-ligand or vacuum barriers used in the literature are </w:t>
      </w:r>
      <w:r>
        <w:rPr>
          <w:rFonts w:ascii="Calibri" w:cs="Calibri" w:eastAsia="Calibri" w:hAnsi="Calibri"/>
          <w:i/>
          <w:iCs/>
        </w:rPr>
        <w:t xml:space="preserve">V</w:t>
      </w:r>
      <w:r>
        <w:rPr>
          <w:rFonts w:ascii="Calibri" w:cs="Calibri" w:eastAsia="Calibri" w:hAnsi="Calibri"/>
          <w:vertAlign w:val="subscript"/>
        </w:rPr>
        <w:t xml:space="preserve">0</w:t>
      </w:r>
      <w:r>
        <w:rPr>
          <w:rFonts w:ascii="Calibri" w:cs="Calibri" w:eastAsia="Calibri" w:hAnsi="Calibri"/>
        </w:rPr>
        <w:t xml:space="preserve"> ≈ 2–4 eV for the electron and similarly for the hole; for core/shell QDs, </w:t>
      </w:r>
      <w:r>
        <w:rPr>
          <w:rFonts w:ascii="Calibri" w:cs="Calibri" w:eastAsia="Calibri" w:hAnsi="Calibri"/>
          <w:i/>
          <w:iCs/>
        </w:rPr>
        <w:t xml:space="preserve">V</w:t>
      </w:r>
      <w:r>
        <w:rPr>
          <w:rFonts w:ascii="Calibri" w:cs="Calibri" w:eastAsia="Calibri" w:hAnsi="Calibri"/>
          <w:vertAlign w:val="subscript"/>
        </w:rPr>
        <w:t xml:space="preserve">0</w:t>
      </w:r>
      <w:r>
        <w:rPr>
          <w:rFonts w:ascii="Calibri" w:cs="Calibri" w:eastAsia="Calibri" w:hAnsi="Calibri"/>
        </w:rPr>
        <w:t xml:space="preserve"> is replaced by the actual band offset of the shell material (Section 4), which is the physically correct and strongly recommended approach for any simulator aiming for quantitative accuracy.</w:t>
      </w:r>
    </w:p>
    <w:p>
      <w:pPr>
        <w:pStyle w:val="Heading2"/>
        <w:spacing w:after="120" w:before="280"/>
      </w:pPr>
      <w:r>
        <w:t xml:space="preserve">3.3 Known limitations of the EMA/Brus approach</w:t>
      </w:r>
    </w:p>
    <w:p>
      <w:pPr>
        <w:pStyle w:val="ListParagraph"/>
        <w:numPr>
          <w:ilvl w:val="0"/>
          <w:numId w:val="3"/>
        </w:numPr>
        <w:spacing w:after="100"/>
      </w:pPr>
      <w:r>
        <w:rPr>
          <w:rFonts w:ascii="Calibri" w:cs="Calibri" w:eastAsia="Calibri" w:hAnsi="Calibri"/>
        </w:rPr>
        <w:t xml:space="preserve">Breaks down below roughly 1.5–2 nm radius, where the parabolic-band, bulk-effective-mass assumption fails and atomistic effects (tight-binding, pseudopotential, or DFT) are needed. Below this size the effective mass itself becomes size-dependent.</w:t>
      </w:r>
    </w:p>
    <w:p>
      <w:pPr>
        <w:pStyle w:val="ListParagraph"/>
        <w:numPr>
          <w:ilvl w:val="0"/>
          <w:numId w:val="3"/>
        </w:numPr>
        <w:spacing w:after="100"/>
      </w:pPr>
      <w:r>
        <w:rPr>
          <w:rFonts w:ascii="Calibri" w:cs="Calibri" w:eastAsia="Calibri" w:hAnsi="Calibri"/>
        </w:rPr>
        <w:t xml:space="preserve">Assumes a perfect sphere; real QDs are often faceted, and shape anisotropy shifts and splits levels.</w:t>
      </w:r>
    </w:p>
    <w:p>
      <w:pPr>
        <w:pStyle w:val="ListParagraph"/>
        <w:numPr>
          <w:ilvl w:val="0"/>
          <w:numId w:val="3"/>
        </w:numPr>
        <w:spacing w:after="100"/>
      </w:pPr>
      <w:r>
        <w:rPr>
          <w:rFonts w:ascii="Calibri" w:cs="Calibri" w:eastAsia="Calibri" w:hAnsi="Calibri"/>
        </w:rPr>
        <w:t xml:space="preserve">Assumes parabolic, isotropic bands; this is a poor approximation for PbS/PbSe (multivalley, non-parabolic) and for the valence bands of wurtzite II–VI materials (heavy hole/light hole/split-off structure). Section 5 flags which materials need the multiband correction.</w:t>
      </w:r>
    </w:p>
    <w:p>
      <w:pPr>
        <w:pStyle w:val="ListParagraph"/>
        <w:numPr>
          <w:ilvl w:val="0"/>
          <w:numId w:val="3"/>
        </w:numPr>
        <w:spacing w:after="100"/>
      </w:pPr>
      <w:r>
        <w:rPr>
          <w:rFonts w:ascii="Calibri" w:cs="Calibri" w:eastAsia="Calibri" w:hAnsi="Calibri"/>
        </w:rPr>
        <w:t xml:space="preserve">Ignores surface/trap states, dielectric confinement (image-charge) corrections at the QD/ligand interface, and electron–hole exchange (which splits bright/dark exciton states by a few to tens of meV — usually irrelevant for a band-gap-only simulator but relevant for fine-structure or PL linewidth work).</w:t>
      </w:r>
    </w:p>
    <w:p>
      <w:pPr>
        <w:spacing w:after="160" w:line="276"/>
      </w:pPr>
      <w:r>
        <w:rPr>
          <w:rFonts w:ascii="Calibri" w:cs="Calibri" w:eastAsia="Calibri" w:hAnsi="Calibri"/>
          <w:b/>
          <w:bCs/>
        </w:rPr>
        <w:t xml:space="preserve">Practical guidance: </w:t>
      </w:r>
      <w:r>
        <w:rPr>
          <w:rFonts w:ascii="Calibri" w:cs="Calibri" w:eastAsia="Calibri" w:hAnsi="Calibri"/>
        </w:rPr>
        <w:t xml:space="preserve">use Eq. 3.2 (infinite well) as the fast default; use Eq. 3.4 (finite well, numerically solved) when accuracy below ~2–3 nm matters or when modeling a shell explicitly; flag results below ~1.5 nm radius as EMA-unreliable in the UI.</w:t>
      </w:r>
    </w:p>
    <w:p>
      <w:pPr>
        <w:pStyle w:val="Heading1"/>
        <w:spacing w:after="160" w:before="360"/>
      </w:pPr>
      <w:r>
        <w:t xml:space="preserve">4. Core/Shell Structures</w:t>
      </w:r>
    </w:p>
    <w:p>
      <w:pPr>
        <w:pStyle w:val="Heading2"/>
        <w:spacing w:after="120" w:before="280"/>
      </w:pPr>
      <w:r>
        <w:t xml:space="preserve">4.1 Classification by band alignment</w:t>
      </w:r>
    </w:p>
    <w:p>
      <w:pPr>
        <w:spacing w:after="160" w:line="276"/>
      </w:pPr>
      <w:r>
        <w:rPr>
          <w:rFonts w:ascii="Calibri" w:cs="Calibri" w:eastAsia="Calibri" w:hAnsi="Calibri"/>
        </w:rPr>
        <w:t xml:space="preserve">Coating a core nanocrystal with a shell of a second semiconductor changes the confinement potential from a single finite well to a two- (or multi-) region step potential defined by the </w:t>
      </w:r>
      <w:r>
        <w:rPr>
          <w:rFonts w:ascii="Calibri" w:cs="Calibri" w:eastAsia="Calibri" w:hAnsi="Calibri"/>
          <w:b/>
          <w:bCs/>
        </w:rPr>
        <w:t xml:space="preserve">conduction- and valence-band offsets</w:t>
      </w:r>
      <w:r>
        <w:rPr>
          <w:rFonts w:ascii="Calibri" w:cs="Calibri" w:eastAsia="Calibri" w:hAnsi="Calibri"/>
        </w:rPr>
        <w:t xml:space="preserve"> between core and shell. The resulting electronic structure falls into three regimes, determined entirely by how the core and shell band edges line 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600"/>
        <w:gridCol w:w="2300"/>
      </w:tblGrid>
      <w:tr>
        <w:trPr>
          <w:tblHeader/>
        </w:trPr>
        <w:tc>
          <w:tcPr>
            <w:tcW w:type="dxa" w:w="14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Type</w:t>
            </w:r>
          </w:p>
        </w:tc>
        <w:tc>
          <w:tcPr>
            <w:tcW w:type="dxa" w:w="29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Band alignment</w:t>
            </w:r>
          </w:p>
        </w:tc>
        <w:tc>
          <w:tcPr>
            <w:tcW w:type="dxa" w:w="26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Carrier localization</w:t>
            </w:r>
          </w:p>
        </w:tc>
        <w:tc>
          <w:tcPr>
            <w:tcW w:type="dxa" w:w="23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Example systems</w:t>
            </w:r>
          </w:p>
        </w:tc>
      </w:tr>
      <w:tr>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Type I</w:t>
            </w:r>
          </w:p>
        </w:tc>
        <w:tc>
          <w:tcPr>
            <w:tcW w:type="dxa" w:w="2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Shell CB above core CB; shell VB below core VB (shell gap fully straddles core gap)</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Both electron and hole confined in the core</w:t>
            </w:r>
          </w:p>
        </w:tc>
        <w:tc>
          <w:tcPr>
            <w:tcW w:type="dxa" w:w="2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CdSe/ZnS, CdSe/CdS (thin shell), InP/ZnS</w:t>
            </w:r>
          </w:p>
        </w:tc>
      </w:tr>
      <w:tr>
        <w:tc>
          <w:tcPr>
            <w:tcW w:type="dxa" w:w="14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Quasi-Type II</w:t>
            </w:r>
          </w:p>
        </w:tc>
        <w:tc>
          <w:tcPr>
            <w:tcW w:type="dxa" w:w="2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One band edge (usually CB) nearly aligned between core/shell; the other has a large offset</w:t>
            </w:r>
          </w:p>
        </w:tc>
        <w:tc>
          <w:tcPr>
            <w:tcW w:type="dxa" w:w="26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One carrier confined to core; the other delocalized over core+shell</w:t>
            </w:r>
          </w:p>
        </w:tc>
        <w:tc>
          <w:tcPr>
            <w:tcW w:type="dxa" w:w="23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CdSe/CdS (thick shell), PbS/CdS</w:t>
            </w:r>
          </w:p>
        </w:tc>
      </w:tr>
      <w:tr>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Type II</w:t>
            </w:r>
          </w:p>
        </w:tc>
        <w:tc>
          <w:tcPr>
            <w:tcW w:type="dxa" w:w="2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CB and VB both offset in the same direction (staggered gaps)</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Electron and hole spatially separated into different regions (core vs. shell)</w:t>
            </w:r>
          </w:p>
        </w:tc>
        <w:tc>
          <w:tcPr>
            <w:tcW w:type="dxa" w:w="2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CdTe/CdSe, ZnTe/ZnSe, CdSe/ZnTe</w:t>
            </w:r>
          </w:p>
        </w:tc>
      </w:tr>
    </w:tbl>
    <w:p>
      <w:pPr>
        <w:spacing w:after="240" w:before="60"/>
        <w:jc w:val="center"/>
      </w:pPr>
      <w:r>
        <w:rPr>
          <w:rFonts w:ascii="Calibri" w:cs="Calibri" w:eastAsia="Calibri" w:hAnsi="Calibri"/>
          <w:i/>
          <w:iCs/>
          <w:color w:val="555555"/>
          <w:sz w:val="20"/>
          <w:szCs w:val="20"/>
        </w:rPr>
        <w:t xml:space="preserve">Table 4.1 — Core/shell band-alignment classification. The type is not a material constant alone — it can depend on core size and shell thickness, since confinement shifts the effective (size-dependent) band edges relative to each other.</w:t>
      </w:r>
    </w:p>
    <w:p>
      <w:pPr>
        <w:pStyle w:val="Heading2"/>
        <w:spacing w:after="120" w:before="280"/>
      </w:pPr>
      <w:r>
        <w:t xml:space="preserve">4.2 Multi-region effective-mass model</w:t>
      </w:r>
    </w:p>
    <w:p>
      <w:pPr>
        <w:spacing w:after="160" w:line="276"/>
      </w:pPr>
      <w:r>
        <w:rPr>
          <w:rFonts w:ascii="Calibri" w:cs="Calibri" w:eastAsia="Calibri" w:hAnsi="Calibri"/>
        </w:rPr>
        <w:t xml:space="preserve">The rigorous approach solves the radial envelope-function Schrödinger equation separately in each region (core, shell, and — if modeled — outer barrier/ligand layer), using the </w:t>
      </w:r>
      <w:r>
        <w:rPr>
          <w:rFonts w:ascii="Calibri" w:cs="Calibri" w:eastAsia="Calibri" w:hAnsi="Calibri"/>
          <w:b/>
          <w:bCs/>
        </w:rPr>
        <w:t xml:space="preserve">position-dependent effective mass</w:t>
      </w:r>
      <w:r>
        <w:rPr>
          <w:rFonts w:ascii="Calibri" w:cs="Calibri" w:eastAsia="Calibri" w:hAnsi="Calibri"/>
        </w:rPr>
        <w:t xml:space="preserve"> and a step confinement potential built from the band offsets:</w:t>
      </w:r>
    </w:p>
    <w:p>
      <w:pPr>
        <w:pBdr>
          <w:top w:val="single" w:color="D9DEE4" w:sz="2"/>
          <w:bottom w:val="single" w:color="D9DEE4" w:sz="2"/>
        </w:pBdr>
        <w:shd w:fill="F4F6F8" w:val="clear"/>
        <w:spacing w:after="160" w:before="160"/>
        <w:jc w:val="center"/>
      </w:pPr>
      <w:r>
        <w:rPr>
          <w:rFonts w:ascii="Calibri" w:cs="Calibri" w:eastAsia="Calibri" w:hAnsi="Calibri"/>
        </w:rPr>
        <w:t xml:space="preserve">[ −ħ²/2 · d/d</w:t>
      </w:r>
      <w:r>
        <w:rPr>
          <w:rFonts w:ascii="Calibri" w:cs="Calibri" w:eastAsia="Calibri" w:hAnsi="Calibri"/>
          <w:i/>
          <w:iCs/>
        </w:rPr>
        <w:t xml:space="preserve">r</w:t>
      </w:r>
      <w:r>
        <w:rPr>
          <w:rFonts w:ascii="Calibri" w:cs="Calibri" w:eastAsia="Calibri" w:hAnsi="Calibri"/>
        </w:rPr>
        <w:t xml:space="preserve"> (1/</w:t>
      </w:r>
      <w:r>
        <w:rPr>
          <w:rFonts w:ascii="Calibri" w:cs="Calibri" w:eastAsia="Calibri" w:hAnsi="Calibri"/>
          <w:i/>
          <w:iCs/>
        </w:rPr>
        <w:t xml:space="preserve">m</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 d/d</w:t>
      </w:r>
      <w:r>
        <w:rPr>
          <w:rFonts w:ascii="Calibri" w:cs="Calibri" w:eastAsia="Calibri" w:hAnsi="Calibri"/>
          <w:i/>
          <w:iCs/>
        </w:rPr>
        <w:t xml:space="preserve">r</w:t>
      </w:r>
      <w:r>
        <w:rPr>
          <w:rFonts w:ascii="Calibri" w:cs="Calibri" w:eastAsia="Calibri" w:hAnsi="Calibri"/>
        </w:rPr>
        <w:t xml:space="preserve"> + </w:t>
      </w:r>
      <w:r>
        <w:rPr>
          <w:rFonts w:ascii="Calibri" w:cs="Calibri" w:eastAsia="Calibri" w:hAnsi="Calibri"/>
          <w:i/>
          <w:iCs/>
        </w:rPr>
        <w:t xml:space="preserve">l</w:t>
      </w:r>
      <w:r>
        <w:rPr>
          <w:rFonts w:ascii="Calibri" w:cs="Calibri" w:eastAsia="Calibri" w:hAnsi="Calibri"/>
        </w:rPr>
        <w:t xml:space="preserve">(</w:t>
      </w:r>
      <w:r>
        <w:rPr>
          <w:rFonts w:ascii="Calibri" w:cs="Calibri" w:eastAsia="Calibri" w:hAnsi="Calibri"/>
          <w:i/>
          <w:iCs/>
        </w:rPr>
        <w:t xml:space="preserve">l</w:t>
      </w:r>
      <w:r>
        <w:rPr>
          <w:rFonts w:ascii="Calibri" w:cs="Calibri" w:eastAsia="Calibri" w:hAnsi="Calibri"/>
        </w:rPr>
        <w:t xml:space="preserve">+1)ħ²/(2</w:t>
      </w:r>
      <w:r>
        <w:rPr>
          <w:rFonts w:ascii="Calibri" w:cs="Calibri" w:eastAsia="Calibri" w:hAnsi="Calibri"/>
          <w:i/>
          <w:iCs/>
        </w:rPr>
        <w:t xml:space="preserve">m</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vertAlign w:val="superscript"/>
        </w:rPr>
        <w:t xml:space="preserve">2</w:t>
      </w:r>
      <w:r>
        <w:rPr>
          <w:rFonts w:ascii="Calibri" w:cs="Calibri" w:eastAsia="Calibri" w:hAnsi="Calibri"/>
        </w:rPr>
        <w:t xml:space="preserve">) + </w:t>
      </w:r>
      <w:r>
        <w:rPr>
          <w:rFonts w:ascii="Calibri" w:cs="Calibri" w:eastAsia="Calibri" w:hAnsi="Calibri"/>
          <w:i/>
          <w:iCs/>
        </w:rPr>
        <w:t xml:space="preserve">V</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 </w:t>
      </w:r>
      <w:r>
        <w:rPr>
          <w:rFonts w:ascii="Calibri" w:cs="Calibri" w:eastAsia="Calibri" w:hAnsi="Calibri"/>
          <w:i/>
          <w:iCs/>
        </w:rPr>
        <w:t xml:space="preserve">u</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rPr>
        <w:t xml:space="preserve"> </w:t>
      </w:r>
      <w:r>
        <w:rPr>
          <w:rFonts w:ascii="Calibri" w:cs="Calibri" w:eastAsia="Calibri" w:hAnsi="Calibri"/>
          <w:i/>
          <w:iCs/>
        </w:rPr>
        <w:t xml:space="preserve">u</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w:t>
      </w:r>
      <w:r>
        <w:rPr>
          <w:rFonts w:ascii="Calibri" w:cs="Calibri" w:eastAsia="Calibri" w:hAnsi="Calibri"/>
          <w:i/>
          <w:iCs/>
          <w:color w:val="555555"/>
        </w:rPr>
        <w:t xml:space="preserve">   (4.1)</w:t>
      </w:r>
    </w:p>
    <w:p>
      <w:pPr>
        <w:spacing w:after="160" w:line="276"/>
      </w:pPr>
      <w:r>
        <w:rPr>
          <w:rFonts w:ascii="Calibri" w:cs="Calibri" w:eastAsia="Calibri" w:hAnsi="Calibri"/>
        </w:rPr>
        <w:t xml:space="preserve">where </w:t>
      </w:r>
      <w:r>
        <w:rPr>
          <w:rFonts w:ascii="Calibri" w:cs="Calibri" w:eastAsia="Calibri" w:hAnsi="Calibri"/>
          <w:i/>
          <w:iCs/>
        </w:rPr>
        <w:t xml:space="preserve">u</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 </w:t>
      </w:r>
      <w:r>
        <w:rPr>
          <w:rFonts w:ascii="Calibri" w:cs="Calibri" w:eastAsia="Calibri" w:hAnsi="Calibri"/>
          <w:i/>
          <w:iCs/>
        </w:rPr>
        <w:t xml:space="preserve">r</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vertAlign w:val="subscript"/>
        </w:rPr>
        <w:t xml:space="preserve">nl</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is the reduced radial wavefunction, </w:t>
      </w:r>
      <w:r>
        <w:rPr>
          <w:rFonts w:ascii="Calibri" w:cs="Calibri" w:eastAsia="Calibri" w:hAnsi="Calibri"/>
          <w:i/>
          <w:iCs/>
        </w:rPr>
        <w:t xml:space="preserve">l</w:t>
      </w:r>
      <w:r>
        <w:rPr>
          <w:rFonts w:ascii="Calibri" w:cs="Calibri" w:eastAsia="Calibri" w:hAnsi="Calibri"/>
        </w:rPr>
        <w:t xml:space="preserve"> is the orbital angular momentum quantum number (l = 0 for the ground 1S state), and </w:t>
      </w:r>
      <w:r>
        <w:rPr>
          <w:rFonts w:ascii="Calibri" w:cs="Calibri" w:eastAsia="Calibri" w:hAnsi="Calibri"/>
          <w:i/>
          <w:iCs/>
        </w:rPr>
        <w:t xml:space="preserve">V</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is a piecewise-constant step function equal to 0 in the core and to the appropriate band offset (ΔEc for the electron equation, ΔEv for the hole equation) in the shell. At each interface, the physically correct matching (BenDaniel–Duke) boundary condition is continuity of </w:t>
      </w:r>
      <w:r>
        <w:rPr>
          <w:rFonts w:ascii="Calibri" w:cs="Calibri" w:eastAsia="Calibri" w:hAnsi="Calibri"/>
          <w:i/>
          <w:iCs/>
        </w:rPr>
        <w:t xml:space="preserve">u</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w:t>
      </w:r>
      <w:r>
        <w:rPr>
          <w:rFonts w:ascii="Calibri" w:cs="Calibri" w:eastAsia="Calibri" w:hAnsi="Calibri"/>
          <w:b/>
          <w:bCs/>
        </w:rPr>
        <w:t xml:space="preserve">and</w:t>
      </w:r>
      <w:r>
        <w:rPr>
          <w:rFonts w:ascii="Calibri" w:cs="Calibri" w:eastAsia="Calibri" w:hAnsi="Calibri"/>
        </w:rPr>
        <w:t xml:space="preserve"> continuity of (1/</w:t>
      </w:r>
      <w:r>
        <w:rPr>
          <w:rFonts w:ascii="Calibri" w:cs="Calibri" w:eastAsia="Calibri" w:hAnsi="Calibri"/>
          <w:i/>
          <w:iCs/>
        </w:rPr>
        <w:t xml:space="preserve">m</w:t>
      </w:r>
      <w:r>
        <w:rPr>
          <w:rFonts w:ascii="Calibri" w:cs="Calibri" w:eastAsia="Calibri" w:hAnsi="Calibri"/>
          <w:vertAlign w:val="superscript"/>
        </w:rPr>
        <w:t xml:space="preserve">*</w:t>
      </w:r>
      <w:r>
        <w:rPr>
          <w:rFonts w:ascii="Calibri" w:cs="Calibri" w:eastAsia="Calibri" w:hAnsi="Calibri"/>
        </w:rPr>
        <w:t xml:space="preserve">)·d</w:t>
      </w:r>
      <w:r>
        <w:rPr>
          <w:rFonts w:ascii="Calibri" w:cs="Calibri" w:eastAsia="Calibri" w:hAnsi="Calibri"/>
          <w:i/>
          <w:iCs/>
        </w:rPr>
        <w:t xml:space="preserve">u</w:t>
      </w:r>
      <w:r>
        <w:rPr>
          <w:rFonts w:ascii="Calibri" w:cs="Calibri" w:eastAsia="Calibri" w:hAnsi="Calibri"/>
        </w:rPr>
        <w:t xml:space="preserve">/d</w:t>
      </w:r>
      <w:r>
        <w:rPr>
          <w:rFonts w:ascii="Calibri" w:cs="Calibri" w:eastAsia="Calibri" w:hAnsi="Calibri"/>
          <w:i/>
          <w:iCs/>
        </w:rPr>
        <w:t xml:space="preserve">r</w:t>
      </w:r>
      <w:r>
        <w:rPr>
          <w:rFonts w:ascii="Calibri" w:cs="Calibri" w:eastAsia="Calibri" w:hAnsi="Calibri"/>
        </w:rPr>
        <w:t xml:space="preserve"> — </w:t>
      </w:r>
      <w:r>
        <w:rPr>
          <w:rFonts w:ascii="Calibri" w:cs="Calibri" w:eastAsia="Calibri" w:hAnsi="Calibri"/>
          <w:b/>
          <w:bCs/>
        </w:rPr>
        <w:t xml:space="preserve">not</w:t>
      </w:r>
      <w:r>
        <w:rPr>
          <w:rFonts w:ascii="Calibri" w:cs="Calibri" w:eastAsia="Calibri" w:hAnsi="Calibri"/>
        </w:rPr>
        <w:t xml:space="preserve"> continuity of the plain derivative, because the effective mass changes discontinuously at the interface:</w:t>
      </w:r>
    </w:p>
    <w:p>
      <w:pPr>
        <w:pBdr>
          <w:top w:val="single" w:color="D9DEE4" w:sz="2"/>
          <w:bottom w:val="single" w:color="D9DEE4" w:sz="2"/>
        </w:pBdr>
        <w:shd w:fill="F4F6F8" w:val="clear"/>
        <w:spacing w:after="160" w:before="160"/>
        <w:jc w:val="center"/>
      </w:pPr>
      <w:r>
        <w:rPr>
          <w:rFonts w:ascii="Calibri" w:cs="Calibri" w:eastAsia="Calibri" w:hAnsi="Calibri"/>
          <w:i/>
          <w:iCs/>
        </w:rPr>
        <w:t xml:space="preserve">u</w:t>
      </w:r>
      <w:r>
        <w:rPr>
          <w:rFonts w:ascii="Calibri" w:cs="Calibri" w:eastAsia="Calibri" w:hAnsi="Calibri"/>
          <w:vertAlign w:val="subscript"/>
        </w:rPr>
        <w:t xml:space="preserve">core</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vertAlign w:val="subscript"/>
        </w:rPr>
        <w:t xml:space="preserve">0</w:t>
      </w:r>
      <w:r>
        <w:rPr>
          <w:rFonts w:ascii="Calibri" w:cs="Calibri" w:eastAsia="Calibri" w:hAnsi="Calibri"/>
        </w:rPr>
        <w:t xml:space="preserve">) = </w:t>
      </w:r>
      <w:r>
        <w:rPr>
          <w:rFonts w:ascii="Calibri" w:cs="Calibri" w:eastAsia="Calibri" w:hAnsi="Calibri"/>
          <w:i/>
          <w:iCs/>
        </w:rPr>
        <w:t xml:space="preserve">u</w:t>
      </w:r>
      <w:r>
        <w:rPr>
          <w:rFonts w:ascii="Calibri" w:cs="Calibri" w:eastAsia="Calibri" w:hAnsi="Calibri"/>
          <w:vertAlign w:val="subscript"/>
        </w:rPr>
        <w:t xml:space="preserve">shell</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vertAlign w:val="subscript"/>
        </w:rPr>
        <w:t xml:space="preserve">0</w:t>
      </w:r>
      <w:r>
        <w:rPr>
          <w:rFonts w:ascii="Calibri" w:cs="Calibri" w:eastAsia="Calibri" w:hAnsi="Calibri"/>
        </w:rPr>
        <w:t xml:space="preserve">)</w:t>
      </w:r>
      <w:r>
        <w:rPr>
          <w:rFonts w:ascii="Calibri" w:cs="Calibri" w:eastAsia="Calibri" w:hAnsi="Calibri"/>
        </w:rPr>
        <w:t xml:space="preserve">    ;    </w:t>
      </w:r>
      <w:r>
        <w:rPr>
          <w:rFonts w:ascii="Calibri" w:cs="Calibri" w:eastAsia="Calibri" w:hAnsi="Calibri"/>
        </w:rPr>
        <w:t xml:space="preserve">(1/</w:t>
      </w:r>
      <w:r>
        <w:rPr>
          <w:rFonts w:ascii="Calibri" w:cs="Calibri" w:eastAsia="Calibri" w:hAnsi="Calibri"/>
          <w:i/>
          <w:iCs/>
        </w:rPr>
        <w:t xml:space="preserve">m</w:t>
      </w:r>
      <w:r>
        <w:rPr>
          <w:rFonts w:ascii="Calibri" w:cs="Calibri" w:eastAsia="Calibri" w:hAnsi="Calibri"/>
          <w:vertAlign w:val="subscript"/>
        </w:rPr>
        <w:t xml:space="preserve">core</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u</w:t>
      </w:r>
      <w:r>
        <w:rPr>
          <w:rFonts w:ascii="Calibri" w:cs="Calibri" w:eastAsia="Calibri" w:hAnsi="Calibri"/>
          <w:vertAlign w:val="subscript"/>
        </w:rPr>
        <w:t xml:space="preserve">core</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vertAlign w:val="subscript"/>
        </w:rPr>
        <w:t xml:space="preserve">0</w:t>
      </w:r>
      <w:r>
        <w:rPr>
          <w:rFonts w:ascii="Calibri" w:cs="Calibri" w:eastAsia="Calibri" w:hAnsi="Calibri"/>
        </w:rPr>
        <w:t xml:space="preserve">) = (1/</w:t>
      </w:r>
      <w:r>
        <w:rPr>
          <w:rFonts w:ascii="Calibri" w:cs="Calibri" w:eastAsia="Calibri" w:hAnsi="Calibri"/>
          <w:i/>
          <w:iCs/>
        </w:rPr>
        <w:t xml:space="preserve">m</w:t>
      </w:r>
      <w:r>
        <w:rPr>
          <w:rFonts w:ascii="Calibri" w:cs="Calibri" w:eastAsia="Calibri" w:hAnsi="Calibri"/>
          <w:vertAlign w:val="subscript"/>
        </w:rPr>
        <w:t xml:space="preserve">shell</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u</w:t>
      </w:r>
      <w:r>
        <w:rPr>
          <w:rFonts w:ascii="Calibri" w:cs="Calibri" w:eastAsia="Calibri" w:hAnsi="Calibri"/>
          <w:vertAlign w:val="subscript"/>
        </w:rPr>
        <w:t xml:space="preserve">shell</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vertAlign w:val="subscript"/>
        </w:rPr>
        <w:t xml:space="preserve">0</w:t>
      </w:r>
      <w:r>
        <w:rPr>
          <w:rFonts w:ascii="Calibri" w:cs="Calibri" w:eastAsia="Calibri" w:hAnsi="Calibri"/>
        </w:rPr>
        <w:t xml:space="preserve">)</w:t>
      </w:r>
      <w:r>
        <w:rPr>
          <w:rFonts w:ascii="Calibri" w:cs="Calibri" w:eastAsia="Calibri" w:hAnsi="Calibri"/>
          <w:i/>
          <w:iCs/>
          <w:color w:val="555555"/>
        </w:rPr>
        <w:t xml:space="preserve">   (4.2)</w:t>
      </w:r>
    </w:p>
    <w:p>
      <w:pPr>
        <w:spacing w:after="160" w:line="276"/>
      </w:pPr>
      <w:r>
        <w:rPr>
          <w:rFonts w:ascii="Calibri" w:cs="Calibri" w:eastAsia="Calibri" w:hAnsi="Calibri"/>
        </w:rPr>
        <w:t xml:space="preserve">Solve Eq. 4.1 independently for the electron (mass </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offset ΔEc) and the hole (mass </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 offset ΔEv) to get ground-state energies </w:t>
      </w:r>
      <w:r>
        <w:rPr>
          <w:rFonts w:ascii="Calibri" w:cs="Calibri" w:eastAsia="Calibri" w:hAnsi="Calibri"/>
          <w:i/>
          <w:iCs/>
        </w:rPr>
        <w:t xml:space="preserve">E</w:t>
      </w:r>
      <w:r>
        <w:rPr>
          <w:rFonts w:ascii="Calibri" w:cs="Calibri" w:eastAsia="Calibri" w:hAnsi="Calibri"/>
          <w:vertAlign w:val="subscript"/>
        </w:rPr>
        <w:t xml:space="preserve">e</w:t>
      </w:r>
      <w:r>
        <w:rPr>
          <w:rFonts w:ascii="Calibri" w:cs="Calibri" w:eastAsia="Calibri" w:hAnsi="Calibri"/>
        </w:rPr>
        <w:t xml:space="preserve"> and </w:t>
      </w:r>
      <w:r>
        <w:rPr>
          <w:rFonts w:ascii="Calibri" w:cs="Calibri" w:eastAsia="Calibri" w:hAnsi="Calibri"/>
          <w:i/>
          <w:iCs/>
        </w:rPr>
        <w:t xml:space="preserve">E</w:t>
      </w:r>
      <w:r>
        <w:rPr>
          <w:rFonts w:ascii="Calibri" w:cs="Calibri" w:eastAsia="Calibri" w:hAnsi="Calibri"/>
          <w:vertAlign w:val="subscript"/>
        </w:rPr>
        <w:t xml:space="preserve">h</w:t>
      </w:r>
      <w:r>
        <w:rPr>
          <w:rFonts w:ascii="Calibri" w:cs="Calibri" w:eastAsia="Calibri" w:hAnsi="Calibri"/>
        </w:rPr>
        <w:t xml:space="preserve">. The effective optical gap of the core/shell QD is then:</w:t>
      </w:r>
    </w:p>
    <w:p>
      <w:pPr>
        <w:pBdr>
          <w:top w:val="single" w:color="D9DEE4" w:sz="2"/>
          <w:bottom w:val="single" w:color="D9DEE4" w:sz="2"/>
        </w:pBdr>
        <w:shd w:fill="F4F6F8" w:val="clear"/>
        <w:spacing w:after="160" w:before="160"/>
        <w:jc w:val="center"/>
      </w:pPr>
      <w:r>
        <w:rPr>
          <w:rFonts w:ascii="Calibri" w:cs="Calibri" w:eastAsia="Calibri" w:hAnsi="Calibri"/>
          <w:i/>
          <w:iCs/>
        </w:rPr>
        <w:t xml:space="preserve">E</w:t>
      </w:r>
      <w:r>
        <w:rPr>
          <w:rFonts w:ascii="Calibri" w:cs="Calibri" w:eastAsia="Calibri" w:hAnsi="Calibri"/>
          <w:vertAlign w:val="subscript"/>
        </w:rPr>
        <w:t xml:space="preserve">g,QD</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vertAlign w:val="subscript"/>
        </w:rPr>
        <w:t xml:space="preserve">g,core</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vertAlign w:val="subscript"/>
        </w:rPr>
        <w:t xml:space="preserve">e</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vertAlign w:val="subscript"/>
        </w:rPr>
        <w:t xml:space="preserve">h</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vertAlign w:val="subscript"/>
        </w:rPr>
        <w:t xml:space="preserve">b</w:t>
      </w:r>
      <w:r>
        <w:rPr>
          <w:rFonts w:ascii="Calibri" w:cs="Calibri" w:eastAsia="Calibri" w:hAnsi="Calibri"/>
        </w:rPr>
        <w:t xml:space="preserve">(electron–hole binding, Coulomb + polarization)</w:t>
      </w:r>
      <w:r>
        <w:rPr>
          <w:rFonts w:ascii="Calibri" w:cs="Calibri" w:eastAsia="Calibri" w:hAnsi="Calibri"/>
          <w:i/>
          <w:iCs/>
          <w:color w:val="555555"/>
        </w:rPr>
        <w:t xml:space="preserve">   (4.3)</w:t>
      </w:r>
    </w:p>
    <w:p>
      <w:pPr>
        <w:spacing w:after="160" w:line="276"/>
      </w:pPr>
      <w:r>
        <w:rPr>
          <w:rFonts w:ascii="Calibri" w:cs="Calibri" w:eastAsia="Calibri" w:hAnsi="Calibri"/>
        </w:rPr>
        <w:t xml:space="preserve">This is the same overlap-and-add structure as Eq. 3.2/3.3, but now </w:t>
      </w:r>
      <w:r>
        <w:rPr>
          <w:rFonts w:ascii="Calibri" w:cs="Calibri" w:eastAsia="Calibri" w:hAnsi="Calibri"/>
          <w:i/>
          <w:iCs/>
        </w:rPr>
        <w:t xml:space="preserve">E</w:t>
      </w:r>
      <w:r>
        <w:rPr>
          <w:rFonts w:ascii="Calibri" w:cs="Calibri" w:eastAsia="Calibri" w:hAnsi="Calibri"/>
          <w:vertAlign w:val="subscript"/>
        </w:rPr>
        <w:t xml:space="preserve">e</w:t>
      </w:r>
      <w:r>
        <w:rPr>
          <w:rFonts w:ascii="Calibri" w:cs="Calibri" w:eastAsia="Calibri" w:hAnsi="Calibri"/>
        </w:rPr>
        <w:t xml:space="preserve"> and </w:t>
      </w:r>
      <w:r>
        <w:rPr>
          <w:rFonts w:ascii="Calibri" w:cs="Calibri" w:eastAsia="Calibri" w:hAnsi="Calibri"/>
          <w:i/>
          <w:iCs/>
        </w:rPr>
        <w:t xml:space="preserve">E</w:t>
      </w:r>
      <w:r>
        <w:rPr>
          <w:rFonts w:ascii="Calibri" w:cs="Calibri" w:eastAsia="Calibri" w:hAnsi="Calibri"/>
          <w:vertAlign w:val="subscript"/>
        </w:rPr>
        <w:t xml:space="preserve">h</w:t>
      </w:r>
      <w:r>
        <w:rPr>
          <w:rFonts w:ascii="Calibri" w:cs="Calibri" w:eastAsia="Calibri" w:hAnsi="Calibri"/>
        </w:rPr>
        <w:t xml:space="preserve"> come from the numerical two- (or three-) region solve rather than the closed-form infinite-well result, and </w:t>
      </w:r>
      <w:r>
        <w:rPr>
          <w:rFonts w:ascii="Calibri" w:cs="Calibri" w:eastAsia="Calibri" w:hAnsi="Calibri"/>
          <w:i/>
          <w:iCs/>
        </w:rPr>
        <w:t xml:space="preserve">E</w:t>
      </w:r>
      <w:r>
        <w:rPr>
          <w:rFonts w:ascii="Calibri" w:cs="Calibri" w:eastAsia="Calibri" w:hAnsi="Calibri"/>
          <w:vertAlign w:val="subscript"/>
        </w:rPr>
        <w:t xml:space="preserve">b</w:t>
      </w:r>
      <w:r>
        <w:rPr>
          <w:rFonts w:ascii="Calibri" w:cs="Calibri" w:eastAsia="Calibri" w:hAnsi="Calibri"/>
        </w:rPr>
        <w:t xml:space="preserve"> should include a dielectric-mismatch (image-charge) correction if the core, shell, and surrounding medium have significantly different dielectric constants — this term can be a sizeable fraction of an eV in thin-shell QDs and should not be neglected in a high-accuracy simulator.</w:t>
      </w:r>
    </w:p>
    <w:p>
      <w:pPr>
        <w:pStyle w:val="Heading2"/>
        <w:spacing w:after="120" w:before="280"/>
      </w:pPr>
      <w:r>
        <w:t xml:space="preserve">4.3 Determining the band offsets</w:t>
      </w:r>
    </w:p>
    <w:p>
      <w:pPr>
        <w:spacing w:after="160" w:line="276"/>
      </w:pPr>
      <w:r>
        <w:rPr>
          <w:rFonts w:ascii="Calibri" w:cs="Calibri" w:eastAsia="Calibri" w:hAnsi="Calibri"/>
        </w:rPr>
        <w:t xml:space="preserve">ΔEc and ΔEv are not free — they follow from the bulk electron affinities (or, more rigorously, from an internally consistent band-alignment reference such as Van de Walle's model-solid theory / natural band offsets). A simple and simulator-friendly approach:</w:t>
      </w:r>
    </w:p>
    <w:p>
      <w:pPr>
        <w:pStyle w:val="ListParagraph"/>
        <w:numPr>
          <w:ilvl w:val="0"/>
          <w:numId w:val="3"/>
        </w:numPr>
        <w:spacing w:after="100"/>
      </w:pPr>
      <w:r>
        <w:rPr>
          <w:rFonts w:ascii="Calibri" w:cs="Calibri" w:eastAsia="Calibri" w:hAnsi="Calibri"/>
        </w:rPr>
        <w:t xml:space="preserve">Look up (or maintain in your parameter table) the vacuum-referenced conduction-band-minimum and valence-band-maximum energies for each candidate material at its bulk lattice constant.</w:t>
      </w:r>
    </w:p>
    <w:p>
      <w:pPr>
        <w:pStyle w:val="ListParagraph"/>
        <w:numPr>
          <w:ilvl w:val="0"/>
          <w:numId w:val="3"/>
        </w:numPr>
        <w:spacing w:after="100"/>
      </w:pPr>
      <w:r>
        <w:rPr>
          <w:rFonts w:ascii="Calibri" w:cs="Calibri" w:eastAsia="Calibri" w:hAnsi="Calibri"/>
        </w:rPr>
        <w:t xml:space="preserve">ΔEc = CBM(shell) − CBM(core); ΔEv = VBM(core) − VBM(shell). A positive value means the corresponding shell band edge presents an energetic barrier to that carrier remaining in the core.</w:t>
      </w:r>
    </w:p>
    <w:p>
      <w:pPr>
        <w:pStyle w:val="ListParagraph"/>
        <w:numPr>
          <w:ilvl w:val="0"/>
          <w:numId w:val="3"/>
        </w:numPr>
        <w:spacing w:after="100"/>
      </w:pPr>
      <w:r>
        <w:rPr>
          <w:rFonts w:ascii="Calibri" w:cs="Calibri" w:eastAsia="Calibri" w:hAnsi="Calibri"/>
        </w:rPr>
        <w:t xml:space="preserve">Representative literature values worth hard-coding as defaults: CdSe/CdS conduction-band offset is small and debated, roughly 0 to 0.3 eV (this ambiguity is exactly why CdSe/CdS transitions from Type I at thin shells to quasi-Type II at thick shells); CdSe/ZnS is a deep Type I well with a conduction-band offset on the order of 0.9 eV and valence-band offset on the order of 0.5 eV; PbS/CdS is Type I with a conduction-band offset of roughly 0.5 eV.</w:t>
      </w:r>
    </w:p>
    <w:p>
      <w:pPr>
        <w:spacing w:after="160" w:line="276"/>
      </w:pPr>
      <w:r>
        <w:rPr>
          <w:rFonts w:ascii="Calibri" w:cs="Calibri" w:eastAsia="Calibri" w:hAnsi="Calibri"/>
          <w:b/>
          <w:bCs/>
        </w:rPr>
        <w:t xml:space="preserve">Implementation note: </w:t>
      </w:r>
      <w:r>
        <w:rPr>
          <w:rFonts w:ascii="Calibri" w:cs="Calibri" w:eastAsia="Calibri" w:hAnsi="Calibri"/>
        </w:rPr>
        <w:t xml:space="preserve">expose ΔEc and ΔEv as directly editable parameters (with literature defaults per material pair) rather than hard-derived-only quantities — published offset values disagree by a few tenths of an eV across methods, and a simulator intended for design work benefits from letting the user calibrate against a known experimental data point.</w:t>
      </w:r>
    </w:p>
    <w:p>
      <w:pPr>
        <w:pStyle w:val="Heading2"/>
        <w:spacing w:after="120" w:before="280"/>
      </w:pPr>
      <w:r>
        <w:t xml:space="preserve">4.4 Strain from lattice mismatch</w:t>
      </w:r>
    </w:p>
    <w:p>
      <w:pPr>
        <w:spacing w:after="160" w:line="276"/>
      </w:pPr>
      <w:r>
        <w:rPr>
          <w:rFonts w:ascii="Calibri" w:cs="Calibri" w:eastAsia="Calibri" w:hAnsi="Calibri"/>
        </w:rPr>
        <w:t xml:space="preserve">Because the core and shell are different crystals, a shell grown epitaxially onto a core almost always has a different unstrained lattice constant, producing interfacial strain. The lattice mismatch is:</w:t>
      </w:r>
    </w:p>
    <w:p>
      <w:pPr>
        <w:pBdr>
          <w:top w:val="single" w:color="D9DEE4" w:sz="2"/>
          <w:bottom w:val="single" w:color="D9DEE4" w:sz="2"/>
        </w:pBdr>
        <w:shd w:fill="F4F6F8" w:val="clear"/>
        <w:spacing w:after="160" w:before="160"/>
        <w:jc w:val="center"/>
      </w:pPr>
      <w:r>
        <w:rPr>
          <w:rFonts w:ascii="Calibri" w:cs="Calibri" w:eastAsia="Calibri" w:hAnsi="Calibri"/>
          <w:i/>
          <w:iCs/>
        </w:rPr>
        <w:t xml:space="preserve">η</w:t>
      </w:r>
      <w:r>
        <w:rPr>
          <w:rFonts w:ascii="Calibri" w:cs="Calibri" w:eastAsia="Calibri" w:hAnsi="Calibri"/>
        </w:rPr>
        <w:t xml:space="preserve"> = (</w:t>
      </w:r>
      <w:r>
        <w:rPr>
          <w:rFonts w:ascii="Calibri" w:cs="Calibri" w:eastAsia="Calibri" w:hAnsi="Calibri"/>
          <w:i/>
          <w:iCs/>
        </w:rPr>
        <w:t xml:space="preserve">a</w:t>
      </w:r>
      <w:r>
        <w:rPr>
          <w:rFonts w:ascii="Calibri" w:cs="Calibri" w:eastAsia="Calibri" w:hAnsi="Calibri"/>
          <w:vertAlign w:val="subscript"/>
        </w:rPr>
        <w:t xml:space="preserve">shell</w:t>
      </w:r>
      <w:r>
        <w:rPr>
          <w:rFonts w:ascii="Calibri" w:cs="Calibri" w:eastAsia="Calibri" w:hAnsi="Calibri"/>
        </w:rPr>
        <w:t xml:space="preserve"> − </w:t>
      </w:r>
      <w:r>
        <w:rPr>
          <w:rFonts w:ascii="Calibri" w:cs="Calibri" w:eastAsia="Calibri" w:hAnsi="Calibri"/>
          <w:i/>
          <w:iCs/>
        </w:rPr>
        <w:t xml:space="preserve">a</w:t>
      </w:r>
      <w:r>
        <w:rPr>
          <w:rFonts w:ascii="Calibri" w:cs="Calibri" w:eastAsia="Calibri" w:hAnsi="Calibri"/>
          <w:vertAlign w:val="subscript"/>
        </w:rPr>
        <w:t xml:space="preserve">core</w:t>
      </w:r>
      <w:r>
        <w:rPr>
          <w:rFonts w:ascii="Calibri" w:cs="Calibri" w:eastAsia="Calibri" w:hAnsi="Calibri"/>
        </w:rPr>
        <w:t xml:space="preserve">) / </w:t>
      </w:r>
      <w:r>
        <w:rPr>
          <w:rFonts w:ascii="Calibri" w:cs="Calibri" w:eastAsia="Calibri" w:hAnsi="Calibri"/>
          <w:i/>
          <w:iCs/>
        </w:rPr>
        <w:t xml:space="preserve">a</w:t>
      </w:r>
      <w:r>
        <w:rPr>
          <w:rFonts w:ascii="Calibri" w:cs="Calibri" w:eastAsia="Calibri" w:hAnsi="Calibri"/>
          <w:vertAlign w:val="subscript"/>
        </w:rPr>
        <w:t xml:space="preserve">core</w:t>
      </w:r>
      <w:r>
        <w:rPr>
          <w:rFonts w:ascii="Calibri" w:cs="Calibri" w:eastAsia="Calibri" w:hAnsi="Calibri"/>
          <w:i/>
          <w:iCs/>
          <w:color w:val="555555"/>
        </w:rPr>
        <w:t xml:space="preserve">   (4.4)</w:t>
      </w:r>
    </w:p>
    <w:p>
      <w:pPr>
        <w:spacing w:after="160" w:line="276"/>
      </w:pPr>
      <w:r>
        <w:rPr>
          <w:rFonts w:ascii="Calibri" w:cs="Calibri" w:eastAsia="Calibri" w:hAnsi="Calibri"/>
        </w:rPr>
        <w:t xml:space="preserve">For a spherically symmetric core/shell system, the resulting radial strain field can be obtained from continuum elasticity theory (matching radial stress and displacement at the interface, using each material's bulk modulus and shear modulus). Once the strain tensor is known, it shifts the local band edges through deformation-potential theory (Van de Walle formalism):</w:t>
      </w:r>
    </w:p>
    <w:p>
      <w:pPr>
        <w:pBdr>
          <w:top w:val="single" w:color="D9DEE4" w:sz="2"/>
          <w:bottom w:val="single" w:color="D9DEE4" w:sz="2"/>
        </w:pBdr>
        <w:shd w:fill="F4F6F8" w:val="clear"/>
        <w:spacing w:after="160" w:before="160"/>
        <w:jc w:val="center"/>
      </w:pPr>
      <w:r>
        <w:rPr>
          <w:rFonts w:ascii="Calibri" w:cs="Calibri" w:eastAsia="Calibri" w:hAnsi="Calibri"/>
        </w:rPr>
        <w:t xml:space="preserve">Δ</w:t>
      </w:r>
      <w:r>
        <w:rPr>
          <w:rFonts w:ascii="Calibri" w:cs="Calibri" w:eastAsia="Calibri" w:hAnsi="Calibri"/>
          <w:i/>
          <w:iCs/>
        </w:rPr>
        <w:t xml:space="preserve">E</w:t>
      </w:r>
      <w:r>
        <w:rPr>
          <w:rFonts w:ascii="Calibri" w:cs="Calibri" w:eastAsia="Calibri" w:hAnsi="Calibri"/>
          <w:vertAlign w:val="subscript"/>
        </w:rPr>
        <w:t xml:space="preserve">c</w:t>
      </w:r>
      <w:r>
        <w:rPr>
          <w:rFonts w:ascii="Calibri" w:cs="Calibri" w:eastAsia="Calibri" w:hAnsi="Calibri"/>
        </w:rPr>
        <w:t xml:space="preserve"> = </w:t>
      </w:r>
      <w:r>
        <w:rPr>
          <w:rFonts w:ascii="Calibri" w:cs="Calibri" w:eastAsia="Calibri" w:hAnsi="Calibri"/>
          <w:i/>
          <w:iCs/>
        </w:rPr>
        <w:t xml:space="preserve">a</w:t>
      </w:r>
      <w:r>
        <w:rPr>
          <w:rFonts w:ascii="Calibri" w:cs="Calibri" w:eastAsia="Calibri" w:hAnsi="Calibri"/>
          <w:vertAlign w:val="subscript"/>
        </w:rPr>
        <w:t xml:space="preserve">c</w:t>
      </w:r>
      <w:r>
        <w:rPr>
          <w:rFonts w:ascii="Calibri" w:cs="Calibri" w:eastAsia="Calibri" w:hAnsi="Calibri"/>
        </w:rPr>
        <w:t xml:space="preserve">·(</w:t>
      </w:r>
      <w:r>
        <w:rPr>
          <w:rFonts w:ascii="Calibri" w:cs="Calibri" w:eastAsia="Calibri" w:hAnsi="Calibri"/>
          <w:i/>
          <w:iCs/>
        </w:rPr>
        <w:t xml:space="preserve">ε</w:t>
      </w:r>
      <w:r>
        <w:rPr>
          <w:rFonts w:ascii="Calibri" w:cs="Calibri" w:eastAsia="Calibri" w:hAnsi="Calibri"/>
          <w:vertAlign w:val="subscript"/>
        </w:rPr>
        <w:t xml:space="preserve">xx</w:t>
      </w:r>
      <w:r>
        <w:rPr>
          <w:rFonts w:ascii="Calibri" w:cs="Calibri" w:eastAsia="Calibri" w:hAnsi="Calibri"/>
        </w:rPr>
        <w:t xml:space="preserve"> + </w:t>
      </w:r>
      <w:r>
        <w:rPr>
          <w:rFonts w:ascii="Calibri" w:cs="Calibri" w:eastAsia="Calibri" w:hAnsi="Calibri"/>
          <w:i/>
          <w:iCs/>
        </w:rPr>
        <w:t xml:space="preserve">ε</w:t>
      </w:r>
      <w:r>
        <w:rPr>
          <w:rFonts w:ascii="Calibri" w:cs="Calibri" w:eastAsia="Calibri" w:hAnsi="Calibri"/>
          <w:vertAlign w:val="subscript"/>
        </w:rPr>
        <w:t xml:space="preserve">yy</w:t>
      </w:r>
      <w:r>
        <w:rPr>
          <w:rFonts w:ascii="Calibri" w:cs="Calibri" w:eastAsia="Calibri" w:hAnsi="Calibri"/>
        </w:rPr>
        <w:t xml:space="preserve"> + </w:t>
      </w:r>
      <w:r>
        <w:rPr>
          <w:rFonts w:ascii="Calibri" w:cs="Calibri" w:eastAsia="Calibri" w:hAnsi="Calibri"/>
          <w:i/>
          <w:iCs/>
        </w:rPr>
        <w:t xml:space="preserve">ε</w:t>
      </w:r>
      <w:r>
        <w:rPr>
          <w:rFonts w:ascii="Calibri" w:cs="Calibri" w:eastAsia="Calibri" w:hAnsi="Calibri"/>
          <w:vertAlign w:val="subscript"/>
        </w:rPr>
        <w:t xml:space="preserve">zz</w:t>
      </w:r>
      <w:r>
        <w:rPr>
          <w:rFonts w:ascii="Calibri" w:cs="Calibri" w:eastAsia="Calibri" w:hAnsi="Calibri"/>
        </w:rPr>
        <w:t xml:space="preserve">)     ;     Δ</w:t>
      </w:r>
      <w:r>
        <w:rPr>
          <w:rFonts w:ascii="Calibri" w:cs="Calibri" w:eastAsia="Calibri" w:hAnsi="Calibri"/>
          <w:i/>
          <w:iCs/>
        </w:rPr>
        <w:t xml:space="preserve">E</w:t>
      </w:r>
      <w:r>
        <w:rPr>
          <w:rFonts w:ascii="Calibri" w:cs="Calibri" w:eastAsia="Calibri" w:hAnsi="Calibri"/>
          <w:vertAlign w:val="subscript"/>
        </w:rPr>
        <w:t xml:space="preserve">v,hydro</w:t>
      </w:r>
      <w:r>
        <w:rPr>
          <w:rFonts w:ascii="Calibri" w:cs="Calibri" w:eastAsia="Calibri" w:hAnsi="Calibri"/>
        </w:rPr>
        <w:t xml:space="preserve"> = </w:t>
      </w:r>
      <w:r>
        <w:rPr>
          <w:rFonts w:ascii="Calibri" w:cs="Calibri" w:eastAsia="Calibri" w:hAnsi="Calibri"/>
          <w:i/>
          <w:iCs/>
        </w:rPr>
        <w:t xml:space="preserve">a</w:t>
      </w:r>
      <w:r>
        <w:rPr>
          <w:rFonts w:ascii="Calibri" w:cs="Calibri" w:eastAsia="Calibri" w:hAnsi="Calibri"/>
          <w:vertAlign w:val="subscript"/>
        </w:rPr>
        <w:t xml:space="preserve">v</w:t>
      </w:r>
      <w:r>
        <w:rPr>
          <w:rFonts w:ascii="Calibri" w:cs="Calibri" w:eastAsia="Calibri" w:hAnsi="Calibri"/>
        </w:rPr>
        <w:t xml:space="preserve">·(</w:t>
      </w:r>
      <w:r>
        <w:rPr>
          <w:rFonts w:ascii="Calibri" w:cs="Calibri" w:eastAsia="Calibri" w:hAnsi="Calibri"/>
          <w:i/>
          <w:iCs/>
        </w:rPr>
        <w:t xml:space="preserve">ε</w:t>
      </w:r>
      <w:r>
        <w:rPr>
          <w:rFonts w:ascii="Calibri" w:cs="Calibri" w:eastAsia="Calibri" w:hAnsi="Calibri"/>
          <w:vertAlign w:val="subscript"/>
        </w:rPr>
        <w:t xml:space="preserve">xx</w:t>
      </w:r>
      <w:r>
        <w:rPr>
          <w:rFonts w:ascii="Calibri" w:cs="Calibri" w:eastAsia="Calibri" w:hAnsi="Calibri"/>
        </w:rPr>
        <w:t xml:space="preserve"> + </w:t>
      </w:r>
      <w:r>
        <w:rPr>
          <w:rFonts w:ascii="Calibri" w:cs="Calibri" w:eastAsia="Calibri" w:hAnsi="Calibri"/>
          <w:i/>
          <w:iCs/>
        </w:rPr>
        <w:t xml:space="preserve">ε</w:t>
      </w:r>
      <w:r>
        <w:rPr>
          <w:rFonts w:ascii="Calibri" w:cs="Calibri" w:eastAsia="Calibri" w:hAnsi="Calibri"/>
          <w:vertAlign w:val="subscript"/>
        </w:rPr>
        <w:t xml:space="preserve">yy</w:t>
      </w:r>
      <w:r>
        <w:rPr>
          <w:rFonts w:ascii="Calibri" w:cs="Calibri" w:eastAsia="Calibri" w:hAnsi="Calibri"/>
        </w:rPr>
        <w:t xml:space="preserve"> + </w:t>
      </w:r>
      <w:r>
        <w:rPr>
          <w:rFonts w:ascii="Calibri" w:cs="Calibri" w:eastAsia="Calibri" w:hAnsi="Calibri"/>
          <w:i/>
          <w:iCs/>
        </w:rPr>
        <w:t xml:space="preserve">ε</w:t>
      </w:r>
      <w:r>
        <w:rPr>
          <w:rFonts w:ascii="Calibri" w:cs="Calibri" w:eastAsia="Calibri" w:hAnsi="Calibri"/>
          <w:vertAlign w:val="subscript"/>
        </w:rPr>
        <w:t xml:space="preserve">zz</w:t>
      </w:r>
      <w:r>
        <w:rPr>
          <w:rFonts w:ascii="Calibri" w:cs="Calibri" w:eastAsia="Calibri" w:hAnsi="Calibri"/>
        </w:rPr>
        <w:t xml:space="preserve">)</w:t>
      </w:r>
      <w:r>
        <w:rPr>
          <w:rFonts w:ascii="Calibri" w:cs="Calibri" w:eastAsia="Calibri" w:hAnsi="Calibri"/>
          <w:i/>
          <w:iCs/>
          <w:color w:val="555555"/>
        </w:rPr>
        <w:t xml:space="preserve">   (4.5)</w:t>
      </w:r>
    </w:p>
    <w:p>
      <w:pPr>
        <w:spacing w:after="160" w:line="276"/>
      </w:pPr>
      <w:r>
        <w:rPr>
          <w:rFonts w:ascii="Calibri" w:cs="Calibri" w:eastAsia="Calibri" w:hAnsi="Calibri"/>
        </w:rPr>
        <w:t xml:space="preserve">where </w:t>
      </w:r>
      <w:r>
        <w:rPr>
          <w:rFonts w:ascii="Calibri" w:cs="Calibri" w:eastAsia="Calibri" w:hAnsi="Calibri"/>
          <w:i/>
          <w:iCs/>
        </w:rPr>
        <w:t xml:space="preserve">a</w:t>
      </w:r>
      <w:r>
        <w:rPr>
          <w:rFonts w:ascii="Calibri" w:cs="Calibri" w:eastAsia="Calibri" w:hAnsi="Calibri"/>
          <w:vertAlign w:val="subscript"/>
        </w:rPr>
        <w:t xml:space="preserve">c</w:t>
      </w:r>
      <w:r>
        <w:rPr>
          <w:rFonts w:ascii="Calibri" w:cs="Calibri" w:eastAsia="Calibri" w:hAnsi="Calibri"/>
        </w:rPr>
        <w:t xml:space="preserve"> and </w:t>
      </w:r>
      <w:r>
        <w:rPr>
          <w:rFonts w:ascii="Calibri" w:cs="Calibri" w:eastAsia="Calibri" w:hAnsi="Calibri"/>
          <w:i/>
          <w:iCs/>
        </w:rPr>
        <w:t xml:space="preserve">a</w:t>
      </w:r>
      <w:r>
        <w:rPr>
          <w:rFonts w:ascii="Calibri" w:cs="Calibri" w:eastAsia="Calibri" w:hAnsi="Calibri"/>
          <w:vertAlign w:val="subscript"/>
        </w:rPr>
        <w:t xml:space="preserve">v</w:t>
      </w:r>
      <w:r>
        <w:rPr>
          <w:rFonts w:ascii="Calibri" w:cs="Calibri" w:eastAsia="Calibri" w:hAnsi="Calibri"/>
        </w:rPr>
        <w:t xml:space="preserve"> are the conduction- and valence-band hydrostatic deformation potentials of the strained material (tabulated per material, typically −2 to −8 eV for </w:t>
      </w:r>
      <w:r>
        <w:rPr>
          <w:rFonts w:ascii="Calibri" w:cs="Calibri" w:eastAsia="Calibri" w:hAnsi="Calibri"/>
          <w:i/>
          <w:iCs/>
        </w:rPr>
        <w:t xml:space="preserve">a</w:t>
      </w:r>
      <w:r>
        <w:rPr>
          <w:rFonts w:ascii="Calibri" w:cs="Calibri" w:eastAsia="Calibri" w:hAnsi="Calibri"/>
          <w:vertAlign w:val="subscript"/>
        </w:rPr>
        <w:t xml:space="preserve">c</w:t>
      </w:r>
      <w:r>
        <w:rPr>
          <w:rFonts w:ascii="Calibri" w:cs="Calibri" w:eastAsia="Calibri" w:hAnsi="Calibri"/>
        </w:rPr>
        <w:t xml:space="preserve"> in common II–VI/III–V semiconductors), and the </w:t>
      </w:r>
      <w:r>
        <w:rPr>
          <w:rFonts w:ascii="Calibri" w:cs="Calibri" w:eastAsia="Calibri" w:hAnsi="Calibri"/>
          <w:i/>
          <w:iCs/>
        </w:rPr>
        <w:t xml:space="preserve">ε</w:t>
      </w:r>
      <w:r>
        <w:rPr>
          <w:rFonts w:ascii="Calibri" w:cs="Calibri" w:eastAsia="Calibri" w:hAnsi="Calibri"/>
          <w:vertAlign w:val="subscript"/>
        </w:rPr>
        <w:t xml:space="preserve">ii</w:t>
      </w:r>
      <w:r>
        <w:rPr>
          <w:rFonts w:ascii="Calibri" w:cs="Calibri" w:eastAsia="Calibri" w:hAnsi="Calibri"/>
        </w:rPr>
        <w:t xml:space="preserve"> are strain-tensor components from the elasticity solution. Non-hydrostatic (shear) strain further splits the heavy-hole/light-hole degeneracy via the Bir–Pikus Hamiltonian, which matters for fine-structure calculations but can often be neglected for a band-gap-only simulator.</w:t>
      </w:r>
    </w:p>
    <w:p>
      <w:pPr>
        <w:spacing w:after="160" w:line="276"/>
      </w:pPr>
      <w:r>
        <w:rPr>
          <w:rFonts w:ascii="Calibri" w:cs="Calibri" w:eastAsia="Calibri" w:hAnsi="Calibri"/>
        </w:rPr>
        <w:t xml:space="preserve">For colloidal core/shell QDs the effect is not academic: reported compressive strain at CdSe/ZnS interfaces (η ≈ 12% lattice mismatch) has been measured to shift the </w:t>
      </w:r>
      <w:r>
        <w:rPr>
          <w:rFonts w:ascii="Calibri" w:cs="Calibri" w:eastAsia="Calibri" w:hAnsi="Calibri"/>
          <w:b/>
          <w:bCs/>
        </w:rPr>
        <w:t xml:space="preserve">core</w:t>
      </w:r>
      <w:r>
        <w:rPr>
          <w:rFonts w:ascii="Calibri" w:cs="Calibri" w:eastAsia="Calibri" w:hAnsi="Calibri"/>
        </w:rPr>
        <w:t xml:space="preserve"> band gap upward by roughly 0.15–0.3 eV relative to the unstrained value, comparable in magnitude to the confinement shift itself for thick shells. CdSe/CdS, with a much smaller ~4% mismatch, shows a correspondingly smaller strain-induced shift. </w:t>
      </w:r>
      <w:r>
        <w:rPr>
          <w:rFonts w:ascii="Calibri" w:cs="Calibri" w:eastAsia="Calibri" w:hAnsi="Calibri"/>
          <w:b/>
          <w:bCs/>
        </w:rPr>
        <w:t xml:space="preserve">A simulator that omits strain will systematically under-predict the gap of highly lattice-mismatched core/shell systems (e.g., CdSe/ZnS, CdSe/ZnSe) even though it may work acceptably for lattice-matched pairs (e.g., CdSe/CdS).</w:t>
      </w:r>
    </w:p>
    <w:p>
      <w:pPr>
        <w:pStyle w:val="Heading2"/>
        <w:spacing w:after="120" w:before="280"/>
      </w:pPr>
      <w:r>
        <w:t xml:space="preserve">4.5 Practical modeling ladder</w:t>
      </w:r>
    </w:p>
    <w:p>
      <w:pPr>
        <w:spacing w:after="160" w:line="276"/>
      </w:pPr>
      <w:r>
        <w:rPr>
          <w:rFonts w:ascii="Calibri" w:cs="Calibri" w:eastAsia="Calibri" w:hAnsi="Calibri"/>
        </w:rPr>
        <w:t xml:space="preserve">For simulator development, three fidelity levels are recommended, in increasing order of accuracy and computational cost:</w:t>
      </w:r>
    </w:p>
    <w:p>
      <w:pPr>
        <w:pStyle w:val="ListParagraph"/>
        <w:numPr>
          <w:ilvl w:val="0"/>
          <w:numId w:val="4"/>
        </w:numPr>
        <w:spacing w:after="100"/>
      </w:pPr>
      <w:r>
        <w:rPr>
          <w:rFonts w:ascii="Calibri" w:cs="Calibri" w:eastAsia="Calibri" w:hAnsi="Calibri"/>
          <w:b/>
          <w:bCs/>
        </w:rPr>
        <w:t xml:space="preserve">Level 1 (fast/qualitative): </w:t>
      </w:r>
      <w:r>
        <w:rPr>
          <w:rFonts w:ascii="Calibri" w:cs="Calibri" w:eastAsia="Calibri" w:hAnsi="Calibri"/>
        </w:rPr>
        <w:t xml:space="preserve">Effective bulk gap of the shell material treated as an infinite barrier at the core surface (i.e., ignore the shell as a distinct region; equivalent to Eq. 3.2/3.3 with the bare-core radius). Cheap but only qualitatively correct, and wrong for quasi-Type II/Type II systems.</w:t>
      </w:r>
    </w:p>
    <w:p>
      <w:pPr>
        <w:pStyle w:val="ListParagraph"/>
        <w:numPr>
          <w:ilvl w:val="0"/>
          <w:numId w:val="4"/>
        </w:numPr>
        <w:spacing w:after="100"/>
      </w:pPr>
      <w:r>
        <w:rPr>
          <w:rFonts w:ascii="Calibri" w:cs="Calibri" w:eastAsia="Calibri" w:hAnsi="Calibri"/>
          <w:b/>
          <w:bCs/>
        </w:rPr>
        <w:t xml:space="preserve">Level 2 (recommended default): </w:t>
      </w:r>
      <w:r>
        <w:rPr>
          <w:rFonts w:ascii="Calibri" w:cs="Calibri" w:eastAsia="Calibri" w:hAnsi="Calibri"/>
        </w:rPr>
        <w:t xml:space="preserve">Two-region finite-well solve (Eq. 4.1–4.3) with literature band offsets, no strain. Captures Type I/II/quasi-Type II behavior and shell-thickness dependence correctly; this is the right default fidelity for a general-purpose band-gap simulator.</w:t>
      </w:r>
    </w:p>
    <w:p>
      <w:pPr>
        <w:pStyle w:val="ListParagraph"/>
        <w:numPr>
          <w:ilvl w:val="0"/>
          <w:numId w:val="4"/>
        </w:numPr>
        <w:spacing w:after="100"/>
      </w:pPr>
      <w:r>
        <w:rPr>
          <w:rFonts w:ascii="Calibri" w:cs="Calibri" w:eastAsia="Calibri" w:hAnsi="Calibri"/>
          <w:b/>
          <w:bCs/>
        </w:rPr>
        <w:t xml:space="preserve">Level 3 (high accuracy): </w:t>
      </w:r>
      <w:r>
        <w:rPr>
          <w:rFonts w:ascii="Calibri" w:cs="Calibri" w:eastAsia="Calibri" w:hAnsi="Calibri"/>
        </w:rPr>
        <w:t xml:space="preserve">Level 2 plus the strain correction of Eq. 4.5, plus (if pursuing spectroscopic accuracy) a multiband k·p or tight-binding treatment of the valence band instead of the single parabolic hole band. Needed for quantitative comparison against experiment on strongly lattice-mismatched or IV–VI systems.</w:t>
      </w:r>
    </w:p>
    <w:p>
      <w:pPr>
        <w:pStyle w:val="Heading1"/>
        <w:spacing w:after="160" w:before="360"/>
      </w:pPr>
      <w:r>
        <w:t xml:space="preserve">5. Material Parameter Tables</w:t>
      </w:r>
    </w:p>
    <w:p>
      <w:pPr>
        <w:spacing w:after="160" w:line="276"/>
      </w:pPr>
      <w:r>
        <w:rPr>
          <w:rFonts w:ascii="Calibri" w:cs="Calibri" w:eastAsia="Calibri" w:hAnsi="Calibri"/>
        </w:rPr>
        <w:t xml:space="preserve">Values below are room-temperature (≈300 K) literature values compiled from multiple sources (Madelung's </w:t>
      </w:r>
      <w:r>
        <w:rPr>
          <w:rFonts w:ascii="Calibri" w:cs="Calibri" w:eastAsia="Calibri" w:hAnsi="Calibri"/>
          <w:i/>
          <w:iCs/>
        </w:rPr>
        <w:t xml:space="preserve">Semiconductors: Data Handbook</w:t>
      </w:r>
      <w:r>
        <w:rPr>
          <w:rFonts w:ascii="Calibri" w:cs="Calibri" w:eastAsia="Calibri" w:hAnsi="Calibri"/>
        </w:rPr>
        <w:t xml:space="preserve">; Vurgaftman, Meyer &amp; Ram-Mohan's III–V band-parameter review; and QD-specific EMA studies cited in Section 7). Where sources disagree — which is common, especially for hole effective masses and dielectric constants — a representative literature value is given and the observed range is noted. </w:t>
      </w:r>
      <w:r>
        <w:rPr>
          <w:rFonts w:ascii="Calibri" w:cs="Calibri" w:eastAsia="Calibri" w:hAnsi="Calibri"/>
          <w:b/>
          <w:bCs/>
        </w:rPr>
        <w:t xml:space="preserve">Treat these as calibratable defaults, not fixed constants:</w:t>
      </w:r>
      <w:r>
        <w:rPr>
          <w:rFonts w:ascii="Calibri" w:cs="Calibri" w:eastAsia="Calibri" w:hAnsi="Calibri"/>
        </w:rPr>
        <w:t xml:space="preserve"> cross-check against a known experimental absorption peak for your specific synthesis before treating simulator output as quantitative.</w:t>
      </w:r>
    </w:p>
    <w:p>
      <w:pPr>
        <w:pStyle w:val="Heading2"/>
        <w:spacing w:after="120" w:before="280"/>
      </w:pPr>
      <w:r>
        <w:t xml:space="preserve">5.1 II–VI compounds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700"/>
        <w:gridCol w:w="1700"/>
        <w:gridCol w:w="1500"/>
        <w:gridCol w:w="1000"/>
      </w:tblGrid>
      <w:tr>
        <w:trPr>
          <w:tblHeader/>
        </w:trPr>
        <w:tc>
          <w:tcPr>
            <w:tcW w:type="dxa" w:w="11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Material</w:t>
            </w:r>
          </w:p>
        </w:tc>
        <w:tc>
          <w:tcPr>
            <w:tcW w:type="dxa" w:w="13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Eg,bulk (eV)</w:t>
            </w:r>
          </w:p>
        </w:tc>
        <w:tc>
          <w:tcPr>
            <w:tcW w:type="dxa" w:w="13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me*/m0</w:t>
            </w:r>
          </w:p>
        </w:tc>
        <w:tc>
          <w:tcPr>
            <w:tcW w:type="dxa" w:w="17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mh*/m0</w:t>
            </w:r>
          </w:p>
        </w:tc>
        <w:tc>
          <w:tcPr>
            <w:tcW w:type="dxa" w:w="17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εr (static)</w:t>
            </w:r>
          </w:p>
        </w:tc>
        <w:tc>
          <w:tcPr>
            <w:tcW w:type="dxa" w:w="15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a (Å)</w:t>
            </w:r>
          </w:p>
        </w:tc>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Structure</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CdSe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1.74</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0.12–0.13</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0.45 (avg); 0.25–0.7 range by band</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9.3–9.6 (static); 6.2 (high-freq)</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4.30 / 7.01 (wurtzite a/c)</w:t>
            </w:r>
          </w:p>
        </w:tc>
        <w:tc>
          <w:tcPr>
            <w:tcW w:type="dxa" w:w="10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Wurtzite</w:t>
            </w:r>
          </w:p>
        </w:tc>
      </w:tr>
      <w:tr>
        <w:tc>
          <w:tcPr>
            <w:tcW w:type="dxa" w:w="11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CdS</w:t>
            </w:r>
          </w:p>
        </w:tc>
        <w:tc>
          <w:tcPr>
            <w:tcW w:type="dxa" w:w="13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2.42–2.50</w:t>
            </w:r>
          </w:p>
        </w:tc>
        <w:tc>
          <w:tcPr>
            <w:tcW w:type="dxa" w:w="13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0.18–0.21</w:t>
            </w:r>
          </w:p>
        </w:tc>
        <w:tc>
          <w:tcPr>
            <w:tcW w:type="dxa" w:w="17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0.53–0.8</w:t>
            </w:r>
          </w:p>
        </w:tc>
        <w:tc>
          <w:tcPr>
            <w:tcW w:type="dxa" w:w="17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8.9–10</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4.14 / 6.72 (wurtzite a/c)</w:t>
            </w:r>
          </w:p>
        </w:tc>
        <w:tc>
          <w:tcPr>
            <w:tcW w:type="dxa" w:w="10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Wurtzite / ZB</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CdTe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1.475–1.50</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0.096–0.11</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0.35–0.40</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10.2</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6.482 (ZB)</w:t>
            </w:r>
          </w:p>
        </w:tc>
        <w:tc>
          <w:tcPr>
            <w:tcW w:type="dxa" w:w="10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ZB</w:t>
            </w:r>
          </w:p>
        </w:tc>
      </w:tr>
      <w:tr>
        <w:tc>
          <w:tcPr>
            <w:tcW w:type="dxa" w:w="11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ZnS</w:t>
            </w:r>
          </w:p>
        </w:tc>
        <w:tc>
          <w:tcPr>
            <w:tcW w:type="dxa" w:w="13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3.60–3.68</w:t>
            </w:r>
          </w:p>
        </w:tc>
        <w:tc>
          <w:tcPr>
            <w:tcW w:type="dxa" w:w="13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0.25–0.28</w:t>
            </w:r>
          </w:p>
        </w:tc>
        <w:tc>
          <w:tcPr>
            <w:tcW w:type="dxa" w:w="17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0.58 (light); up to 1.76 (heavy)</w:t>
            </w:r>
          </w:p>
        </w:tc>
        <w:tc>
          <w:tcPr>
            <w:tcW w:type="dxa" w:w="17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8.3 (static); 5.2 (high-freq)</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5.41 (ZB)</w:t>
            </w:r>
          </w:p>
        </w:tc>
        <w:tc>
          <w:tcPr>
            <w:tcW w:type="dxa" w:w="10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ZB / wurtzite</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ZnSe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2.70</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0.17</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0.60</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9.2</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5.668 (ZB)</w:t>
            </w:r>
          </w:p>
        </w:tc>
        <w:tc>
          <w:tcPr>
            <w:tcW w:type="dxa" w:w="10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ZB</w:t>
            </w:r>
          </w:p>
        </w:tc>
      </w:tr>
      <w:tr>
        <w:tc>
          <w:tcPr>
            <w:tcW w:type="dxa" w:w="11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ZnTe</w:t>
            </w:r>
          </w:p>
        </w:tc>
        <w:tc>
          <w:tcPr>
            <w:tcW w:type="dxa" w:w="13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2.25–2.39</w:t>
            </w:r>
          </w:p>
        </w:tc>
        <w:tc>
          <w:tcPr>
            <w:tcW w:type="dxa" w:w="13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0.15–0.20</w:t>
            </w:r>
          </w:p>
        </w:tc>
        <w:tc>
          <w:tcPr>
            <w:tcW w:type="dxa" w:w="17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0.60</w:t>
            </w:r>
          </w:p>
        </w:tc>
        <w:tc>
          <w:tcPr>
            <w:tcW w:type="dxa" w:w="17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8.7–9.7</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6.101 (ZB)</w:t>
            </w:r>
          </w:p>
        </w:tc>
        <w:tc>
          <w:tcPr>
            <w:tcW w:type="dxa" w:w="10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ZB</w:t>
            </w:r>
          </w:p>
        </w:tc>
      </w:tr>
    </w:tbl>
    <w:p>
      <w:pPr>
        <w:spacing w:after="240" w:before="60"/>
        <w:jc w:val="center"/>
      </w:pPr>
      <w:r>
        <w:rPr>
          <w:rFonts w:ascii="Calibri" w:cs="Calibri" w:eastAsia="Calibri" w:hAnsi="Calibri"/>
          <w:i/>
          <w:iCs/>
          <w:color w:val="555555"/>
          <w:sz w:val="20"/>
          <w:szCs w:val="20"/>
        </w:rPr>
        <w:t xml:space="preserve">Table 5.1 — II–VI binary parameters. Wurtzite valence bands split into heavy-hole/light-hole/split-off sub-bands (crystal-field splitting ~0.025 eV for CdSe, ~0.04 eV for CdS); the single mh* listed is the commonly used heavy-hole (EMA) value.</w:t>
      </w:r>
    </w:p>
    <w:p>
      <w:pPr>
        <w:pStyle w:val="Heading2"/>
        <w:spacing w:after="120" w:before="280"/>
      </w:pPr>
      <w:r>
        <w:t xml:space="preserve">5.2 IV–VI compounds (narrow gap, high dielectric constant)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900"/>
        <w:gridCol w:w="1900"/>
        <w:gridCol w:w="1100"/>
        <w:gridCol w:w="1200"/>
        <w:gridCol w:w="1200"/>
      </w:tblGrid>
      <w:tr>
        <w:trPr>
          <w:tblHeader/>
        </w:trPr>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Material</w:t>
            </w:r>
          </w:p>
        </w:tc>
        <w:tc>
          <w:tcPr>
            <w:tcW w:type="dxa" w:w="13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Eg,bulk (eV, 300K)</w:t>
            </w:r>
          </w:p>
        </w:tc>
        <w:tc>
          <w:tcPr>
            <w:tcW w:type="dxa" w:w="19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me*/m0</w:t>
            </w:r>
          </w:p>
        </w:tc>
        <w:tc>
          <w:tcPr>
            <w:tcW w:type="dxa" w:w="19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mh*/m0</w:t>
            </w:r>
          </w:p>
        </w:tc>
        <w:tc>
          <w:tcPr>
            <w:tcW w:type="dxa" w:w="11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ε∞</w:t>
            </w:r>
          </w:p>
        </w:tc>
        <w:tc>
          <w:tcPr>
            <w:tcW w:type="dxa" w:w="12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ε0 (static)</w:t>
            </w:r>
          </w:p>
        </w:tc>
        <w:tc>
          <w:tcPr>
            <w:tcW w:type="dxa" w:w="12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a (Å)</w:t>
            </w:r>
          </w:p>
        </w:tc>
      </w:tr>
      <w:tr>
        <w:tc>
          <w:tcPr>
            <w:tcW w:type="dxa" w:w="1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PbS</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0.41</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≈0.09–0.10 (near-isotropic)</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≈0.09–0.10 (near-isotropic)</w:t>
            </w:r>
          </w:p>
        </w:tc>
        <w:tc>
          <w:tcPr>
            <w:tcW w:type="dxa" w:w="1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17.2</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169–190</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5.936 (rock salt)</w:t>
            </w:r>
          </w:p>
        </w:tc>
      </w:tr>
      <w:tr>
        <w:tc>
          <w:tcPr>
            <w:tcW w:type="dxa" w:w="10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PbSe</w:t>
            </w:r>
          </w:p>
        </w:tc>
        <w:tc>
          <w:tcPr>
            <w:tcW w:type="dxa" w:w="13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0.27–0.28</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≈0.04–0.07 (anisotropic, L-valley)</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≈0.04–0.07 (anisotropic, L-valley)</w:t>
            </w:r>
          </w:p>
        </w:tc>
        <w:tc>
          <w:tcPr>
            <w:tcW w:type="dxa" w:w="11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22.9–23</w:t>
            </w:r>
          </w:p>
        </w:tc>
        <w:tc>
          <w:tcPr>
            <w:tcW w:type="dxa" w:w="12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210</w:t>
            </w:r>
          </w:p>
        </w:tc>
        <w:tc>
          <w:tcPr>
            <w:tcW w:type="dxa" w:w="12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6.117 (rock salt)</w:t>
            </w:r>
          </w:p>
        </w:tc>
      </w:tr>
      <w:tr>
        <w:tc>
          <w:tcPr>
            <w:tcW w:type="dxa" w:w="1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PbTe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0.32</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≈0.02–0.06 (anisotropic)</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≈0.02–0.06 (anisotropic)</w:t>
            </w:r>
          </w:p>
        </w:tc>
        <w:tc>
          <w:tcPr>
            <w:tcW w:type="dxa" w:w="1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32.8–36</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414–428</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6.462 (rock salt)</w:t>
            </w:r>
          </w:p>
        </w:tc>
      </w:tr>
    </w:tbl>
    <w:p>
      <w:pPr>
        <w:spacing w:after="240" w:before="60"/>
        <w:jc w:val="center"/>
      </w:pPr>
      <w:r>
        <w:rPr>
          <w:rFonts w:ascii="Calibri" w:cs="Calibri" w:eastAsia="Calibri" w:hAnsi="Calibri"/>
          <w:i/>
          <w:iCs/>
          <w:color w:val="555555"/>
          <w:sz w:val="20"/>
          <w:szCs w:val="20"/>
        </w:rPr>
        <w:t xml:space="preserve">Table 5.2 — IV–VI (lead chalcogenide) parameters. These materials have multivalley, strongly non-parabolic L-point bands and near-equal electron/hole masses (giving nearly symmetric confinement); a simple isotropic single-band EMA is a rougher approximation here than for II–VI/III–V materials, and quantitative work should use a two-band Kane (nonparabolic) dispersion instead of Eq. 3.2.</w:t>
      </w:r>
    </w:p>
    <w:p>
      <w:pPr>
        <w:pStyle w:val="Heading2"/>
        <w:spacing w:after="120" w:before="280"/>
      </w:pPr>
      <w:r>
        <w:t xml:space="preserve">5.3 III–V compounds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900"/>
        <w:gridCol w:w="1500"/>
        <w:gridCol w:w="1200"/>
      </w:tblGrid>
      <w:tr>
        <w:trPr>
          <w:tblHeader/>
        </w:trPr>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Material</w:t>
            </w:r>
          </w:p>
        </w:tc>
        <w:tc>
          <w:tcPr>
            <w:tcW w:type="dxa" w:w="15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Eg,bulk (eV, 300K)</w:t>
            </w:r>
          </w:p>
        </w:tc>
        <w:tc>
          <w:tcPr>
            <w:tcW w:type="dxa" w:w="15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me*/m0</w:t>
            </w:r>
          </w:p>
        </w:tc>
        <w:tc>
          <w:tcPr>
            <w:tcW w:type="dxa" w:w="19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mh*/m0 (heavy)</w:t>
            </w:r>
          </w:p>
        </w:tc>
        <w:tc>
          <w:tcPr>
            <w:tcW w:type="dxa" w:w="15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εr (static)</w:t>
            </w:r>
          </w:p>
        </w:tc>
        <w:tc>
          <w:tcPr>
            <w:tcW w:type="dxa" w:w="12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a (Å)</w:t>
            </w:r>
          </w:p>
        </w:tc>
      </w:tr>
      <w:tr>
        <w:tc>
          <w:tcPr>
            <w:tcW w:type="dxa" w:w="1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InP</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1.35</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0.077–0.080</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0.60 (0.089 light-hole)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12.5</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5.869 (ZB)</w:t>
            </w:r>
          </w:p>
        </w:tc>
      </w:tr>
      <w:tr>
        <w:tc>
          <w:tcPr>
            <w:tcW w:type="dxa" w:w="10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InAs</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0.36 (0.417 low-T)</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0.023–0.026</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0.41</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15.15</w:t>
            </w:r>
          </w:p>
        </w:tc>
        <w:tc>
          <w:tcPr>
            <w:tcW w:type="dxa" w:w="12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6.058 (ZB)</w:t>
            </w:r>
          </w:p>
        </w:tc>
      </w:tr>
      <w:tr>
        <w:tc>
          <w:tcPr>
            <w:tcW w:type="dxa" w:w="1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GaAs</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1.42</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0.067</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0.45–0.50</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12.9</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5.653 (ZB)</w:t>
            </w:r>
          </w:p>
        </w:tc>
      </w:tr>
      <w:tr>
        <w:tc>
          <w:tcPr>
            <w:tcW w:type="dxa" w:w="10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InSb</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0.17</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0.014</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0.43</w:t>
            </w:r>
          </w:p>
        </w:tc>
        <w:tc>
          <w:tcPr>
            <w:tcW w:type="dxa" w:w="15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16.8</w:t>
            </w:r>
          </w:p>
        </w:tc>
        <w:tc>
          <w:tcPr>
            <w:tcW w:type="dxa" w:w="12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6.479 (ZB)</w:t>
            </w:r>
          </w:p>
        </w:tc>
      </w:tr>
    </w:tbl>
    <w:p>
      <w:pPr>
        <w:spacing w:after="240" w:before="60"/>
        <w:jc w:val="center"/>
      </w:pPr>
      <w:r>
        <w:rPr>
          <w:rFonts w:ascii="Calibri" w:cs="Calibri" w:eastAsia="Calibri" w:hAnsi="Calibri"/>
          <w:i/>
          <w:iCs/>
          <w:color w:val="555555"/>
          <w:sz w:val="20"/>
          <w:szCs w:val="20"/>
        </w:rPr>
        <w:t xml:space="preserve">Table 5.3 — III–V (zinc blende) parameters. Values are broadly consistent with the widely used Vurgaftman–Meyer–Ram-Mohan compilation of III–V band parameters; consult that review directly for temperature dependence (Varshni parameters) and spin–orbit splitting if extending the simulator to finite temperature.</w:t>
      </w:r>
    </w:p>
    <w:p>
      <w:pPr>
        <w:pStyle w:val="Heading2"/>
        <w:spacing w:after="120" w:before="280"/>
      </w:pPr>
      <w:r>
        <w:t xml:space="preserve">5.4 Representative core/shell band offsets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900"/>
        <w:gridCol w:w="1900"/>
        <w:gridCol w:w="1600"/>
      </w:tblGrid>
      <w:tr>
        <w:trPr>
          <w:tblHeader/>
        </w:trPr>
        <w:tc>
          <w:tcPr>
            <w:tcW w:type="dxa" w:w="19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Core/Shell pair</w:t>
            </w:r>
          </w:p>
        </w:tc>
        <w:tc>
          <w:tcPr>
            <w:tcW w:type="dxa" w:w="21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Alignment type</w:t>
            </w:r>
          </w:p>
        </w:tc>
        <w:tc>
          <w:tcPr>
            <w:tcW w:type="dxa" w:w="19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ΔEc (eV)</w:t>
            </w:r>
          </w:p>
        </w:tc>
        <w:tc>
          <w:tcPr>
            <w:tcW w:type="dxa" w:w="19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ΔEv (eV)</w:t>
            </w:r>
          </w:p>
        </w:tc>
        <w:tc>
          <w:tcPr>
            <w:tcW w:type="dxa" w:w="1600"/>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Lattice mismatch η</w:t>
            </w:r>
          </w:p>
        </w:tc>
      </w:tr>
      <w:tr>
        <w:tc>
          <w:tcPr>
            <w:tcW w:type="dxa" w:w="19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CdSe / CdS</w:t>
            </w:r>
          </w:p>
        </w:tc>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Type I → quasi-Type II with shell thickness</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≈0.0–0.3 (debated)</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≈0.5–0.6</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≈4%</w:t>
            </w:r>
          </w:p>
        </w:tc>
      </w:tr>
      <w:tr>
        <w:tc>
          <w:tcPr>
            <w:tcW w:type="dxa" w:w="19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CdSe / ZnS</w:t>
            </w:r>
          </w:p>
        </w:tc>
        <w:tc>
          <w:tcPr>
            <w:tcW w:type="dxa" w:w="21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Type I (deep well)</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≈0.9</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≈0.5–0.9</w:t>
            </w:r>
          </w:p>
        </w:tc>
        <w:tc>
          <w:tcPr>
            <w:tcW w:type="dxa" w:w="16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≈12%</w:t>
            </w:r>
          </w:p>
        </w:tc>
      </w:tr>
      <w:tr>
        <w:tc>
          <w:tcPr>
            <w:tcW w:type="dxa" w:w="19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CdSe / ZnSe</w:t>
            </w:r>
          </w:p>
        </w:tc>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Type I</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≈0.4–0.9</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≈0.6</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≈7%</w:t>
            </w:r>
          </w:p>
        </w:tc>
      </w:tr>
      <w:tr>
        <w:tc>
          <w:tcPr>
            <w:tcW w:type="dxa" w:w="19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CdTe / CdSe</w:t>
            </w:r>
          </w:p>
        </w:tc>
        <w:tc>
          <w:tcPr>
            <w:tcW w:type="dxa" w:w="21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Type II</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staggered (offset ~0.4–0.6 opposing VB)</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≈0.57 (VB offset)</w:t>
            </w:r>
          </w:p>
        </w:tc>
        <w:tc>
          <w:tcPr>
            <w:tcW w:type="dxa" w:w="16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≈6.5%</w:t>
            </w:r>
          </w:p>
        </w:tc>
      </w:tr>
      <w:tr>
        <w:tc>
          <w:tcPr>
            <w:tcW w:type="dxa" w:w="19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ZnTe / ZnSe</w:t>
            </w:r>
          </w:p>
        </w:tc>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Type II</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staggered</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significant, opposing CB</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≈7.5%</w:t>
            </w:r>
          </w:p>
        </w:tc>
      </w:tr>
      <w:tr>
        <w:tc>
          <w:tcPr>
            <w:tcW w:type="dxa" w:w="1900"/>
            <w:shd w:fill="F4F6F8"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PbS / CdS</w:t>
            </w:r>
          </w:p>
        </w:tc>
        <w:tc>
          <w:tcPr>
            <w:tcW w:type="dxa" w:w="21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Type I</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≈0.5</w:t>
            </w:r>
          </w:p>
        </w:tc>
        <w:tc>
          <w:tcPr>
            <w:tcW w:type="dxa" w:w="19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large (deep hole confinement)</w:t>
            </w:r>
          </w:p>
        </w:tc>
        <w:tc>
          <w:tcPr>
            <w:tcW w:type="dxa" w:w="1600"/>
            <w:shd w:fill="F4F6F8"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n/a (rock-salt/ZB, large mismatch)</w:t>
            </w:r>
          </w:p>
        </w:tc>
      </w:tr>
      <w:tr>
        <w:tc>
          <w:tcPr>
            <w:tcW w:type="dxa" w:w="19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11111"/>
                <w:sz w:val="20"/>
                <w:szCs w:val="20"/>
              </w:rPr>
              <w:t xml:space="preserve">InP / ZnS</w:t>
            </w:r>
          </w:p>
        </w:tc>
        <w:tc>
          <w:tcPr>
            <w:tcW w:type="dxa" w:w="21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Type I</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moderate-to-large</w:t>
            </w:r>
          </w:p>
        </w:tc>
        <w:tc>
          <w:tcPr>
            <w:tcW w:type="dxa" w:w="19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moderate-to-large</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11111"/>
                <w:sz w:val="20"/>
                <w:szCs w:val="20"/>
              </w:rPr>
              <w:t xml:space="preserve">≈7.7%</w:t>
            </w:r>
          </w:p>
        </w:tc>
      </w:tr>
    </w:tbl>
    <w:p>
      <w:pPr>
        <w:spacing w:after="240" w:before="60"/>
        <w:jc w:val="center"/>
      </w:pPr>
      <w:r>
        <w:rPr>
          <w:rFonts w:ascii="Calibri" w:cs="Calibri" w:eastAsia="Calibri" w:hAnsi="Calibri"/>
          <w:i/>
          <w:iCs/>
          <w:color w:val="555555"/>
          <w:sz w:val="20"/>
          <w:szCs w:val="20"/>
        </w:rPr>
        <w:t xml:space="preserve">Table 5.4 — Representative core/shell offsets compiled from multiple modeling and photoemission studies. Reported offset values vary noticeably by measurement/calculation method (optical modeling vs. XPS vs. DFT); treat as calibratable starting points, per the guidance in Section 4.3.</w:t>
      </w:r>
    </w:p>
    <w:p>
      <w:pPr>
        <w:pStyle w:val="Heading1"/>
        <w:spacing w:after="160" w:before="360"/>
      </w:pPr>
      <w:r>
        <w:t xml:space="preserve">6. Numerical Algorithm for the Simulator</w:t>
      </w:r>
    </w:p>
    <w:p>
      <w:pPr>
        <w:spacing w:after="160" w:line="276"/>
      </w:pPr>
      <w:r>
        <w:rPr>
          <w:rFonts w:ascii="Calibri" w:cs="Calibri" w:eastAsia="Calibri" w:hAnsi="Calibri"/>
        </w:rPr>
        <w:t xml:space="preserve">The following algorithm reproduces every formula above in a form directly translatable to code (Python/NumPy, MATLAB, or C++), and generalizes cleanly from a bare core (Section 3) to an arbitrary number of concentric shells (Section 4).</w:t>
      </w:r>
    </w:p>
    <w:p>
      <w:pPr>
        <w:pStyle w:val="Heading2"/>
        <w:spacing w:after="120" w:before="280"/>
      </w:pPr>
      <w:r>
        <w:t xml:space="preserve">6.1 Recommended architecture</w:t>
      </w:r>
    </w:p>
    <w:p>
      <w:pPr>
        <w:pStyle w:val="ListParagraph"/>
        <w:numPr>
          <w:ilvl w:val="0"/>
          <w:numId w:val="5"/>
        </w:numPr>
        <w:spacing w:after="100"/>
      </w:pPr>
      <w:r>
        <w:rPr>
          <w:rFonts w:ascii="Calibri" w:cs="Calibri" w:eastAsia="Calibri" w:hAnsi="Calibri"/>
          <w:b/>
          <w:bCs/>
        </w:rPr>
        <w:t xml:space="preserve">Input layer: </w:t>
      </w:r>
      <w:r>
        <w:rPr>
          <w:rFonts w:ascii="Calibri" w:cs="Calibri" w:eastAsia="Calibri" w:hAnsi="Calibri"/>
        </w:rPr>
        <w:t xml:space="preserve">material composition(s) and fraction </w:t>
      </w:r>
      <w:r>
        <w:rPr>
          <w:rFonts w:ascii="Calibri" w:cs="Calibri" w:eastAsia="Calibri" w:hAnsi="Calibri"/>
          <w:i/>
          <w:iCs/>
        </w:rPr>
        <w:t xml:space="preserve">x</w:t>
      </w:r>
      <w:r>
        <w:rPr>
          <w:rFonts w:ascii="Calibri" w:cs="Calibri" w:eastAsia="Calibri" w:hAnsi="Calibri"/>
        </w:rPr>
        <w:t xml:space="preserve"> per region (Section 2), region radii (core radius </w:t>
      </w:r>
      <w:r>
        <w:rPr>
          <w:rFonts w:ascii="Calibri" w:cs="Calibri" w:eastAsia="Calibri" w:hAnsi="Calibri"/>
          <w:i/>
          <w:iCs/>
        </w:rPr>
        <w:t xml:space="preserve">R</w:t>
      </w:r>
      <w:r>
        <w:rPr>
          <w:rFonts w:ascii="Calibri" w:cs="Calibri" w:eastAsia="Calibri" w:hAnsi="Calibri"/>
          <w:vertAlign w:val="subscript"/>
        </w:rPr>
        <w:t xml:space="preserve">1</w:t>
      </w:r>
      <w:r>
        <w:rPr>
          <w:rFonts w:ascii="Calibri" w:cs="Calibri" w:eastAsia="Calibri" w:hAnsi="Calibri"/>
        </w:rPr>
        <w:t xml:space="preserve">, shell outer radii </w:t>
      </w:r>
      <w:r>
        <w:rPr>
          <w:rFonts w:ascii="Calibri" w:cs="Calibri" w:eastAsia="Calibri" w:hAnsi="Calibri"/>
          <w:i/>
          <w:iCs/>
        </w:rPr>
        <w:t xml:space="preserve">R</w:t>
      </w:r>
      <w:r>
        <w:rPr>
          <w:rFonts w:ascii="Calibri" w:cs="Calibri" w:eastAsia="Calibri" w:hAnsi="Calibri"/>
          <w:vertAlign w:val="subscript"/>
        </w:rPr>
        <w:t xml:space="preserve">2</w:t>
      </w:r>
      <w:r>
        <w:rPr>
          <w:rFonts w:ascii="Calibri" w:cs="Calibri" w:eastAsia="Calibri" w:hAnsi="Calibri"/>
        </w:rPr>
        <w:t xml:space="preserve">, </w:t>
      </w:r>
      <w:r>
        <w:rPr>
          <w:rFonts w:ascii="Calibri" w:cs="Calibri" w:eastAsia="Calibri" w:hAnsi="Calibri"/>
          <w:i/>
          <w:iCs/>
        </w:rPr>
        <w:t xml:space="preserve">R</w:t>
      </w:r>
      <w:r>
        <w:rPr>
          <w:rFonts w:ascii="Calibri" w:cs="Calibri" w:eastAsia="Calibri" w:hAnsi="Calibri"/>
          <w:vertAlign w:val="subscript"/>
        </w:rPr>
        <w:t xml:space="preserve">3</w:t>
      </w:r>
      <w:r>
        <w:rPr>
          <w:rFonts w:ascii="Calibri" w:cs="Calibri" w:eastAsia="Calibri" w:hAnsi="Calibri"/>
        </w:rPr>
        <w:t xml:space="preserve">, …), and a materials database keyed by composition returning </w:t>
      </w:r>
      <w:r>
        <w:rPr>
          <w:rFonts w:ascii="Calibri" w:cs="Calibri" w:eastAsia="Calibri" w:hAnsi="Calibri"/>
          <w:i/>
          <w:iCs/>
        </w:rPr>
        <w:t xml:space="preserve">E</w:t>
      </w:r>
      <w:r>
        <w:rPr>
          <w:rFonts w:ascii="Calibri" w:cs="Calibri" w:eastAsia="Calibri" w:hAnsi="Calibri"/>
          <w:vertAlign w:val="subscript"/>
        </w:rPr>
        <w:t xml:space="preserve">g,bulk</w:t>
      </w:r>
      <w:r>
        <w:rPr>
          <w:rFonts w:ascii="Calibri" w:cs="Calibri" w:eastAsia="Calibri" w:hAnsi="Calibri"/>
        </w:rPr>
        <w:t xml:space="preserve">, </w:t>
      </w:r>
      <w:r>
        <w:rPr>
          <w:rFonts w:ascii="Calibri" w:cs="Calibri" w:eastAsia="Calibri" w:hAnsi="Calibri"/>
          <w:i/>
          <w:iCs/>
        </w:rPr>
        <w:t xml:space="preserve">m</w:t>
      </w:r>
      <w:r>
        <w:rPr>
          <w:rFonts w:ascii="Calibri" w:cs="Calibri" w:eastAsia="Calibri" w:hAnsi="Calibri"/>
          <w:vertAlign w:val="subscript"/>
        </w:rPr>
        <w:t xml:space="preserve">e</w:t>
      </w:r>
      <w:r>
        <w:rPr>
          <w:rFonts w:ascii="Calibri" w:cs="Calibri" w:eastAsia="Calibri" w:hAnsi="Calibri"/>
          <w:vertAlign w:val="superscript"/>
        </w:rPr>
        <w:t xml:space="preserve">*</w:t>
      </w:r>
      <w:r>
        <w:rPr>
          <w:rFonts w:ascii="Calibri" w:cs="Calibri" w:eastAsia="Calibri" w:hAnsi="Calibri"/>
        </w:rPr>
        <w:t xml:space="preserve">, </w:t>
      </w:r>
      <w:r>
        <w:rPr>
          <w:rFonts w:ascii="Calibri" w:cs="Calibri" w:eastAsia="Calibri" w:hAnsi="Calibri"/>
          <w:i/>
          <w:iCs/>
        </w:rPr>
        <w:t xml:space="preserve">m</w:t>
      </w:r>
      <w:r>
        <w:rPr>
          <w:rFonts w:ascii="Calibri" w:cs="Calibri" w:eastAsia="Calibri" w:hAnsi="Calibri"/>
          <w:vertAlign w:val="subscript"/>
        </w:rPr>
        <w:t xml:space="preserve">h</w:t>
      </w:r>
      <w:r>
        <w:rPr>
          <w:rFonts w:ascii="Calibri" w:cs="Calibri" w:eastAsia="Calibri" w:hAnsi="Calibri"/>
          <w:vertAlign w:val="superscript"/>
        </w:rPr>
        <w:t xml:space="preserve">*</w:t>
      </w:r>
      <w:r>
        <w:rPr>
          <w:rFonts w:ascii="Calibri" w:cs="Calibri" w:eastAsia="Calibri" w:hAnsi="Calibri"/>
        </w:rPr>
        <w:t xml:space="preserve">, </w:t>
      </w:r>
      <w:r>
        <w:rPr>
          <w:rFonts w:ascii="Calibri" w:cs="Calibri" w:eastAsia="Calibri" w:hAnsi="Calibri"/>
          <w:i/>
          <w:iCs/>
        </w:rPr>
        <w:t xml:space="preserve">ε</w:t>
      </w:r>
      <w:r>
        <w:rPr>
          <w:rFonts w:ascii="Calibri" w:cs="Calibri" w:eastAsia="Calibri" w:hAnsi="Calibri"/>
        </w:rPr>
        <w:t xml:space="preserve">, </w:t>
      </w:r>
      <w:r>
        <w:rPr>
          <w:rFonts w:ascii="Calibri" w:cs="Calibri" w:eastAsia="Calibri" w:hAnsi="Calibri"/>
          <w:i/>
          <w:iCs/>
        </w:rPr>
        <w:t xml:space="preserve">a</w:t>
      </w:r>
      <w:r>
        <w:rPr>
          <w:rFonts w:ascii="Calibri" w:cs="Calibri" w:eastAsia="Calibri" w:hAnsi="Calibri"/>
        </w:rPr>
        <w:t xml:space="preserve"> (lattice constant), and band-offset references (Section 5).</w:t>
      </w:r>
    </w:p>
    <w:p>
      <w:pPr>
        <w:pStyle w:val="ListParagraph"/>
        <w:numPr>
          <w:ilvl w:val="0"/>
          <w:numId w:val="5"/>
        </w:numPr>
        <w:spacing w:after="100"/>
      </w:pPr>
      <w:r>
        <w:rPr>
          <w:rFonts w:ascii="Calibri" w:cs="Calibri" w:eastAsia="Calibri" w:hAnsi="Calibri"/>
          <w:b/>
          <w:bCs/>
        </w:rPr>
        <w:t xml:space="preserve">Fast-path mode (Eq. 3.2/3.3): </w:t>
      </w:r>
      <w:r>
        <w:rPr>
          <w:rFonts w:ascii="Calibri" w:cs="Calibri" w:eastAsia="Calibri" w:hAnsi="Calibri"/>
        </w:rPr>
        <w:t xml:space="preserve">closed-form evaluation for a bare core or Level-1 core/shell approximation — use this for real-time UI sliders.</w:t>
      </w:r>
    </w:p>
    <w:p>
      <w:pPr>
        <w:pStyle w:val="ListParagraph"/>
        <w:numPr>
          <w:ilvl w:val="0"/>
          <w:numId w:val="5"/>
        </w:numPr>
        <w:spacing w:after="100"/>
      </w:pPr>
      <w:r>
        <w:rPr>
          <w:rFonts w:ascii="Calibri" w:cs="Calibri" w:eastAsia="Calibri" w:hAnsi="Calibri"/>
          <w:b/>
          <w:bCs/>
        </w:rPr>
        <w:t xml:space="preserve">Accurate mode (Eq. 4.1/4.2, Level 2–3): </w:t>
      </w:r>
      <w:r>
        <w:rPr>
          <w:rFonts w:ascii="Calibri" w:cs="Calibri" w:eastAsia="Calibri" w:hAnsi="Calibri"/>
        </w:rPr>
        <w:t xml:space="preserve">discretize the radial coordinate </w:t>
      </w:r>
      <w:r>
        <w:rPr>
          <w:rFonts w:ascii="Calibri" w:cs="Calibri" w:eastAsia="Calibri" w:hAnsi="Calibri"/>
          <w:i/>
          <w:iCs/>
        </w:rPr>
        <w:t xml:space="preserve">r</w:t>
      </w:r>
      <w:r>
        <w:rPr>
          <w:rFonts w:ascii="Calibri" w:cs="Calibri" w:eastAsia="Calibri" w:hAnsi="Calibri"/>
        </w:rPr>
        <w:t xml:space="preserve"> from 0 to an outer boundary </w:t>
      </w:r>
      <w:r>
        <w:rPr>
          <w:rFonts w:ascii="Calibri" w:cs="Calibri" w:eastAsia="Calibri" w:hAnsi="Calibri"/>
          <w:i/>
          <w:iCs/>
        </w:rPr>
        <w:t xml:space="preserve">R</w:t>
      </w:r>
      <w:r>
        <w:rPr>
          <w:rFonts w:ascii="Calibri" w:cs="Calibri" w:eastAsia="Calibri" w:hAnsi="Calibri"/>
          <w:vertAlign w:val="subscript"/>
        </w:rPr>
        <w:t xml:space="preserve">max</w:t>
      </w:r>
      <w:r>
        <w:rPr>
          <w:rFonts w:ascii="Calibri" w:cs="Calibri" w:eastAsia="Calibri" w:hAnsi="Calibri"/>
        </w:rPr>
        <w:t xml:space="preserve"> (a few times the outermost shell radius, with a finite or infinite outer barrier), build the piecewise </w:t>
      </w:r>
      <w:r>
        <w:rPr>
          <w:rFonts w:ascii="Calibri" w:cs="Calibri" w:eastAsia="Calibri" w:hAnsi="Calibri"/>
          <w:i/>
          <w:iCs/>
        </w:rPr>
        <w:t xml:space="preserve">m</w:t>
      </w:r>
      <w:r>
        <w:rPr>
          <w:rFonts w:ascii="Calibri" w:cs="Calibri" w:eastAsia="Calibri" w:hAnsi="Calibri"/>
          <w:vertAlign w:val="superscript"/>
        </w:rPr>
        <w:t xml:space="preserve">*</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and </w:t>
      </w:r>
      <w:r>
        <w:rPr>
          <w:rFonts w:ascii="Calibri" w:cs="Calibri" w:eastAsia="Calibri" w:hAnsi="Calibri"/>
          <w:i/>
          <w:iCs/>
        </w:rPr>
        <w:t xml:space="preserve">V</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profiles, and solve the resulting 1-D radial eigenvalue problem with a finite-difference or shooting-method solver (below) for both the electron and hole equations independently.</w:t>
      </w:r>
    </w:p>
    <w:p>
      <w:pPr>
        <w:pStyle w:val="ListParagraph"/>
        <w:numPr>
          <w:ilvl w:val="0"/>
          <w:numId w:val="5"/>
        </w:numPr>
        <w:spacing w:after="100"/>
      </w:pPr>
      <w:r>
        <w:rPr>
          <w:rFonts w:ascii="Calibri" w:cs="Calibri" w:eastAsia="Calibri" w:hAnsi="Calibri"/>
          <w:b/>
          <w:bCs/>
        </w:rPr>
        <w:t xml:space="preserve">Post-processing: </w:t>
      </w:r>
      <w:r>
        <w:rPr>
          <w:rFonts w:ascii="Calibri" w:cs="Calibri" w:eastAsia="Calibri" w:hAnsi="Calibri"/>
        </w:rPr>
        <w:t xml:space="preserve">combine </w:t>
      </w:r>
      <w:r>
        <w:rPr>
          <w:rFonts w:ascii="Calibri" w:cs="Calibri" w:eastAsia="Calibri" w:hAnsi="Calibri"/>
          <w:i/>
          <w:iCs/>
        </w:rPr>
        <w:t xml:space="preserve">E</w:t>
      </w:r>
      <w:r>
        <w:rPr>
          <w:rFonts w:ascii="Calibri" w:cs="Calibri" w:eastAsia="Calibri" w:hAnsi="Calibri"/>
          <w:vertAlign w:val="subscript"/>
        </w:rPr>
        <w:t xml:space="preserve">e</w:t>
      </w:r>
      <w:r>
        <w:rPr>
          <w:rFonts w:ascii="Calibri" w:cs="Calibri" w:eastAsia="Calibri" w:hAnsi="Calibri"/>
        </w:rPr>
        <w:t xml:space="preserve">, </w:t>
      </w:r>
      <w:r>
        <w:rPr>
          <w:rFonts w:ascii="Calibri" w:cs="Calibri" w:eastAsia="Calibri" w:hAnsi="Calibri"/>
          <w:i/>
          <w:iCs/>
        </w:rPr>
        <w:t xml:space="preserve">E</w:t>
      </w:r>
      <w:r>
        <w:rPr>
          <w:rFonts w:ascii="Calibri" w:cs="Calibri" w:eastAsia="Calibri" w:hAnsi="Calibri"/>
          <w:vertAlign w:val="subscript"/>
        </w:rPr>
        <w:t xml:space="preserve">h</w:t>
      </w:r>
      <w:r>
        <w:rPr>
          <w:rFonts w:ascii="Calibri" w:cs="Calibri" w:eastAsia="Calibri" w:hAnsi="Calibri"/>
        </w:rPr>
        <w:t xml:space="preserve">, the bulk gap of the </w:t>
      </w:r>
      <w:r>
        <w:rPr>
          <w:rFonts w:ascii="Calibri" w:cs="Calibri" w:eastAsia="Calibri" w:hAnsi="Calibri"/>
          <w:i/>
          <w:iCs/>
        </w:rPr>
        <w:t xml:space="preserve">emitting</w:t>
      </w:r>
      <w:r>
        <w:rPr>
          <w:rFonts w:ascii="Calibri" w:cs="Calibri" w:eastAsia="Calibri" w:hAnsi="Calibri"/>
        </w:rPr>
        <w:t xml:space="preserve"> region, and the Coulomb/strain corrections (Eq. 4.3, 4.5) into the final </w:t>
      </w:r>
      <w:r>
        <w:rPr>
          <w:rFonts w:ascii="Calibri" w:cs="Calibri" w:eastAsia="Calibri" w:hAnsi="Calibri"/>
          <w:i/>
          <w:iCs/>
        </w:rPr>
        <w:t xml:space="preserve">E</w:t>
      </w:r>
      <w:r>
        <w:rPr>
          <w:rFonts w:ascii="Calibri" w:cs="Calibri" w:eastAsia="Calibri" w:hAnsi="Calibri"/>
          <w:vertAlign w:val="subscript"/>
        </w:rPr>
        <w:t xml:space="preserve">g,QD</w:t>
      </w:r>
      <w:r>
        <w:rPr>
          <w:rFonts w:ascii="Calibri" w:cs="Calibri" w:eastAsia="Calibri" w:hAnsi="Calibri"/>
        </w:rPr>
        <w:t xml:space="preserve">; optionally convert to emission wavelength via λ = </w:t>
      </w:r>
      <w:r>
        <w:rPr>
          <w:rFonts w:ascii="Calibri" w:cs="Calibri" w:eastAsia="Calibri" w:hAnsi="Calibri"/>
          <w:i/>
          <w:iCs/>
        </w:rPr>
        <w:t xml:space="preserve">hc</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vertAlign w:val="subscript"/>
        </w:rPr>
        <w:t xml:space="preserve">g,QD</w:t>
      </w:r>
      <w:r>
        <w:rPr>
          <w:rFonts w:ascii="Calibri" w:cs="Calibri" w:eastAsia="Calibri" w:hAnsi="Calibri"/>
        </w:rPr>
        <w:t xml:space="preserve">.</w:t>
      </w:r>
    </w:p>
    <w:p>
      <w:pPr>
        <w:pStyle w:val="Heading2"/>
        <w:spacing w:after="120" w:before="280"/>
      </w:pPr>
      <w:r>
        <w:t xml:space="preserve">6.2 Finite-difference radial solver (recommended core method)</w:t>
      </w:r>
    </w:p>
    <w:p>
      <w:pPr>
        <w:spacing w:after="160" w:line="276"/>
      </w:pPr>
      <w:r>
        <w:rPr>
          <w:rFonts w:ascii="Calibri" w:cs="Calibri" w:eastAsia="Calibri" w:hAnsi="Calibri"/>
        </w:rPr>
        <w:t xml:space="preserve">Discretize </w:t>
      </w:r>
      <w:r>
        <w:rPr>
          <w:rFonts w:ascii="Calibri" w:cs="Calibri" w:eastAsia="Calibri" w:hAnsi="Calibri"/>
          <w:i/>
          <w:iCs/>
        </w:rPr>
        <w:t xml:space="preserve">u</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on a uniform grid </w:t>
      </w:r>
      <w:r>
        <w:rPr>
          <w:rFonts w:ascii="Calibri" w:cs="Calibri" w:eastAsia="Calibri" w:hAnsi="Calibri"/>
          <w:i/>
          <w:iCs/>
        </w:rPr>
        <w:t xml:space="preserve">r</w:t>
      </w:r>
      <w:r>
        <w:rPr>
          <w:rFonts w:ascii="Calibri" w:cs="Calibri" w:eastAsia="Calibri" w:hAnsi="Calibri"/>
          <w:vertAlign w:val="subscript"/>
        </w:rPr>
        <w:t xml:space="preserve">i</w:t>
      </w:r>
      <w:r>
        <w:rPr>
          <w:rFonts w:ascii="Calibri" w:cs="Calibri" w:eastAsia="Calibri" w:hAnsi="Calibri"/>
        </w:rPr>
        <w:t xml:space="preserve"> = </w:t>
      </w:r>
      <w:r>
        <w:rPr>
          <w:rFonts w:ascii="Calibri" w:cs="Calibri" w:eastAsia="Calibri" w:hAnsi="Calibri"/>
          <w:i/>
          <w:iCs/>
        </w:rPr>
        <w:t xml:space="preserve">i</w:t>
      </w:r>
      <w:r>
        <w:rPr>
          <w:rFonts w:ascii="Calibri" w:cs="Calibri" w:eastAsia="Calibri" w:hAnsi="Calibri"/>
        </w:rPr>
        <w:t xml:space="preserve">Δ</w:t>
      </w:r>
      <w:r>
        <w:rPr>
          <w:rFonts w:ascii="Calibri" w:cs="Calibri" w:eastAsia="Calibri" w:hAnsi="Calibri"/>
          <w:i/>
          <w:iCs/>
        </w:rPr>
        <w:t xml:space="preserve">r</w:t>
      </w:r>
      <w:r>
        <w:rPr>
          <w:rFonts w:ascii="Calibri" w:cs="Calibri" w:eastAsia="Calibri" w:hAnsi="Calibri"/>
        </w:rPr>
        <w:t xml:space="preserve">, </w:t>
      </w:r>
      <w:r>
        <w:rPr>
          <w:rFonts w:ascii="Calibri" w:cs="Calibri" w:eastAsia="Calibri" w:hAnsi="Calibri"/>
          <w:i/>
          <w:iCs/>
        </w:rPr>
        <w:t xml:space="preserve">i</w:t>
      </w:r>
      <w:r>
        <w:rPr>
          <w:rFonts w:ascii="Calibri" w:cs="Calibri" w:eastAsia="Calibri" w:hAnsi="Calibri"/>
        </w:rPr>
        <w:t xml:space="preserve"> = 1…N, with </w:t>
      </w:r>
      <w:r>
        <w:rPr>
          <w:rFonts w:ascii="Calibri" w:cs="Calibri" w:eastAsia="Calibri" w:hAnsi="Calibri"/>
          <w:i/>
          <w:iCs/>
        </w:rPr>
        <w:t xml:space="preserve">u</w:t>
      </w:r>
      <w:r>
        <w:rPr>
          <w:rFonts w:ascii="Calibri" w:cs="Calibri" w:eastAsia="Calibri" w:hAnsi="Calibri"/>
        </w:rPr>
        <w:t xml:space="preserve">(0) = 0 and </w:t>
      </w:r>
      <w:r>
        <w:rPr>
          <w:rFonts w:ascii="Calibri" w:cs="Calibri" w:eastAsia="Calibri" w:hAnsi="Calibri"/>
          <w:i/>
          <w:iCs/>
        </w:rPr>
        <w:t xml:space="preserve">u</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vertAlign w:val="subscript"/>
        </w:rPr>
        <w:t xml:space="preserve">max</w:t>
      </w:r>
      <w:r>
        <w:rPr>
          <w:rFonts w:ascii="Calibri" w:cs="Calibri" w:eastAsia="Calibri" w:hAnsi="Calibri"/>
        </w:rPr>
        <w:t xml:space="preserve">) = 0 (hard outer wall — place </w:t>
      </w:r>
      <w:r>
        <w:rPr>
          <w:rFonts w:ascii="Calibri" w:cs="Calibri" w:eastAsia="Calibri" w:hAnsi="Calibri"/>
          <w:i/>
          <w:iCs/>
        </w:rPr>
        <w:t xml:space="preserve">R</w:t>
      </w:r>
      <w:r>
        <w:rPr>
          <w:rFonts w:ascii="Calibri" w:cs="Calibri" w:eastAsia="Calibri" w:hAnsi="Calibri"/>
          <w:vertAlign w:val="subscript"/>
        </w:rPr>
        <w:t xml:space="preserve">max</w:t>
      </w:r>
      <w:r>
        <w:rPr>
          <w:rFonts w:ascii="Calibri" w:cs="Calibri" w:eastAsia="Calibri" w:hAnsi="Calibri"/>
        </w:rPr>
        <w:t xml:space="preserve"> far enough out, or a few eV outer barrier, that this does not distort the bound state). Eq. 4.1 becomes a real, symmetric tridiagonal matrix eigenvalue problem when written in terms of mass-weighted finite differences:</w:t>
      </w:r>
    </w:p>
    <w:p>
      <w:pPr>
        <w:pBdr>
          <w:top w:val="single" w:color="D9DEE4" w:sz="2"/>
          <w:bottom w:val="single" w:color="D9DEE4" w:sz="2"/>
        </w:pBdr>
        <w:shd w:fill="F4F6F8" w:val="clear"/>
        <w:spacing w:after="160" w:before="160"/>
        <w:jc w:val="center"/>
      </w:pPr>
      <w:r>
        <w:rPr>
          <w:rFonts w:ascii="Calibri" w:cs="Calibri" w:eastAsia="Calibri" w:hAnsi="Calibri"/>
        </w:rPr>
        <w:t xml:space="preserve">−ħ²/2 · [ 2/(</w:t>
      </w:r>
      <w:r>
        <w:rPr>
          <w:rFonts w:ascii="Calibri" w:cs="Calibri" w:eastAsia="Calibri" w:hAnsi="Calibri"/>
          <w:i/>
          <w:iCs/>
        </w:rPr>
        <w:t xml:space="preserve">m</w:t>
      </w:r>
      <w:r>
        <w:rPr>
          <w:rFonts w:ascii="Calibri" w:cs="Calibri" w:eastAsia="Calibri" w:hAnsi="Calibri"/>
          <w:vertAlign w:val="subscript"/>
        </w:rPr>
        <w:t xml:space="preserve">i-1/2</w:t>
      </w:r>
      <w:r>
        <w:rPr>
          <w:rFonts w:ascii="Calibri" w:cs="Calibri" w:eastAsia="Calibri" w:hAnsi="Calibri"/>
        </w:rPr>
        <w:t xml:space="preserve">+</w:t>
      </w:r>
      <w:r>
        <w:rPr>
          <w:rFonts w:ascii="Calibri" w:cs="Calibri" w:eastAsia="Calibri" w:hAnsi="Calibri"/>
          <w:i/>
          <w:iCs/>
        </w:rPr>
        <w:t xml:space="preserve">m</w:t>
      </w:r>
      <w:r>
        <w:rPr>
          <w:rFonts w:ascii="Calibri" w:cs="Calibri" w:eastAsia="Calibri" w:hAnsi="Calibri"/>
          <w:vertAlign w:val="subscript"/>
        </w:rPr>
        <w:t xml:space="preserve">i+1/2</w:t>
      </w:r>
      <w:r>
        <w:rPr>
          <w:rFonts w:ascii="Calibri" w:cs="Calibri" w:eastAsia="Calibri" w:hAnsi="Calibri"/>
        </w:rPr>
        <w:t xml:space="preserve">) ] · [ (</w:t>
      </w:r>
      <w:r>
        <w:rPr>
          <w:rFonts w:ascii="Calibri" w:cs="Calibri" w:eastAsia="Calibri" w:hAnsi="Calibri"/>
          <w:i/>
          <w:iCs/>
        </w:rPr>
        <w:t xml:space="preserve">u</w:t>
      </w:r>
      <w:r>
        <w:rPr>
          <w:rFonts w:ascii="Calibri" w:cs="Calibri" w:eastAsia="Calibri" w:hAnsi="Calibri"/>
          <w:vertAlign w:val="subscript"/>
        </w:rPr>
        <w:t xml:space="preserve">i+1</w:t>
      </w:r>
      <w:r>
        <w:rPr>
          <w:rFonts w:ascii="Calibri" w:cs="Calibri" w:eastAsia="Calibri" w:hAnsi="Calibri"/>
        </w:rPr>
        <w:t xml:space="preserve">−</w:t>
      </w:r>
      <w:r>
        <w:rPr>
          <w:rFonts w:ascii="Calibri" w:cs="Calibri" w:eastAsia="Calibri" w:hAnsi="Calibri"/>
          <w:i/>
          <w:iCs/>
        </w:rPr>
        <w:t xml:space="preserve">u</w:t>
      </w:r>
      <w:r>
        <w:rPr>
          <w:rFonts w:ascii="Calibri" w:cs="Calibri" w:eastAsia="Calibri" w:hAnsi="Calibri"/>
          <w:vertAlign w:val="subscript"/>
        </w:rPr>
        <w:t xml:space="preserve">i</w:t>
      </w:r>
      <w:r>
        <w:rPr>
          <w:rFonts w:ascii="Calibri" w:cs="Calibri" w:eastAsia="Calibri" w:hAnsi="Calibri"/>
        </w:rPr>
        <w:t xml:space="preserve">)/</w:t>
      </w:r>
      <w:r>
        <w:rPr>
          <w:rFonts w:ascii="Calibri" w:cs="Calibri" w:eastAsia="Calibri" w:hAnsi="Calibri"/>
          <w:i/>
          <w:iCs/>
        </w:rPr>
        <w:t xml:space="preserve">m</w:t>
      </w:r>
      <w:r>
        <w:rPr>
          <w:rFonts w:ascii="Calibri" w:cs="Calibri" w:eastAsia="Calibri" w:hAnsi="Calibri"/>
          <w:vertAlign w:val="subscript"/>
        </w:rPr>
        <w:t xml:space="preserve">i+1/2</w:t>
      </w:r>
      <w:r>
        <w:rPr>
          <w:rFonts w:ascii="Calibri" w:cs="Calibri" w:eastAsia="Calibri" w:hAnsi="Calibri"/>
        </w:rPr>
        <w:t xml:space="preserve"> − (</w:t>
      </w:r>
      <w:r>
        <w:rPr>
          <w:rFonts w:ascii="Calibri" w:cs="Calibri" w:eastAsia="Calibri" w:hAnsi="Calibri"/>
          <w:i/>
          <w:iCs/>
        </w:rPr>
        <w:t xml:space="preserve">u</w:t>
      </w:r>
      <w:r>
        <w:rPr>
          <w:rFonts w:ascii="Calibri" w:cs="Calibri" w:eastAsia="Calibri" w:hAnsi="Calibri"/>
          <w:vertAlign w:val="subscript"/>
        </w:rPr>
        <w:t xml:space="preserve">i</w:t>
      </w:r>
      <w:r>
        <w:rPr>
          <w:rFonts w:ascii="Calibri" w:cs="Calibri" w:eastAsia="Calibri" w:hAnsi="Calibri"/>
        </w:rPr>
        <w:t xml:space="preserve">−</w:t>
      </w:r>
      <w:r>
        <w:rPr>
          <w:rFonts w:ascii="Calibri" w:cs="Calibri" w:eastAsia="Calibri" w:hAnsi="Calibri"/>
          <w:i/>
          <w:iCs/>
        </w:rPr>
        <w:t xml:space="preserve">u</w:t>
      </w:r>
      <w:r>
        <w:rPr>
          <w:rFonts w:ascii="Calibri" w:cs="Calibri" w:eastAsia="Calibri" w:hAnsi="Calibri"/>
          <w:vertAlign w:val="subscript"/>
        </w:rPr>
        <w:t xml:space="preserve">i-1</w:t>
      </w:r>
      <w:r>
        <w:rPr>
          <w:rFonts w:ascii="Calibri" w:cs="Calibri" w:eastAsia="Calibri" w:hAnsi="Calibri"/>
        </w:rPr>
        <w:t xml:space="preserve">)/</w:t>
      </w:r>
      <w:r>
        <w:rPr>
          <w:rFonts w:ascii="Calibri" w:cs="Calibri" w:eastAsia="Calibri" w:hAnsi="Calibri"/>
          <w:i/>
          <w:iCs/>
        </w:rPr>
        <w:t xml:space="preserve">m</w:t>
      </w:r>
      <w:r>
        <w:rPr>
          <w:rFonts w:ascii="Calibri" w:cs="Calibri" w:eastAsia="Calibri" w:hAnsi="Calibri"/>
          <w:vertAlign w:val="subscript"/>
        </w:rPr>
        <w:t xml:space="preserve">i-1/2</w:t>
      </w:r>
      <w:r>
        <w:rPr>
          <w:rFonts w:ascii="Calibri" w:cs="Calibri" w:eastAsia="Calibri" w:hAnsi="Calibri"/>
        </w:rPr>
        <w:t xml:space="preserve">) ] / Δ</w:t>
      </w:r>
      <w:r>
        <w:rPr>
          <w:rFonts w:ascii="Calibri" w:cs="Calibri" w:eastAsia="Calibri" w:hAnsi="Calibri"/>
          <w:i/>
          <w:iCs/>
        </w:rPr>
        <w:t xml:space="preserve">r</w:t>
      </w:r>
      <w:r>
        <w:rPr>
          <w:rFonts w:ascii="Calibri" w:cs="Calibri" w:eastAsia="Calibri" w:hAnsi="Calibri"/>
          <w:vertAlign w:val="superscript"/>
        </w:rPr>
        <w:t xml:space="preserve">2</w:t>
      </w:r>
      <w:r>
        <w:rPr>
          <w:rFonts w:ascii="Calibri" w:cs="Calibri" w:eastAsia="Calibri" w:hAnsi="Calibri"/>
        </w:rPr>
        <w:t xml:space="preserve"> + </w:t>
      </w:r>
      <w:r>
        <w:rPr>
          <w:rFonts w:ascii="Calibri" w:cs="Calibri" w:eastAsia="Calibri" w:hAnsi="Calibri"/>
          <w:i/>
          <w:iCs/>
        </w:rPr>
        <w:t xml:space="preserve">V</w:t>
      </w:r>
      <w:r>
        <w:rPr>
          <w:rFonts w:ascii="Calibri" w:cs="Calibri" w:eastAsia="Calibri" w:hAnsi="Calibri"/>
          <w:vertAlign w:val="subscript"/>
        </w:rPr>
        <w:t xml:space="preserve">i</w:t>
      </w:r>
      <w:r>
        <w:rPr>
          <w:rFonts w:ascii="Calibri" w:cs="Calibri" w:eastAsia="Calibri" w:hAnsi="Calibri"/>
          <w:i/>
          <w:iCs/>
        </w:rPr>
        <w:t xml:space="preserve">u</w:t>
      </w:r>
      <w:r>
        <w:rPr>
          <w:rFonts w:ascii="Calibri" w:cs="Calibri" w:eastAsia="Calibri" w:hAnsi="Calibri"/>
          <w:vertAlign w:val="subscript"/>
        </w:rPr>
        <w:t xml:space="preserve">i</w:t>
      </w:r>
      <w:r>
        <w:rPr>
          <w:rFonts w:ascii="Calibri" w:cs="Calibri" w:eastAsia="Calibri" w:hAnsi="Calibri"/>
        </w:rPr>
        <w:t xml:space="preserve"> = </w:t>
      </w:r>
      <w:r>
        <w:rPr>
          <w:rFonts w:ascii="Calibri" w:cs="Calibri" w:eastAsia="Calibri" w:hAnsi="Calibri"/>
          <w:i/>
          <w:iCs/>
        </w:rPr>
        <w:t xml:space="preserve">E</w:t>
      </w:r>
      <w:r>
        <w:rPr>
          <w:rFonts w:ascii="Calibri" w:cs="Calibri" w:eastAsia="Calibri" w:hAnsi="Calibri"/>
          <w:i/>
          <w:iCs/>
        </w:rPr>
        <w:t xml:space="preserve">u</w:t>
      </w:r>
      <w:r>
        <w:rPr>
          <w:rFonts w:ascii="Calibri" w:cs="Calibri" w:eastAsia="Calibri" w:hAnsi="Calibri"/>
          <w:vertAlign w:val="subscript"/>
        </w:rPr>
        <w:t xml:space="preserve">i</w:t>
      </w:r>
      <w:r>
        <w:rPr>
          <w:rFonts w:ascii="Calibri" w:cs="Calibri" w:eastAsia="Calibri" w:hAnsi="Calibri"/>
          <w:i/>
          <w:iCs/>
          <w:color w:val="555555"/>
        </w:rPr>
        <w:t xml:space="preserve">   (6.1)</w:t>
      </w:r>
    </w:p>
    <w:p>
      <w:pPr>
        <w:spacing w:after="160" w:line="276"/>
      </w:pPr>
      <w:r>
        <w:rPr>
          <w:rFonts w:ascii="Calibri" w:cs="Calibri" w:eastAsia="Calibri" w:hAnsi="Calibri"/>
        </w:rPr>
        <w:t xml:space="preserve">(this symmetrized form automatically enforces the BenDaniel–Duke matching condition of Eq. 4.2 at every interface without special-casing it). Assemble this as an N×N tridiagonal matrix and find its lowest eigenvalue/eigenvector with a standard sparse eigensolver (e.g., </w:t>
      </w:r>
      <w:r>
        <w:rPr>
          <w:rFonts w:ascii="Calibri" w:cs="Calibri" w:eastAsia="Calibri" w:hAnsi="Calibri"/>
        </w:rPr>
        <w:t xml:space="preserve">scipy.sparse.linalg.eigsh</w:t>
      </w:r>
      <w:r>
        <w:rPr>
          <w:rFonts w:ascii="Calibri" w:cs="Calibri" w:eastAsia="Calibri" w:hAnsi="Calibri"/>
        </w:rPr>
        <w:t xml:space="preserve"> in Python) — this gives the electron ground-state energy </w:t>
      </w:r>
      <w:r>
        <w:rPr>
          <w:rFonts w:ascii="Calibri" w:cs="Calibri" w:eastAsia="Calibri" w:hAnsi="Calibri"/>
          <w:i/>
          <w:iCs/>
        </w:rPr>
        <w:t xml:space="preserve">E</w:t>
      </w:r>
      <w:r>
        <w:rPr>
          <w:rFonts w:ascii="Calibri" w:cs="Calibri" w:eastAsia="Calibri" w:hAnsi="Calibri"/>
          <w:vertAlign w:val="subscript"/>
        </w:rPr>
        <w:t xml:space="preserve">e</w:t>
      </w:r>
      <w:r>
        <w:rPr>
          <w:rFonts w:ascii="Calibri" w:cs="Calibri" w:eastAsia="Calibri" w:hAnsi="Calibri"/>
        </w:rPr>
        <w:t xml:space="preserve"> and wavefunction directly; repeat with the hole mass profile and </w:t>
      </w:r>
      <w:r>
        <w:rPr>
          <w:rFonts w:ascii="Calibri" w:cs="Calibri" w:eastAsia="Calibri" w:hAnsi="Calibri"/>
          <w:i/>
          <w:iCs/>
        </w:rPr>
        <w:t xml:space="preserve">V</w:t>
      </w:r>
      <w:r>
        <w:rPr>
          <w:rFonts w:ascii="Calibri" w:cs="Calibri" w:eastAsia="Calibri" w:hAnsi="Calibri"/>
          <w:vertAlign w:val="subscript"/>
        </w:rPr>
        <w:t xml:space="preserve">h</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rPr>
        <w:t xml:space="preserve">) for </w:t>
      </w:r>
      <w:r>
        <w:rPr>
          <w:rFonts w:ascii="Calibri" w:cs="Calibri" w:eastAsia="Calibri" w:hAnsi="Calibri"/>
          <w:i/>
          <w:iCs/>
        </w:rPr>
        <w:t xml:space="preserve">E</w:t>
      </w:r>
      <w:r>
        <w:rPr>
          <w:rFonts w:ascii="Calibri" w:cs="Calibri" w:eastAsia="Calibri" w:hAnsi="Calibri"/>
          <w:vertAlign w:val="subscript"/>
        </w:rPr>
        <w:t xml:space="preserve">h</w:t>
      </w:r>
      <w:r>
        <w:rPr>
          <w:rFonts w:ascii="Calibri" w:cs="Calibri" w:eastAsia="Calibri" w:hAnsi="Calibri"/>
        </w:rPr>
        <w:t xml:space="preserve">. A grid spacing Δ</w:t>
      </w:r>
      <w:r>
        <w:rPr>
          <w:rFonts w:ascii="Calibri" w:cs="Calibri" w:eastAsia="Calibri" w:hAnsi="Calibri"/>
          <w:i/>
          <w:iCs/>
        </w:rPr>
        <w:t xml:space="preserve">r</w:t>
      </w:r>
      <w:r>
        <w:rPr>
          <w:rFonts w:ascii="Calibri" w:cs="Calibri" w:eastAsia="Calibri" w:hAnsi="Calibri"/>
        </w:rPr>
        <w:t xml:space="preserve"> ≈ </w:t>
      </w:r>
      <w:r>
        <w:rPr>
          <w:rFonts w:ascii="Calibri" w:cs="Calibri" w:eastAsia="Calibri" w:hAnsi="Calibri"/>
          <w:i/>
          <w:iCs/>
        </w:rPr>
        <w:t xml:space="preserve">R</w:t>
      </w:r>
      <w:r>
        <w:rPr>
          <w:rFonts w:ascii="Calibri" w:cs="Calibri" w:eastAsia="Calibri" w:hAnsi="Calibri"/>
          <w:vertAlign w:val="subscript"/>
        </w:rPr>
        <w:t xml:space="preserve">1</w:t>
      </w:r>
      <w:r>
        <w:rPr>
          <w:rFonts w:ascii="Calibri" w:cs="Calibri" w:eastAsia="Calibri" w:hAnsi="Calibri"/>
        </w:rPr>
        <w:t xml:space="preserve">/200 to </w:t>
      </w:r>
      <w:r>
        <w:rPr>
          <w:rFonts w:ascii="Calibri" w:cs="Calibri" w:eastAsia="Calibri" w:hAnsi="Calibri"/>
          <w:i/>
          <w:iCs/>
        </w:rPr>
        <w:t xml:space="preserve">R</w:t>
      </w:r>
      <w:r>
        <w:rPr>
          <w:rFonts w:ascii="Calibri" w:cs="Calibri" w:eastAsia="Calibri" w:hAnsi="Calibri"/>
          <w:vertAlign w:val="subscript"/>
        </w:rPr>
        <w:t xml:space="preserve">1</w:t>
      </w:r>
      <w:r>
        <w:rPr>
          <w:rFonts w:ascii="Calibri" w:cs="Calibri" w:eastAsia="Calibri" w:hAnsi="Calibri"/>
        </w:rPr>
        <w:t xml:space="preserve">/500 is typically sufficient for meV-level convergence; always run a grid-convergence check (halve Δ</w:t>
      </w:r>
      <w:r>
        <w:rPr>
          <w:rFonts w:ascii="Calibri" w:cs="Calibri" w:eastAsia="Calibri" w:hAnsi="Calibri"/>
          <w:i/>
          <w:iCs/>
        </w:rPr>
        <w:t xml:space="preserve">r</w:t>
      </w:r>
      <w:r>
        <w:rPr>
          <w:rFonts w:ascii="Calibri" w:cs="Calibri" w:eastAsia="Calibri" w:hAnsi="Calibri"/>
        </w:rPr>
        <w:t xml:space="preserve"> and confirm the eigenvalue changes by &lt; 1 meV) before trusting an output.</w:t>
      </w:r>
    </w:p>
    <w:p>
      <w:pPr>
        <w:pStyle w:val="Heading2"/>
        <w:spacing w:after="120" w:before="280"/>
      </w:pPr>
      <w:r>
        <w:t xml:space="preserve">6.3 Alternative: shooting method</w:t>
      </w:r>
    </w:p>
    <w:p>
      <w:pPr>
        <w:spacing w:after="160" w:line="276"/>
      </w:pPr>
      <w:r>
        <w:rPr>
          <w:rFonts w:ascii="Calibri" w:cs="Calibri" w:eastAsia="Calibri" w:hAnsi="Calibri"/>
        </w:rPr>
        <w:t xml:space="preserve">For a single bound state (the 1S ground state, which is what a band-gap-only simulator needs), a shooting method is simpler to implement and just as accurate: integrate the radial equation outward from </w:t>
      </w:r>
      <w:r>
        <w:rPr>
          <w:rFonts w:ascii="Calibri" w:cs="Calibri" w:eastAsia="Calibri" w:hAnsi="Calibri"/>
          <w:i/>
          <w:iCs/>
        </w:rPr>
        <w:t xml:space="preserve">r</w:t>
      </w:r>
      <w:r>
        <w:rPr>
          <w:rFonts w:ascii="Calibri" w:cs="Calibri" w:eastAsia="Calibri" w:hAnsi="Calibri"/>
        </w:rPr>
        <w:t xml:space="preserve"> = 0 for a trial energy </w:t>
      </w:r>
      <w:r>
        <w:rPr>
          <w:rFonts w:ascii="Calibri" w:cs="Calibri" w:eastAsia="Calibri" w:hAnsi="Calibri"/>
          <w:i/>
          <w:iCs/>
        </w:rPr>
        <w:t xml:space="preserve">E</w:t>
      </w:r>
      <w:r>
        <w:rPr>
          <w:rFonts w:ascii="Calibri" w:cs="Calibri" w:eastAsia="Calibri" w:hAnsi="Calibri"/>
        </w:rPr>
        <w:t xml:space="preserve">, using the matching conditions of Eq. 4.2 at each interface, and adjust </w:t>
      </w:r>
      <w:r>
        <w:rPr>
          <w:rFonts w:ascii="Calibri" w:cs="Calibri" w:eastAsia="Calibri" w:hAnsi="Calibri"/>
          <w:i/>
          <w:iCs/>
        </w:rPr>
        <w:t xml:space="preserve">E</w:t>
      </w:r>
      <w:r>
        <w:rPr>
          <w:rFonts w:ascii="Calibri" w:cs="Calibri" w:eastAsia="Calibri" w:hAnsi="Calibri"/>
        </w:rPr>
        <w:t xml:space="preserve"> (via bisection) until </w:t>
      </w:r>
      <w:r>
        <w:rPr>
          <w:rFonts w:ascii="Calibri" w:cs="Calibri" w:eastAsia="Calibri" w:hAnsi="Calibri"/>
          <w:i/>
          <w:iCs/>
        </w:rPr>
        <w:t xml:space="preserve">u</w:t>
      </w:r>
      <w:r>
        <w:rPr>
          <w:rFonts w:ascii="Calibri" w:cs="Calibri" w:eastAsia="Calibri" w:hAnsi="Calibri"/>
        </w:rPr>
        <w:t xml:space="preserve">(</w:t>
      </w:r>
      <w:r>
        <w:rPr>
          <w:rFonts w:ascii="Calibri" w:cs="Calibri" w:eastAsia="Calibri" w:hAnsi="Calibri"/>
          <w:i/>
          <w:iCs/>
        </w:rPr>
        <w:t xml:space="preserve">R</w:t>
      </w:r>
      <w:r>
        <w:rPr>
          <w:rFonts w:ascii="Calibri" w:cs="Calibri" w:eastAsia="Calibri" w:hAnsi="Calibri"/>
          <w:vertAlign w:val="subscript"/>
        </w:rPr>
        <w:t xml:space="preserve">max</w:t>
      </w:r>
      <w:r>
        <w:rPr>
          <w:rFonts w:ascii="Calibri" w:cs="Calibri" w:eastAsia="Calibri" w:hAnsi="Calibri"/>
        </w:rPr>
        <w:t xml:space="preserve">) → 0 (or matches the correct decaying-exponential tail in the finite-barrier case). This avoids building a full matrix and is well-suited to a lightweight, dependency-free simulator core.</w:t>
      </w:r>
    </w:p>
    <w:p>
      <w:pPr>
        <w:pStyle w:val="Heading2"/>
        <w:spacing w:after="120" w:before="280"/>
      </w:pPr>
      <w:r>
        <w:t xml:space="preserve">6.4 Validation checklist</w:t>
      </w:r>
    </w:p>
    <w:p>
      <w:pPr>
        <w:pStyle w:val="ListParagraph"/>
        <w:numPr>
          <w:ilvl w:val="0"/>
          <w:numId w:val="3"/>
        </w:numPr>
        <w:spacing w:after="100"/>
      </w:pPr>
      <w:r>
        <w:rPr>
          <w:rFonts w:ascii="Calibri" w:cs="Calibri" w:eastAsia="Calibri" w:hAnsi="Calibri"/>
        </w:rPr>
        <w:t xml:space="preserve">Recover the bulk limit: as R → ∞, Eg(R) → Eg,bulk.</w:t>
      </w:r>
    </w:p>
    <w:p>
      <w:pPr>
        <w:pStyle w:val="ListParagraph"/>
        <w:numPr>
          <w:ilvl w:val="0"/>
          <w:numId w:val="3"/>
        </w:numPr>
        <w:spacing w:after="100"/>
      </w:pPr>
      <w:r>
        <w:rPr>
          <w:rFonts w:ascii="Calibri" w:cs="Calibri" w:eastAsia="Calibri" w:hAnsi="Calibri"/>
        </w:rPr>
        <w:t xml:space="preserve">Recover the known infinite-well closed form (Eq. 3.2) in the limit of an infinite barrier — use this as a unit test for the finite-difference/shooting solver.</w:t>
      </w:r>
    </w:p>
    <w:p>
      <w:pPr>
        <w:pStyle w:val="ListParagraph"/>
        <w:numPr>
          <w:ilvl w:val="0"/>
          <w:numId w:val="3"/>
        </w:numPr>
        <w:spacing w:after="100"/>
      </w:pPr>
      <w:r>
        <w:rPr>
          <w:rFonts w:ascii="Calibri" w:cs="Calibri" w:eastAsia="Calibri" w:hAnsi="Calibri"/>
        </w:rPr>
        <w:t xml:space="preserve">Reproduce at least one well-documented experimental calibration point per material family, e.g., CdSe QDs of ~2.5–3 nm diameter emitting/absorbing in the ~530–560 nm range; PbS QDs of ~3–6 nm diameter absorbing in the ~950–1400 nm range.</w:t>
      </w:r>
    </w:p>
    <w:p>
      <w:pPr>
        <w:pStyle w:val="ListParagraph"/>
        <w:numPr>
          <w:ilvl w:val="0"/>
          <w:numId w:val="3"/>
        </w:numPr>
        <w:spacing w:after="100"/>
      </w:pPr>
      <w:r>
        <w:rPr>
          <w:rFonts w:ascii="Calibri" w:cs="Calibri" w:eastAsia="Calibri" w:hAnsi="Calibri"/>
        </w:rPr>
        <w:t xml:space="preserve">Flag (in the UI, not just internally) any result computed at R below ~1.5 nm as outside the EMA's validated range.</w:t>
      </w:r>
    </w:p>
    <w:p>
      <w:pPr>
        <w:pStyle w:val="Heading1"/>
        <w:spacing w:after="160" w:before="360"/>
      </w:pPr>
      <w:r>
        <w:t xml:space="preserve">7. Key References</w:t>
      </w:r>
    </w:p>
    <w:p>
      <w:pPr>
        <w:spacing w:after="160" w:line="276"/>
      </w:pPr>
      <w:r>
        <w:rPr>
          <w:rFonts w:ascii="Calibri" w:cs="Calibri" w:eastAsia="Calibri" w:hAnsi="Calibri"/>
        </w:rPr>
        <w:t xml:space="preserve">The following are the foundational and representative papers behind the models above. They are listed for further reading and parameter cross-checking, not reproduced here beyond standard bibliographic description.</w:t>
      </w:r>
    </w:p>
    <w:p>
      <w:pPr>
        <w:pStyle w:val="ListParagraph"/>
        <w:numPr>
          <w:ilvl w:val="0"/>
          <w:numId w:val="3"/>
        </w:numPr>
        <w:spacing w:after="100"/>
      </w:pPr>
      <w:r>
        <w:rPr>
          <w:rFonts w:ascii="Calibri" w:cs="Calibri" w:eastAsia="Calibri" w:hAnsi="Calibri"/>
        </w:rPr>
        <w:t xml:space="preserve">L. E. Brus, "Electronic wave functions in semiconductor clusters: experiment and theory," J. Phys. Chem. 90, 2555 (1986) — origin of the effective-mass size-scaling model (the "Brus equation").</w:t>
      </w:r>
    </w:p>
    <w:p>
      <w:pPr>
        <w:pStyle w:val="ListParagraph"/>
        <w:numPr>
          <w:ilvl w:val="0"/>
          <w:numId w:val="3"/>
        </w:numPr>
        <w:spacing w:after="100"/>
      </w:pPr>
      <w:r>
        <w:rPr>
          <w:rFonts w:ascii="Calibri" w:cs="Calibri" w:eastAsia="Calibri" w:hAnsi="Calibri"/>
        </w:rPr>
        <w:t xml:space="preserve">Al. L. Efros and A. L. Efros, "Interband absorption of light in a semiconductor sphere," Sov. Phys. Semicond. 16, 772 (1982) — independent derivation of quantum confinement scaling.</w:t>
      </w:r>
    </w:p>
    <w:p>
      <w:pPr>
        <w:pStyle w:val="ListParagraph"/>
        <w:numPr>
          <w:ilvl w:val="0"/>
          <w:numId w:val="3"/>
        </w:numPr>
        <w:spacing w:after="100"/>
      </w:pPr>
      <w:r>
        <w:rPr>
          <w:rFonts w:ascii="Calibri" w:cs="Calibri" w:eastAsia="Calibri" w:hAnsi="Calibri"/>
        </w:rPr>
        <w:t xml:space="preserve">Y. Kayanuma, "Quantum-size effects of interacting electrons and holes in semiconductor microcrystals with different band gaps," Phys. Rev. B 38, 9797 (1988) — finite-barrier and correlation corrections.</w:t>
      </w:r>
    </w:p>
    <w:p>
      <w:pPr>
        <w:pStyle w:val="ListParagraph"/>
        <w:numPr>
          <w:ilvl w:val="0"/>
          <w:numId w:val="3"/>
        </w:numPr>
        <w:spacing w:after="100"/>
      </w:pPr>
      <w:r>
        <w:rPr>
          <w:rFonts w:ascii="Calibri" w:cs="Calibri" w:eastAsia="Calibri" w:hAnsi="Calibri"/>
        </w:rPr>
        <w:t xml:space="preserve">I. Vurgaftman, J. R. Meyer, L. R. Ram-Mohan, "Band parameters for III–V compound semiconductors and their alloys," J. Appl. Phys. 89, 5815 (2001) — standard reference compilation for III–V effective masses, gaps, and offsets.</w:t>
      </w:r>
    </w:p>
    <w:p>
      <w:pPr>
        <w:pStyle w:val="ListParagraph"/>
        <w:numPr>
          <w:ilvl w:val="0"/>
          <w:numId w:val="3"/>
        </w:numPr>
        <w:spacing w:after="100"/>
      </w:pPr>
      <w:r>
        <w:rPr>
          <w:rFonts w:ascii="Calibri" w:cs="Calibri" w:eastAsia="Calibri" w:hAnsi="Calibri"/>
        </w:rPr>
        <w:t xml:space="preserve">O. Madelung (ed.), Semiconductors: Data Handbook, 3rd ed., Springer (2004) — standard reference compilation for II–VI/IV–VI bulk parameters.</w:t>
      </w:r>
    </w:p>
    <w:p>
      <w:pPr>
        <w:pStyle w:val="ListParagraph"/>
        <w:numPr>
          <w:ilvl w:val="0"/>
          <w:numId w:val="3"/>
        </w:numPr>
        <w:spacing w:after="100"/>
      </w:pPr>
      <w:r>
        <w:rPr>
          <w:rFonts w:ascii="Calibri" w:cs="Calibri" w:eastAsia="Calibri" w:hAnsi="Calibri"/>
        </w:rPr>
        <w:t xml:space="preserve">C. G. Van de Walle, "Band lineups and deformation potentials in the model-solid theory," Phys. Rev. B 39, 1871 (1989) — deformation-potential framework used for strain corrections in Section 4.4.</w:t>
      </w:r>
    </w:p>
    <w:p>
      <w:pPr>
        <w:pStyle w:val="ListParagraph"/>
        <w:numPr>
          <w:ilvl w:val="0"/>
          <w:numId w:val="3"/>
        </w:numPr>
        <w:spacing w:after="100"/>
      </w:pPr>
      <w:r>
        <w:rPr>
          <w:rFonts w:ascii="Calibri" w:cs="Calibri" w:eastAsia="Calibri" w:hAnsi="Calibri"/>
        </w:rPr>
        <w:t xml:space="preserve">P. Reiss, M. Protière, L. Li, "Core/shell semiconductor nanocrystals," Small 5, 154 (2009) — review of core/shell synthesis and Type I/II classification.</w:t>
      </w:r>
    </w:p>
    <w:p>
      <w:pPr>
        <w:pStyle w:val="ListParagraph"/>
        <w:numPr>
          <w:ilvl w:val="0"/>
          <w:numId w:val="3"/>
        </w:numPr>
        <w:spacing w:after="100"/>
      </w:pPr>
      <w:r>
        <w:rPr>
          <w:rFonts w:ascii="Calibri" w:cs="Calibri" w:eastAsia="Calibri" w:hAnsi="Calibri"/>
        </w:rPr>
        <w:t xml:space="preserve">Review on core/shell QD classification, materials, and theoretical modeling, Materials Science &amp; Engineering B (2022) — survey of Type I/quasi-Type II/Type II band-alignment modeling approaches used in Section 4.1.</w:t>
      </w:r>
    </w:p>
    <w:p>
      <w:pPr>
        <w:pStyle w:val="ListParagraph"/>
        <w:numPr>
          <w:ilvl w:val="0"/>
          <w:numId w:val="3"/>
        </w:numPr>
        <w:spacing w:after="100"/>
      </w:pPr>
      <w:r>
        <w:rPr>
          <w:rFonts w:ascii="Calibri" w:cs="Calibri" w:eastAsia="Calibri" w:hAnsi="Calibri"/>
        </w:rPr>
        <w:t xml:space="preserve">Analytical one-band effective-mass treatments of Type I and Type II spherical core/shell quantum dots (CdTe/ZnSe, ZnTe/ZnSe systems) incorporating elastic-continuum strain, J. Optoelectron. Adv. Mater. (2013) — basis for the strain-coupled EMA model in Section 4.4.</w:t>
      </w:r>
    </w:p>
    <w:p>
      <w:pPr>
        <w:pStyle w:val="ListParagraph"/>
        <w:numPr>
          <w:ilvl w:val="0"/>
          <w:numId w:val="3"/>
        </w:numPr>
        <w:spacing w:after="100"/>
      </w:pPr>
      <w:r>
        <w:rPr>
          <w:rFonts w:ascii="Calibri" w:cs="Calibri" w:eastAsia="Calibri" w:hAnsi="Calibri"/>
        </w:rPr>
        <w:t xml:space="preserve">Experimental and modeling study of strain effects on CdSe core and CdSe/ZnS core/shell band gap and diameter vs. temperature, Advances in Materials Science and Engineering (2019) — source of the representative CdSe/ZnS strain-shift magnitude quoted in Section 4.4.</w:t>
      </w:r>
    </w:p>
    <w:p>
      <w:pPr>
        <w:pStyle w:val="ListParagraph"/>
        <w:numPr>
          <w:ilvl w:val="0"/>
          <w:numId w:val="3"/>
        </w:numPr>
        <w:spacing w:after="100"/>
      </w:pPr>
      <w:r>
        <w:rPr>
          <w:rFonts w:ascii="Calibri" w:cs="Calibri" w:eastAsia="Calibri" w:hAnsi="Calibri"/>
        </w:rPr>
        <w:t xml:space="preserve">Optical/XPS determination of band alignment in CdSe/CdS core/shell quantum dots — source of the CdSe/CdS conduction-band-offset debate noted in Section 4.3.</w:t>
      </w:r>
    </w:p>
    <w:p>
      <w:pPr>
        <w:pStyle w:val="ListParagraph"/>
        <w:numPr>
          <w:ilvl w:val="0"/>
          <w:numId w:val="3"/>
        </w:numPr>
        <w:spacing w:after="100"/>
      </w:pPr>
      <w:r>
        <w:rPr>
          <w:rFonts w:ascii="Calibri" w:cs="Calibri" w:eastAsia="Calibri" w:hAnsi="Calibri"/>
        </w:rPr>
        <w:t xml:space="preserve">Room-temperature single-emitter study of PbS/CdS core/shell quantum dots with an explicit two-band effective-mass model and stated PbS/CdS parameters, ACS Nano (2021) — source of the PbS/CdS parameters in Table 5.4.</w:t>
      </w:r>
    </w:p>
    <w:p>
      <w:pPr>
        <w:pStyle w:val="ListParagraph"/>
        <w:numPr>
          <w:ilvl w:val="0"/>
          <w:numId w:val="3"/>
        </w:numPr>
        <w:spacing w:after="100"/>
      </w:pPr>
      <w:r>
        <w:rPr>
          <w:rFonts w:ascii="Calibri" w:cs="Calibri" w:eastAsia="Calibri" w:hAnsi="Calibri"/>
        </w:rPr>
        <w:t xml:space="preserve">Size-dependent electronic and optical properties of InAs quantum dots via empirical pseudopotential method, Optics Communications (2016) — cross-check reference for III–V QD size scaling beyond simple EMA.</w:t>
      </w:r>
    </w:p>
    <w:p>
      <w:pPr>
        <w:pStyle w:val="ListParagraph"/>
        <w:numPr>
          <w:ilvl w:val="0"/>
          <w:numId w:val="3"/>
        </w:numPr>
        <w:spacing w:after="100"/>
      </w:pPr>
      <w:r>
        <w:rPr>
          <w:rFonts w:ascii="Calibri" w:cs="Calibri" w:eastAsia="Calibri" w:hAnsi="Calibri"/>
        </w:rPr>
        <w:t xml:space="preserve">Bandgap engineering of InP-based core/shell heterostructures through shell composition and thickness — experimental Type I/Type II comparison for InP/ZnS, InP/ZnSe, InP/CdS, InP/CdSe, used for Table 5.4 InP entries.</w:t>
      </w:r>
    </w:p>
    <w:p>
      <w:pPr>
        <w:spacing w:after="100"/>
      </w:pPr>
      <w:r>
        <w:rPr>
          <w:rFonts w:ascii="Calibri" w:cs="Calibri" w:eastAsia="Calibri" w:hAnsi="Calibri"/>
        </w:rPr>
        <w:t xml:space="preserve"/>
      </w:r>
    </w:p>
    <w:p>
      <w:pPr>
        <w:pStyle w:val="Heading2"/>
        <w:spacing w:after="120" w:before="280"/>
      </w:pPr>
      <w:r>
        <w:t xml:space="preserve">A note on accuracy for simulator use</w:t>
      </w:r>
    </w:p>
    <w:p>
      <w:pPr>
        <w:spacing w:after="160" w:line="276"/>
      </w:pPr>
      <w:r>
        <w:rPr>
          <w:rFonts w:ascii="Calibri" w:cs="Calibri" w:eastAsia="Calibri" w:hAnsi="Calibri"/>
        </w:rPr>
        <w:t xml:space="preserve">No closed-form model — including every equation in this document — reproduces experimental QD spectra to better than roughly 0.05–0.15 eV without per-material calibration, because real nanocrystals have facets, surface reconstruction, ligand-dependent surface dipoles, size-distribution broadening, and (for the smallest sizes) genuinely atomistic electronic structure that a continuum effective-mass model cannot capture. The physics above is standard, peer-reviewed, and appropriate as the computational core of a simulator; treat its output as </w:t>
      </w:r>
      <w:r>
        <w:rPr>
          <w:rFonts w:ascii="Calibri" w:cs="Calibri" w:eastAsia="Calibri" w:hAnsi="Calibri"/>
          <w:b/>
          <w:bCs/>
        </w:rPr>
        <w:t xml:space="preserve">physically grounded and trend-accurate</w:t>
      </w:r>
      <w:r>
        <w:rPr>
          <w:rFonts w:ascii="Calibri" w:cs="Calibri" w:eastAsia="Calibri" w:hAnsi="Calibri"/>
        </w:rPr>
        <w:t xml:space="preserve">, and calibrate the offset/barrier parameters against at least one known experimental spectrum per material system before relying on absolute numbers.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E7E"/>
      <w:sz w:val="25"/>
      <w:szCs w:val="25"/>
    </w:rPr>
  </w:style>
  <w:style w:type="paragraph" w:styleId="Heading3">
    <w:name w:val="Heading 3"/>
    <w:basedOn w:val="Normal"/>
    <w:next w:val="Normal"/>
    <w:qFormat/>
    <w:pPr>
      <w:spacing w:after="100" w:before="200"/>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2026-08-21T10:37:50.751Z</dcterms:created>
  <dcterms:modified xsi:type="dcterms:W3CDTF">2026-08-21T10:37:50.751Z</dcterms:modified>
</cp:coreProperties>
</file>

<file path=docProps/custom.xml><?xml version="1.0" encoding="utf-8"?>
<Properties xmlns="http://schemas.openxmlformats.org/officeDocument/2006/custom-properties" xmlns:vt="http://schemas.openxmlformats.org/officeDocument/2006/docPropsVTypes"/>
</file>