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9EC2" w14:textId="42710C0D" w:rsidR="000B2143" w:rsidRDefault="00AF10AB">
      <w:r>
        <w:rPr>
          <w:noProof/>
        </w:rPr>
        <w:drawing>
          <wp:inline distT="0" distB="0" distL="0" distR="0" wp14:anchorId="04A741DB" wp14:editId="23139CBF">
            <wp:extent cx="3500755" cy="3643630"/>
            <wp:effectExtent l="0" t="0" r="4445" b="0"/>
            <wp:docPr id="138568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019B" w14:textId="18A5CE7C" w:rsidR="00AF10AB" w:rsidRDefault="00AF10AB">
      <w:r>
        <w:t>This is the sample YAML specification that could be used by the Kubernetes to create a sample container.</w:t>
      </w:r>
    </w:p>
    <w:sectPr w:rsidR="00AF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57"/>
    <w:rsid w:val="000B2143"/>
    <w:rsid w:val="008C4F57"/>
    <w:rsid w:val="00A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1F33"/>
  <w15:chartTrackingRefBased/>
  <w15:docId w15:val="{C5673DDE-3FA8-4F42-B9AA-1940A41A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2023-10-22T11:52:00Z</dcterms:created>
  <dcterms:modified xsi:type="dcterms:W3CDTF">2023-10-22T11:59:00Z</dcterms:modified>
</cp:coreProperties>
</file>