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70" w:lineRule="auto"/>
        <w:rPr>
          <w:color w:val="1f1f1f"/>
          <w:sz w:val="48"/>
          <w:szCs w:val="48"/>
        </w:rPr>
      </w:pPr>
      <w:bookmarkStart w:colFirst="0" w:colLast="0" w:name="_tnedvg53b4wz" w:id="0"/>
      <w:bookmarkEnd w:id="0"/>
      <w:r w:rsidDel="00000000" w:rsidR="00000000" w:rsidRPr="00000000">
        <w:rPr>
          <w:color w:val="1f1f1f"/>
          <w:sz w:val="48"/>
          <w:szCs w:val="48"/>
          <w:rtl w:val="0"/>
        </w:rPr>
        <w:t xml:space="preserve">Data Science Methodologies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This course focuses on the Foundational Methodology for Data Science by John Rollins, which was introduced in the previous video. However, it is not the only methodology that you will encounter in data science. For example, in data mining, the Cross-Industry Process for Data Mining (CRISP-DM) methodology is widely used.</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40" w:line="270" w:lineRule="auto"/>
        <w:rPr>
          <w:color w:val="1f1f1f"/>
          <w:sz w:val="48"/>
          <w:szCs w:val="48"/>
        </w:rPr>
      </w:pPr>
      <w:bookmarkStart w:colFirst="0" w:colLast="0" w:name="_sjzus0lfx6im" w:id="1"/>
      <w:bookmarkEnd w:id="1"/>
      <w:r w:rsidDel="00000000" w:rsidR="00000000" w:rsidRPr="00000000">
        <w:rPr>
          <w:color w:val="1f1f1f"/>
          <w:sz w:val="48"/>
          <w:szCs w:val="48"/>
          <w:rtl w:val="0"/>
        </w:rPr>
        <w:t xml:space="preserve">What is CRISP-DM?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The CRISP-DM methodology is a process aimed at increasing the use of data mining over a wide variety of business applications and industries. The intent is to take case-specific scenarios and general behaviours to make them domain neutral.  CRISP-DM is comprised of six steps with an entity that has to implement in order to have a reasonable chance of success. The six steps are shown in the following diagram:</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line="360" w:lineRule="auto"/>
        <w:rPr>
          <w:i w:val="1"/>
          <w:color w:val="428bca"/>
          <w:sz w:val="21"/>
          <w:szCs w:val="21"/>
          <w:u w:val="single"/>
        </w:rPr>
      </w:pPr>
      <w:r w:rsidDel="00000000" w:rsidR="00000000" w:rsidRPr="00000000">
        <w:rPr>
          <w:i w:val="1"/>
          <w:color w:val="1f1f1f"/>
          <w:sz w:val="21"/>
          <w:szCs w:val="21"/>
          <w:rtl w:val="0"/>
        </w:rPr>
        <w:t xml:space="preserve">Fig.1 CRISP-DM model, </w:t>
      </w:r>
      <w:hyperlink r:id="rId7">
        <w:r w:rsidDel="00000000" w:rsidR="00000000" w:rsidRPr="00000000">
          <w:rPr>
            <w:i w:val="1"/>
            <w:color w:val="428bca"/>
            <w:sz w:val="21"/>
            <w:szCs w:val="21"/>
            <w:u w:val="single"/>
            <w:rtl w:val="0"/>
          </w:rPr>
          <w:t xml:space="preserve">IBM Knowledge Center, CRISP-DM Help Overview</w:t>
        </w:r>
      </w:hyperlink>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Business Understanding</w:t>
      </w:r>
      <w:r w:rsidDel="00000000" w:rsidR="00000000" w:rsidRPr="00000000">
        <w:rPr>
          <w:color w:val="1f1f1f"/>
          <w:sz w:val="21"/>
          <w:szCs w:val="21"/>
          <w:rtl w:val="0"/>
        </w:rPr>
        <w:t xml:space="preserve">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a clear, concise, and complete perspective of what the project goals are resources will be needlessly expended. </w:t>
      </w:r>
    </w:p>
    <w:p w:rsidR="00000000" w:rsidDel="00000000" w:rsidP="00000000" w:rsidRDefault="00000000" w:rsidRPr="00000000" w14:paraId="00000008">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Data Understanding</w:t>
      </w:r>
      <w:r w:rsidDel="00000000" w:rsidR="00000000" w:rsidRPr="00000000">
        <w:rPr>
          <w:color w:val="1f1f1f"/>
          <w:sz w:val="21"/>
          <w:szCs w:val="21"/>
          <w:rtl w:val="0"/>
        </w:rPr>
        <w:t xml:space="preserve">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rsidR="00000000" w:rsidDel="00000000" w:rsidP="00000000" w:rsidRDefault="00000000" w:rsidRPr="00000000" w14:paraId="00000009">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Data Preparation</w:t>
      </w:r>
      <w:r w:rsidDel="00000000" w:rsidR="00000000" w:rsidRPr="00000000">
        <w:rPr>
          <w:color w:val="1f1f1f"/>
          <w:sz w:val="21"/>
          <w:szCs w:val="21"/>
          <w:rtl w:val="0"/>
        </w:rPr>
        <w:t xml:space="preserve">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 </w:t>
      </w:r>
    </w:p>
    <w:p w:rsidR="00000000" w:rsidDel="00000000" w:rsidP="00000000" w:rsidRDefault="00000000" w:rsidRPr="00000000" w14:paraId="0000000A">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Modeling</w:t>
      </w:r>
      <w:r w:rsidDel="00000000" w:rsidR="00000000" w:rsidRPr="00000000">
        <w:rPr>
          <w:color w:val="1f1f1f"/>
          <w:sz w:val="21"/>
          <w:szCs w:val="21"/>
          <w:rtl w:val="0"/>
        </w:rPr>
        <w:t xml:space="preserve">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rsidR="00000000" w:rsidDel="00000000" w:rsidP="00000000" w:rsidRDefault="00000000" w:rsidRPr="00000000" w14:paraId="0000000B">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Evaluation</w:t>
      </w:r>
      <w:r w:rsidDel="00000000" w:rsidR="00000000" w:rsidRPr="00000000">
        <w:rPr>
          <w:color w:val="1f1f1f"/>
          <w:sz w:val="21"/>
          <w:szCs w:val="21"/>
          <w:rtl w:val="0"/>
        </w:rPr>
        <w:t xml:space="preserve"> The selected model must be tested. This is usually done by having a pre-selected test, set to run the trained model on. This will allow you to see the effectiveness of the model on a set it sees as new. Results from this are used to determine the efficacy of the model and foreshadows its role in the next and final stage. </w:t>
      </w:r>
    </w:p>
    <w:p w:rsidR="00000000" w:rsidDel="00000000" w:rsidP="00000000" w:rsidRDefault="00000000" w:rsidRPr="00000000" w14:paraId="0000000C">
      <w:pPr>
        <w:numPr>
          <w:ilvl w:val="0"/>
          <w:numId w:val="1"/>
        </w:numPr>
        <w:shd w:fill="ffffff" w:val="clear"/>
        <w:spacing w:after="460" w:line="360" w:lineRule="auto"/>
        <w:ind w:left="1180" w:hanging="360"/>
      </w:pPr>
      <w:r w:rsidDel="00000000" w:rsidR="00000000" w:rsidRPr="00000000">
        <w:rPr>
          <w:b w:val="1"/>
          <w:color w:val="1f1f1f"/>
          <w:sz w:val="21"/>
          <w:szCs w:val="21"/>
          <w:rtl w:val="0"/>
        </w:rPr>
        <w:t xml:space="preserve">Deployment</w:t>
      </w:r>
      <w:r w:rsidDel="00000000" w:rsidR="00000000" w:rsidRPr="00000000">
        <w:rPr>
          <w:color w:val="1f1f1f"/>
          <w:sz w:val="21"/>
          <w:szCs w:val="21"/>
          <w:rtl w:val="0"/>
        </w:rPr>
        <w:t xml:space="preserve"> In the deployment step, the model is used on new data outside of the scope of the dataset and by new stakeholders. The new interactions at this phase might reveal the new variables and needs for the dataset and model. These new challenges could initiate a revision of either business needs and actions, or the model and data, or both.</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rsidR="00000000" w:rsidDel="00000000" w:rsidP="00000000" w:rsidRDefault="00000000" w:rsidRPr="00000000" w14:paraId="0000000E">
      <w:pPr>
        <w:shd w:fill="ffffff" w:val="clear"/>
        <w:spacing w:after="300" w:line="360" w:lineRule="auto"/>
        <w:rPr>
          <w:color w:val="428bca"/>
          <w:sz w:val="21"/>
          <w:szCs w:val="21"/>
          <w:u w:val="single"/>
        </w:rPr>
      </w:pPr>
      <w:r w:rsidDel="00000000" w:rsidR="00000000" w:rsidRPr="00000000">
        <w:rPr>
          <w:color w:val="1f1f1f"/>
          <w:sz w:val="21"/>
          <w:szCs w:val="21"/>
          <w:rtl w:val="0"/>
        </w:rPr>
        <w:t xml:space="preserve">For more information on CRISP-DM, go to: </w:t>
      </w:r>
      <w:hyperlink r:id="rId8">
        <w:r w:rsidDel="00000000" w:rsidR="00000000" w:rsidRPr="00000000">
          <w:rPr>
            <w:color w:val="428bca"/>
            <w:sz w:val="21"/>
            <w:szCs w:val="21"/>
            <w:u w:val="single"/>
            <w:rtl w:val="0"/>
          </w:rPr>
          <w:t xml:space="preserve">IBM Knowledge Center – CRISP-DM Help Overview</w:t>
        </w:r>
      </w:hyperlink>
      <w:r w:rsidDel="00000000" w:rsidR="00000000" w:rsidRPr="00000000">
        <w:rPr>
          <w:rtl w:val="0"/>
        </w:rPr>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support/knowledgecenter/en/SS3RA7_15.0.0/com.ibm.spss.crispdm.help/crisp_overview.htm" TargetMode="External"/><Relationship Id="rId8" Type="http://schemas.openxmlformats.org/officeDocument/2006/relationships/hyperlink" Target="https://www.ibm.com/support/knowledgecenter/en/SS3RA7_15.0.0/com.ibm.spss.crispdm.help/crisp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