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  <w:jc w:val="center"/>
      </w:pPr>
      <w:r>
        <w:rPr>
          <w:b/>
          <w:bCs/>
          <w:color w:val="3454d1"/>
          <w:spacing w:val="20"/>
          <w:sz w:val="22"/>
          <w:szCs w:val="22"/>
        </w:rPr>
        <w:t xml:space="preserve">BUSINESS STRATEGY &amp; INVESTMENT REPORT</w:t>
      </w:r>
    </w:p>
    <w:p>
      <w:pPr>
        <w:spacing w:before="260"/>
        <w:jc w:val="center"/>
      </w:pPr>
      <w:r>
        <w:rPr>
          <w:b/>
          <w:bCs/>
          <w:color w:val="1a1f2e"/>
          <w:sz w:val="52"/>
          <w:szCs w:val="52"/>
        </w:rPr>
        <w:t xml:space="preserve">AI Emotional Companion App</w:t>
      </w:r>
    </w:p>
    <w:p>
      <w:pPr>
        <w:spacing w:after="400" w:before="80"/>
        <w:jc w:val="center"/>
      </w:pPr>
      <w:r>
        <w:rPr>
          <w:color w:val="5a6478"/>
          <w:sz w:val="26"/>
          <w:szCs w:val="26"/>
        </w:rPr>
        <w:t xml:space="preserve">India · Student Wellbeing / Companion AI Category</w:t>
      </w:r>
    </w:p>
    <w:p>
      <w:pPr>
        <w:spacing w:before="300"/>
        <w:jc w:val="center"/>
      </w:pPr>
      <w:r>
        <w:rPr>
          <w:color w:val="1a1f2e"/>
          <w:sz w:val="20"/>
          <w:szCs w:val="20"/>
        </w:rPr>
        <w:t xml:space="preserve">Prepared for: Founder / Cap Table Review</w:t>
      </w:r>
    </w:p>
    <w:p>
      <w:pPr>
        <w:spacing w:after="40"/>
        <w:jc w:val="center"/>
      </w:pPr>
      <w:r>
        <w:rPr>
          <w:color w:val="1a1f2e"/>
          <w:sz w:val="20"/>
          <w:szCs w:val="20"/>
        </w:rPr>
        <w:t xml:space="preserve">Prepared by: AI Co-Founder &amp; Growth Strategy Advisory</w:t>
      </w:r>
    </w:p>
    <w:p>
      <w:pPr>
        <w:spacing w:after="40"/>
        <w:jc w:val="center"/>
      </w:pPr>
      <w:r>
        <w:rPr>
          <w:color w:val="1a1f2e"/>
          <w:sz w:val="20"/>
          <w:szCs w:val="20"/>
        </w:rPr>
        <w:t xml:space="preserve">Source: Customer &amp; MVP Blueprint (informal validation only)</w:t>
      </w:r>
    </w:p>
    <w:p>
      <w:pPr>
        <w:spacing w:after="1600"/>
        <w:jc w:val="center"/>
      </w:pPr>
      <w:r>
        <w:rPr>
          <w:color w:val="1a1f2e"/>
          <w:sz w:val="20"/>
          <w:szCs w:val="20"/>
        </w:rPr>
        <w:t xml:space="preserve">Date: August 2026</w:t>
      </w:r>
    </w:p>
    <w:p>
      <w:pPr>
        <w:spacing w:before="2400"/>
        <w:jc w:val="center"/>
      </w:pPr>
      <w:r>
        <w:rPr>
          <w:b/>
          <w:bCs/>
          <w:color w:val="c0324a"/>
          <w:sz w:val="16"/>
          <w:szCs w:val="16"/>
        </w:rPr>
        <w:t xml:space="preserve">CONFIDENTIAL — FOR INTERNAL FOUNDER &amp; ADVISOR USE ONLY</w:t>
      </w:r>
    </w:p>
    <w:p>
      <w:pPr>
        <w:sectPr>
          <w:pgSz w:w="12240" w:h="15840" w:orient="portrait"/>
          <w:pgMar w:top="1440" w:right="1350" w:bottom="1440" w:left="135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3454d1" w:sz="6" w:space="4"/>
        </w:pBdr>
        <w:spacing w:after="160" w:before="280"/>
      </w:pPr>
      <w:r>
        <w:rPr>
          <w:b/>
          <w:bCs/>
          <w:color w:val="1a1f2e"/>
          <w:sz w:val="30"/>
          <w:szCs w:val="30"/>
        </w:rPr>
        <w:t xml:space="preserve">Table of Contents</w:t>
      </w:r>
    </w:p>
    <w:p>
      <w:pPr>
        <w:spacing w:after="140"/>
      </w:pPr>
      <w:r>
        <w:rPr>
          <w:color w:val="1a1f2e"/>
          <w:sz w:val="22"/>
          <w:szCs w:val="22"/>
        </w:rPr>
        <w:t xml:space="preserve">01  Executive Summary</w:t>
      </w:r>
    </w:p>
    <w:p>
      <w:pPr>
        <w:spacing w:after="140"/>
      </w:pPr>
      <w:r>
        <w:rPr>
          <w:color w:val="1a1f2e"/>
          <w:sz w:val="22"/>
          <w:szCs w:val="22"/>
        </w:rPr>
        <w:t xml:space="preserve">02  Startup Snapshot &amp; Extracted Assumptions</w:t>
      </w:r>
    </w:p>
    <w:p>
      <w:pPr>
        <w:spacing w:after="140"/>
      </w:pPr>
      <w:r>
        <w:rPr>
          <w:color w:val="1a1f2e"/>
          <w:sz w:val="22"/>
          <w:szCs w:val="22"/>
        </w:rPr>
        <w:t xml:space="preserve">03  Business Reality Check</w:t>
      </w:r>
    </w:p>
    <w:p>
      <w:pPr>
        <w:spacing w:after="140"/>
      </w:pPr>
      <w:r>
        <w:rPr>
          <w:color w:val="1a1f2e"/>
          <w:sz w:val="22"/>
          <w:szCs w:val="22"/>
        </w:rPr>
        <w:t xml:space="preserve">04  Business Model Canvas</w:t>
      </w:r>
    </w:p>
    <w:p>
      <w:pPr>
        <w:spacing w:after="140"/>
      </w:pPr>
      <w:r>
        <w:rPr>
          <w:color w:val="1a1f2e"/>
          <w:sz w:val="22"/>
          <w:szCs w:val="22"/>
        </w:rPr>
        <w:t xml:space="preserve">05  Revenue &amp; Pricing Strategy</w:t>
      </w:r>
    </w:p>
    <w:p>
      <w:pPr>
        <w:spacing w:after="140"/>
      </w:pPr>
      <w:r>
        <w:rPr>
          <w:color w:val="1a1f2e"/>
          <w:sz w:val="22"/>
          <w:szCs w:val="22"/>
        </w:rPr>
        <w:t xml:space="preserve">06  Go-To-Market Strategy</w:t>
      </w:r>
    </w:p>
    <w:p>
      <w:pPr>
        <w:spacing w:after="140"/>
      </w:pPr>
      <w:r>
        <w:rPr>
          <w:color w:val="1a1f2e"/>
          <w:sz w:val="22"/>
          <w:szCs w:val="22"/>
        </w:rPr>
        <w:t xml:space="preserve">07  Customer Acquisition Strategy</w:t>
      </w:r>
    </w:p>
    <w:p>
      <w:pPr>
        <w:spacing w:after="140"/>
      </w:pPr>
      <w:r>
        <w:rPr>
          <w:color w:val="1a1f2e"/>
          <w:sz w:val="22"/>
          <w:szCs w:val="22"/>
        </w:rPr>
        <w:t xml:space="preserve">08  First 100 Users Plan</w:t>
      </w:r>
    </w:p>
    <w:p>
      <w:pPr>
        <w:spacing w:after="140"/>
      </w:pPr>
      <w:r>
        <w:rPr>
          <w:color w:val="1a1f2e"/>
          <w:sz w:val="22"/>
          <w:szCs w:val="22"/>
        </w:rPr>
        <w:t xml:space="preserve">09  Competitive Position &amp; Moat</w:t>
      </w:r>
    </w:p>
    <w:p>
      <w:pPr>
        <w:spacing w:after="140"/>
      </w:pPr>
      <w:r>
        <w:rPr>
          <w:color w:val="1a1f2e"/>
          <w:sz w:val="22"/>
          <w:szCs w:val="22"/>
        </w:rPr>
        <w:t xml:space="preserve">10  Reverse SWOT Analysis</w:t>
      </w:r>
    </w:p>
    <w:p>
      <w:pPr>
        <w:spacing w:after="140"/>
      </w:pPr>
      <w:r>
        <w:rPr>
          <w:color w:val="1a1f2e"/>
          <w:sz w:val="22"/>
          <w:szCs w:val="22"/>
        </w:rPr>
        <w:t xml:space="preserve">11  Investor One-Liner &amp; 30-Second Pitch</w:t>
      </w:r>
    </w:p>
    <w:p>
      <w:pPr>
        <w:spacing w:after="140"/>
      </w:pPr>
      <w:r>
        <w:rPr>
          <w:color w:val="1a1f2e"/>
          <w:sz w:val="22"/>
          <w:szCs w:val="22"/>
        </w:rPr>
        <w:t xml:space="preserve">12  Investment Scorecard</w:t>
      </w:r>
    </w:p>
    <w:p>
      <w:pPr>
        <w:spacing w:after="140"/>
      </w:pPr>
      <w:r>
        <w:rPr>
          <w:color w:val="1a1f2e"/>
          <w:sz w:val="22"/>
          <w:szCs w:val="22"/>
        </w:rPr>
        <w:t xml:space="preserve">13  Visual Dashboard</w:t>
      </w:r>
    </w:p>
    <w:p>
      <w:pPr>
        <w:spacing w:after="140"/>
      </w:pPr>
      <w:r>
        <w:rPr>
          <w:color w:val="1a1f2e"/>
          <w:sz w:val="22"/>
          <w:szCs w:val="22"/>
        </w:rPr>
        <w:t xml:space="preserve">14  Founder Action Sheet — Top 10 Actions</w:t>
      </w:r>
    </w:p>
    <w:p>
      <w:pPr>
        <w:spacing w:after="140"/>
      </w:pPr>
      <w:r>
        <w:rPr>
          <w:color w:val="1a1f2e"/>
          <w:sz w:val="22"/>
          <w:szCs w:val="22"/>
        </w:rPr>
        <w:t xml:space="preserve">15  Sustainability Verdict</w:t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350" w:bottom="1440" w:left="135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3454d1" w:sz="6" w:space="4"/>
        </w:pBdr>
        <w:spacing w:after="160" w:before="280"/>
      </w:pPr>
      <w:r>
        <w:rPr>
          <w:b/>
          <w:bCs/>
          <w:color w:val="1a1f2e"/>
          <w:sz w:val="30"/>
          <w:szCs w:val="30"/>
        </w:rPr>
        <w:t xml:space="preserve">01 · Executive Summary</w:t>
      </w:r>
    </w:p>
    <w:p>
      <w:pPr>
        <w:pStyle w:val="Heading2"/>
        <w:spacing w:after="120" w:before="220"/>
      </w:pPr>
      <w:r>
        <w:rPr>
          <w:b/>
          <w:bCs/>
          <w:color w:val="3454d1"/>
          <w:sz w:val="24"/>
          <w:szCs w:val="24"/>
        </w:rPr>
        <w:t xml:space="preserve">Startup Snapshot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1a1f2e"/>
          <w:sz w:val="20"/>
          <w:szCs w:val="20"/>
        </w:rPr>
        <w:t xml:space="preserve">AI emotional companion app for Indian college students (18–24), targeting loneliness and the lack of a judgment-free outlet at night.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1a1f2e"/>
          <w:sz w:val="20"/>
          <w:szCs w:val="20"/>
        </w:rPr>
        <w:t xml:space="preserve">Category is large and fast-growing in India (~40% CAGR cited in source material), but this specific idea is unvalidated beyond informal founder conversations.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1a1f2e"/>
          <w:sz w:val="20"/>
          <w:szCs w:val="20"/>
        </w:rPr>
        <w:t xml:space="preserve">No waitlist, no prototype, no usage data exists yet — this report treats the venture as pre-build.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1a1f2e"/>
          <w:sz w:val="20"/>
          <w:szCs w:val="20"/>
        </w:rPr>
        <w:t xml:space="preserve">Planned MVP: a single, well-tuned Hinglish chat companion with short-term memory and a warm onboarding flow — deliberately minimal.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1a1f2e"/>
          <w:sz w:val="20"/>
          <w:szCs w:val="20"/>
        </w:rPr>
        <w:t xml:space="preserve">Explicitly excluded from MVP: voice, avatars, multiple personas, romantic/relationship modes, notifications, and payments.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1a1f2e"/>
          <w:sz w:val="20"/>
          <w:szCs w:val="20"/>
        </w:rPr>
        <w:t xml:space="preserve">Distribution plan leans entirely on organic creator/Reels content — an unowned, rented channel.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1a1f2e"/>
          <w:sz w:val="20"/>
          <w:szCs w:val="20"/>
        </w:rPr>
        <w:t xml:space="preserve">Pricing is a freemium hypothesis (₹49–149/month) for memory, voice, and personalization — not yet tested with real users.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1a1f2e"/>
          <w:sz w:val="20"/>
          <w:szCs w:val="20"/>
        </w:rPr>
        <w:t xml:space="preserve">The three highest-severity risks are all structural: regulatory/minor-safety exposure, emotional-dependency liability, and a total absence of demand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1a1f2e"/>
          <w:sz w:val="20"/>
          <w:szCs w:val="20"/>
        </w:rPr>
        <w:t xml:space="preserve">Blueprint's own scoring already flags MVP Readiness as the weakest dimension (35/100) against a stronger Problem Severity score (74/100).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1a1f2e"/>
          <w:sz w:val="21"/>
          <w:szCs w:val="21"/>
        </w:rPr>
        <w:t xml:space="preserve"/>
      </w:r>
    </w:p>
    <w:p>
      <w:pPr>
        <w:spacing w:after="120" w:line="276"/>
      </w:pPr>
      <w:r>
        <w:rPr>
          <w:b w:val="false"/>
          <w:bCs w:val="false"/>
          <w:i/>
          <w:iCs/>
          <w:color w:val="1a1f2e"/>
          <w:sz w:val="21"/>
          <w:szCs w:val="21"/>
        </w:rPr>
        <w:t xml:space="preserve">Bottom line: the problem is real and the market is large, but this is currently a validated problem in search of a validated business — not yet a business.</w:t>
      </w:r>
    </w:p>
    <w:p>
      <w:pPr>
        <w:pStyle w:val="Heading2"/>
        <w:spacing w:after="120" w:before="220"/>
      </w:pPr>
      <w:r>
        <w:rPr>
          <w:b/>
          <w:bCs/>
          <w:color w:val="3454d1"/>
          <w:sz w:val="24"/>
          <w:szCs w:val="24"/>
        </w:rPr>
        <w:t xml:space="preserve">Extracted Assumptions (from the Blueprint)</w:t>
      </w:r>
    </w:p>
    <w:tbl>
      <w:tblPr>
        <w:tblW w:type="dxa" w:w="9350"/>
        <w:tblBorders>
          <w:top w:val="single" w:color="d7dced" w:sz="4"/>
          <w:left w:val="single" w:color="d7dced" w:sz="4"/>
          <w:bottom w:val="single" w:color="d7dced" w:sz="4"/>
          <w:right w:val="single" w:color="d7dced" w:sz="4"/>
          <w:insideH w:val="single" w:color="d7dced" w:sz="4"/>
          <w:insideV w:val="single" w:color="d7dced" w:sz="4"/>
        </w:tblBorders>
      </w:tblPr>
      <w:tblGrid>
        <w:gridCol w:w="2000"/>
        <w:gridCol w:w="4900"/>
        <w:gridCol w:w="2450"/>
      </w:tblGrid>
      <w:tr>
        <w:trPr>
          <w:tblHeader/>
        </w:trPr>
        <w:tc>
          <w:tcPr>
            <w:tcW w:type="dxa" w:w="2000"/>
            <w:shd w:fill="1a1f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4900"/>
            <w:shd w:fill="1a1f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Stated Assumption</w:t>
            </w:r>
          </w:p>
        </w:tc>
        <w:tc>
          <w:tcPr>
            <w:tcW w:type="dxa" w:w="2450"/>
            <w:shd w:fill="1a1f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Validation Status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f2e"/>
                <w:sz w:val="18"/>
                <w:szCs w:val="18"/>
              </w:rPr>
              <w:t xml:space="preserve">Customer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f2e"/>
                <w:sz w:val="18"/>
                <w:szCs w:val="18"/>
              </w:rPr>
              <w:t xml:space="preserve">18–24 college students/early jobseekers, Tier-1/2 India, hostel/PG, heavy phone users</w:t>
            </w:r>
          </w:p>
        </w:tc>
        <w:tc>
          <w:tcPr>
            <w:tcW w:type="dxa" w:w="2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b8860b"/>
                <w:sz w:val="18"/>
                <w:szCs w:val="18"/>
              </w:rPr>
              <w:t xml:space="preserve">Informal interviews only</w:t>
            </w:r>
          </w:p>
        </w:tc>
      </w:tr>
      <w:tr>
        <w:tc>
          <w:tcPr>
            <w:tcW w:type="dxa" w:w="200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f2e"/>
                <w:sz w:val="18"/>
                <w:szCs w:val="18"/>
              </w:rPr>
              <w:t xml:space="preserve">MVP</w:t>
            </w:r>
          </w:p>
        </w:tc>
        <w:tc>
          <w:tcPr>
            <w:tcW w:type="dxa" w:w="490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f2e"/>
                <w:sz w:val="18"/>
                <w:szCs w:val="18"/>
              </w:rPr>
              <w:t xml:space="preserve">Single-persona Hinglish chat, session memory, warm onboarding — nothing else</w:t>
            </w:r>
          </w:p>
        </w:tc>
        <w:tc>
          <w:tcPr>
            <w:tcW w:type="dxa" w:w="245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c0324a"/>
                <w:sz w:val="18"/>
                <w:szCs w:val="18"/>
              </w:rPr>
              <w:t xml:space="preserve">Not built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f2e"/>
                <w:sz w:val="18"/>
                <w:szCs w:val="18"/>
              </w:rPr>
              <w:t xml:space="preserve">Value Proposition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f2e"/>
                <w:sz w:val="18"/>
                <w:szCs w:val="18"/>
              </w:rPr>
              <w:t xml:space="preserve">Judgment-free, culturally relevant, private companion vs. generic English-only AI tools</w:t>
            </w:r>
          </w:p>
        </w:tc>
        <w:tc>
          <w:tcPr>
            <w:tcW w:type="dxa" w:w="2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b8860b"/>
                <w:sz w:val="18"/>
                <w:szCs w:val="18"/>
              </w:rPr>
              <w:t xml:space="preserve">Unverified against competitors</w:t>
            </w:r>
          </w:p>
        </w:tc>
      </w:tr>
      <w:tr>
        <w:tc>
          <w:tcPr>
            <w:tcW w:type="dxa" w:w="200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f2e"/>
                <w:sz w:val="18"/>
                <w:szCs w:val="18"/>
              </w:rPr>
              <w:t xml:space="preserve">Pricing</w:t>
            </w:r>
          </w:p>
        </w:tc>
        <w:tc>
          <w:tcPr>
            <w:tcW w:type="dxa" w:w="490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f2e"/>
                <w:sz w:val="18"/>
                <w:szCs w:val="18"/>
              </w:rPr>
              <w:t xml:space="preserve">Freemium; paid tier ₹49–149/month for memory, voice, personalization</w:t>
            </w:r>
          </w:p>
        </w:tc>
        <w:tc>
          <w:tcPr>
            <w:tcW w:type="dxa" w:w="245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c0324a"/>
                <w:sz w:val="18"/>
                <w:szCs w:val="18"/>
              </w:rPr>
              <w:t xml:space="preserve">Explicit hypothesis, no WTP data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f2e"/>
                <w:sz w:val="18"/>
                <w:szCs w:val="18"/>
              </w:rPr>
              <w:t xml:space="preserve">Revenue Model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f2e"/>
                <w:sz w:val="18"/>
                <w:szCs w:val="18"/>
              </w:rPr>
              <w:t xml:space="preserve">No ARPU, conversion rate, or CAC/LTV modeled in source material</w:t>
            </w:r>
          </w:p>
        </w:tc>
        <w:tc>
          <w:tcPr>
            <w:tcW w:type="dxa" w:w="2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c0324a"/>
                <w:sz w:val="18"/>
                <w:szCs w:val="18"/>
              </w:rPr>
              <w:t xml:space="preserve">Not modeled</w:t>
            </w:r>
          </w:p>
        </w:tc>
      </w:tr>
      <w:tr>
        <w:tc>
          <w:tcPr>
            <w:tcW w:type="dxa" w:w="200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f2e"/>
                <w:sz w:val="18"/>
                <w:szCs w:val="18"/>
              </w:rPr>
              <w:t xml:space="preserve">GTM</w:t>
            </w:r>
          </w:p>
        </w:tc>
        <w:tc>
          <w:tcPr>
            <w:tcW w:type="dxa" w:w="490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f2e"/>
                <w:sz w:val="18"/>
                <w:szCs w:val="18"/>
              </w:rPr>
              <w:t xml:space="preserve">Organic distribution via student-community creators and Instagram Reels</w:t>
            </w:r>
          </w:p>
        </w:tc>
        <w:tc>
          <w:tcPr>
            <w:tcW w:type="dxa" w:w="245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b8860b"/>
                <w:sz w:val="18"/>
                <w:szCs w:val="18"/>
              </w:rPr>
              <w:t xml:space="preserve">Assumed, unvalidated</w:t>
            </w:r>
          </w:p>
        </w:tc>
      </w:tr>
    </w:tbl>
    <w:p>
      <w:pPr>
        <w:spacing w:after="200" w:before="60"/>
      </w:pPr>
      <w:r>
        <w:rPr>
          <w:i/>
          <w:iCs/>
          <w:color w:val="5a6478"/>
          <w:sz w:val="17"/>
          <w:szCs w:val="17"/>
        </w:rPr>
        <w:t xml:space="preserve">Every dimension above is a hypothesis, not a fact. Section 03 stress-tests each one.</w:t>
      </w:r>
    </w:p>
    <w:p>
      <w:r>
        <w:br w:type="page"/>
      </w:r>
    </w:p>
    <w:p>
      <w:pPr>
        <w:pStyle w:val="Heading1"/>
        <w:pBdr>
          <w:bottom w:val="single" w:color="3454d1" w:sz="6" w:space="4"/>
        </w:pBdr>
        <w:spacing w:after="160" w:before="280"/>
      </w:pPr>
      <w:r>
        <w:rPr>
          <w:b/>
          <w:bCs/>
          <w:color w:val="1a1f2e"/>
          <w:sz w:val="30"/>
          <w:szCs w:val="30"/>
        </w:rPr>
        <w:t xml:space="preserve">03 · Business Reality Check</w:t>
      </w:r>
    </w:p>
    <w:p>
      <w:pPr>
        <w:pStyle w:val="Heading2"/>
        <w:spacing w:after="120" w:before="220"/>
      </w:pPr>
      <w:r>
        <w:rPr>
          <w:b/>
          <w:bCs/>
          <w:color w:val="3454d1"/>
          <w:sz w:val="24"/>
          <w:szCs w:val="24"/>
        </w:rPr>
        <w:t xml:space="preserve">Who Pays?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1a1f2e"/>
          <w:sz w:val="21"/>
          <w:szCs w:val="21"/>
        </w:rPr>
        <w:t xml:space="preserve">Uncertain. The hypothesis is that a minority of free-tier users (informally modeled around 10% in this report's dashboard, not sourced from the Blueprint) convert to a ₹49–149/month plan for cross-session memory, voice, and deeper personalization. No pricing test, conjoint study, or pre-order has been run.</w:t>
      </w:r>
    </w:p>
    <w:p>
      <w:pPr>
        <w:pStyle w:val="Heading2"/>
        <w:spacing w:after="120" w:before="220"/>
      </w:pPr>
      <w:r>
        <w:rPr>
          <w:b/>
          <w:bCs/>
          <w:color w:val="3454d1"/>
          <w:sz w:val="24"/>
          <w:szCs w:val="24"/>
        </w:rPr>
        <w:t xml:space="preserve">Why Do They Pay?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1a1f2e"/>
          <w:sz w:val="21"/>
          <w:szCs w:val="21"/>
        </w:rPr>
        <w:t xml:space="preserve">The proposed hook is continuity and depth — the app 'remembering' the user and personalizing further. This is a real upgrade lever in companion-AI products generally, but it is weakened here because the MVP's free tier already delivers the core emotional-relief experience (unlimited basic chat). If the free product fully solves the stated pain point, the paid tier is a nice-to-have, not a need-to-have, until proven otherwise.</w:t>
      </w:r>
    </w:p>
    <w:p>
      <w:pPr>
        <w:pStyle w:val="Heading2"/>
        <w:spacing w:after="120" w:before="220"/>
      </w:pPr>
      <w:r>
        <w:rPr>
          <w:b/>
          <w:bCs/>
          <w:color w:val="3454d1"/>
          <w:sz w:val="24"/>
          <w:szCs w:val="24"/>
        </w:rPr>
        <w:t xml:space="preserve">How Will They Discover The Product?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1a1f2e"/>
          <w:sz w:val="21"/>
          <w:szCs w:val="21"/>
        </w:rPr>
        <w:t xml:space="preserve">Entirely through organic, creator-led short-form content (Instagram Reels) and word-of-mouth in hostel/college networks. This is a low-cost channel to start but a fragile one: no owned audience, no paid-acquisition fallback, and platform-algorithm dependency.</w:t>
      </w:r>
    </w:p>
    <w:p>
      <w:pPr>
        <w:pStyle w:val="Heading2"/>
        <w:spacing w:after="120" w:before="220"/>
      </w:pPr>
      <w:r>
        <w:rPr>
          <w:b/>
          <w:bCs/>
          <w:color w:val="3454d1"/>
          <w:sz w:val="24"/>
          <w:szCs w:val="24"/>
        </w:rPr>
        <w:t xml:space="preserve">Biggest Growth Risks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1a1f2e"/>
          <w:sz w:val="20"/>
          <w:szCs w:val="20"/>
        </w:rPr>
        <w:t xml:space="preserve">Zero demand signal today — no interviews, no waitlist, no tester data (Blueprint's own admission).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1a1f2e"/>
          <w:sz w:val="20"/>
          <w:szCs w:val="20"/>
        </w:rPr>
        <w:t xml:space="preserve">Distribution is 100% rented (creators, Instagram) with no owned channel or community asset being built in parallel.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1a1f2e"/>
          <w:sz w:val="20"/>
          <w:szCs w:val="20"/>
        </w:rPr>
        <w:t xml:space="preserve">Age-gating an 18–24 product away from the &lt;18 audience that most actively drives loneliness-content virality may cap organic reach.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1a1f2e"/>
          <w:sz w:val="20"/>
          <w:szCs w:val="20"/>
        </w:rPr>
        <w:t xml:space="preserve">Mental-health-adjacent products face outsized negative-press risk; a single bad story can end a creator-led growth loop.</w:t>
      </w:r>
    </w:p>
    <w:p>
      <w:pPr>
        <w:pStyle w:val="Heading2"/>
        <w:spacing w:after="120" w:before="220"/>
      </w:pPr>
      <w:r>
        <w:rPr>
          <w:b/>
          <w:bCs/>
          <w:color w:val="3454d1"/>
          <w:sz w:val="24"/>
          <w:szCs w:val="24"/>
        </w:rPr>
        <w:t xml:space="preserve">Biggest Monetization Risks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1a1f2e"/>
          <w:sz w:val="20"/>
          <w:szCs w:val="20"/>
        </w:rPr>
        <w:t xml:space="preserve">Free tier cannibalizes the paid hook — the core pain is resolved without paying.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1a1f2e"/>
          <w:sz w:val="20"/>
          <w:szCs w:val="20"/>
        </w:rPr>
        <w:t xml:space="preserve">India student ARPU is structurally low; recurring subscriptions for a chatbot are unproven at scale in this market.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1a1f2e"/>
          <w:sz w:val="20"/>
          <w:szCs w:val="20"/>
        </w:rPr>
        <w:t xml:space="preserve">Character.AI and Replika offer free or near-free alternatives with far larger models, more features, and existing brand trust.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1a1f2e"/>
          <w:sz w:val="20"/>
          <w:szCs w:val="20"/>
        </w:rPr>
        <w:t xml:space="preserve">No retention data exists yet to justify building payment infrastructure at all.</w:t>
      </w:r>
    </w:p>
    <w:p>
      <w:pPr>
        <w:pStyle w:val="Heading2"/>
        <w:spacing w:after="120" w:before="220"/>
      </w:pPr>
      <w:r>
        <w:rPr>
          <w:b/>
          <w:bCs/>
          <w:color w:val="3454d1"/>
          <w:sz w:val="24"/>
          <w:szCs w:val="24"/>
        </w:rPr>
        <w:t xml:space="preserve">Weak Assumptions to Validate Before Building</w:t>
      </w:r>
    </w:p>
    <w:tbl>
      <w:tblPr>
        <w:tblW w:type="dxa" w:w="9350"/>
        <w:tblBorders>
          <w:top w:val="single" w:color="d7dced" w:sz="4"/>
          <w:left w:val="single" w:color="d7dced" w:sz="4"/>
          <w:bottom w:val="single" w:color="d7dced" w:sz="4"/>
          <w:right w:val="single" w:color="d7dced" w:sz="4"/>
          <w:insideH w:val="single" w:color="d7dced" w:sz="4"/>
          <w:insideV w:val="single" w:color="d7dced" w:sz="4"/>
        </w:tblBorders>
      </w:tblPr>
      <w:tblGrid>
        <w:gridCol w:w="700"/>
        <w:gridCol w:w="4000"/>
        <w:gridCol w:w="4650"/>
      </w:tblGrid>
      <w:tr>
        <w:trPr>
          <w:tblHeader/>
        </w:trPr>
        <w:tc>
          <w:tcPr>
            <w:tcW w:type="dxa" w:w="700"/>
            <w:shd w:fill="1a1f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shd w:fill="1a1f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Assumption</w:t>
            </w:r>
          </w:p>
        </w:tc>
        <w:tc>
          <w:tcPr>
            <w:tcW w:type="dxa" w:w="4650"/>
            <w:shd w:fill="1a1f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 It's Risky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f2e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f2e"/>
                <w:sz w:val="18"/>
                <w:szCs w:val="18"/>
              </w:rPr>
              <w:t xml:space="preserve">Students will pay a recurring subscription for a companion chatbot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f2e"/>
                <w:sz w:val="18"/>
                <w:szCs w:val="18"/>
              </w:rPr>
              <w:t xml:space="preserve">Not proven anywhere in the Indian market at meaningful scale</w:t>
            </w:r>
          </w:p>
        </w:tc>
      </w:tr>
      <w:tr>
        <w:tc>
          <w:tcPr>
            <w:tcW w:type="dxa" w:w="70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f2e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f2e"/>
                <w:sz w:val="18"/>
                <w:szCs w:val="18"/>
              </w:rPr>
              <w:t xml:space="preserve">Creator marketing converts to installs and retained users</w:t>
            </w:r>
          </w:p>
        </w:tc>
        <w:tc>
          <w:tcPr>
            <w:tcW w:type="dxa" w:w="465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f2e"/>
                <w:sz w:val="18"/>
                <w:szCs w:val="18"/>
              </w:rPr>
              <w:t xml:space="preserve">Views/likes are not demand; no funnel data collected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f2e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f2e"/>
                <w:sz w:val="18"/>
                <w:szCs w:val="18"/>
              </w:rPr>
              <w:t xml:space="preserve">Hinglish + cultural tuning is enough differentiation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f2e"/>
                <w:sz w:val="18"/>
                <w:szCs w:val="18"/>
              </w:rPr>
              <w:t xml:space="preserve">Character.AI already supports custom personas and multilingual chat</w:t>
            </w:r>
          </w:p>
        </w:tc>
      </w:tr>
      <w:tr>
        <w:tc>
          <w:tcPr>
            <w:tcW w:type="dxa" w:w="70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f2e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f2e"/>
                <w:sz w:val="18"/>
                <w:szCs w:val="18"/>
              </w:rPr>
              <w:t xml:space="preserve">Emotional dependency can be managed responsibly</w:t>
            </w:r>
          </w:p>
        </w:tc>
        <w:tc>
          <w:tcPr>
            <w:tcW w:type="dxa" w:w="465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f2e"/>
                <w:sz w:val="18"/>
                <w:szCs w:val="18"/>
              </w:rPr>
              <w:t xml:space="preserve">This is a liability and trust risk, not just a UX detail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f2e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f2e"/>
                <w:sz w:val="18"/>
                <w:szCs w:val="18"/>
              </w:rPr>
              <w:t xml:space="preserve">25% D1 retention / 40% D3 return is achievable pre-PMF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f2e"/>
                <w:sz w:val="18"/>
                <w:szCs w:val="18"/>
              </w:rPr>
              <w:t xml:space="preserve">Ambitious bar for an untested single-persona MVP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454d1" w:sz="6" w:space="4"/>
        </w:pBdr>
        <w:spacing w:after="160" w:before="280"/>
      </w:pPr>
      <w:r>
        <w:rPr>
          <w:b/>
          <w:bCs/>
          <w:color w:val="1a1f2e"/>
          <w:sz w:val="30"/>
          <w:szCs w:val="30"/>
        </w:rPr>
        <w:t xml:space="preserve">04 · Business Model Canvas</w:t>
      </w:r>
    </w:p>
    <w:tbl>
      <w:tblPr>
        <w:tblW w:type="dxa" w:w="9350"/>
        <w:tblBorders>
          <w:top w:val="single" w:color="d7dced" w:sz="4"/>
          <w:left w:val="single" w:color="d7dced" w:sz="4"/>
          <w:bottom w:val="single" w:color="d7dced" w:sz="4"/>
          <w:right w:val="single" w:color="d7dced" w:sz="4"/>
          <w:insideH w:val="single" w:color="d7dced" w:sz="4"/>
          <w:insideV w:val="single" w:color="d7dced" w:sz="4"/>
        </w:tblBorders>
      </w:tblPr>
      <w:tblGrid>
        <w:gridCol w:w="2400"/>
        <w:gridCol w:w="6950"/>
      </w:tblGrid>
      <w:tr>
        <w:trPr>
          <w:tblHeader/>
        </w:trPr>
        <w:tc>
          <w:tcPr>
            <w:tcW w:type="dxa" w:w="2400"/>
            <w:shd w:fill="1a1f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Block</w:t>
            </w:r>
          </w:p>
        </w:tc>
        <w:tc>
          <w:tcPr>
            <w:tcW w:type="dxa" w:w="6950"/>
            <w:shd w:fill="1a1f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a1f2e"/>
                <w:sz w:val="18"/>
                <w:szCs w:val="18"/>
              </w:rPr>
              <w:t xml:space="preserve">Customer Segments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color w:val="1a1f2e"/>
                <w:sz w:val="17"/>
                <w:szCs w:val="17"/>
              </w:rPr>
              <w:t xml:space="preserve">College students &amp; early jobseekers, 18–24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color w:val="1a1f2e"/>
                <w:sz w:val="17"/>
                <w:szCs w:val="17"/>
              </w:rPr>
              <w:t xml:space="preserve">Tier-1 &amp; Tier-2 India (Delhi NCR, Bengaluru, Pune, Hyderabad, Lucknow, Jaipur)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color w:val="1a1f2e"/>
                <w:sz w:val="17"/>
                <w:szCs w:val="17"/>
              </w:rPr>
              <w:t xml:space="preserve">Living away from family (hostel/PG)</w:t>
            </w:r>
          </w:p>
        </w:tc>
      </w:tr>
      <w:tr>
        <w:tc>
          <w:tcPr>
            <w:tcW w:type="dxa" w:w="240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a1f2e"/>
                <w:sz w:val="18"/>
                <w:szCs w:val="18"/>
              </w:rPr>
              <w:t xml:space="preserve">Value Propositions</w:t>
            </w:r>
          </w:p>
        </w:tc>
        <w:tc>
          <w:tcPr>
            <w:tcW w:type="dxa" w:w="695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color w:val="1a1f2e"/>
                <w:sz w:val="17"/>
                <w:szCs w:val="17"/>
              </w:rPr>
              <w:t xml:space="preserve">Judgment-free, always-available companionship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color w:val="1a1f2e"/>
                <w:sz w:val="17"/>
                <w:szCs w:val="17"/>
              </w:rPr>
              <w:t xml:space="preserve">Culturally relevant, Hinglish-capable — unlike English-only incumbents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color w:val="1a1f2e"/>
                <w:sz w:val="17"/>
                <w:szCs w:val="17"/>
              </w:rPr>
              <w:t xml:space="preserve">Private, discreet, framed as 'journaling with a personality'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a1f2e"/>
                <w:sz w:val="18"/>
                <w:szCs w:val="18"/>
              </w:rPr>
              <w:t xml:space="preserve">Channels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color w:val="1a1f2e"/>
                <w:sz w:val="17"/>
                <w:szCs w:val="17"/>
              </w:rPr>
              <w:t xml:space="preserve">Instagram Reels via student-community creators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color w:val="1a1f2e"/>
                <w:sz w:val="17"/>
                <w:szCs w:val="17"/>
              </w:rPr>
              <w:t xml:space="preserve">Word-of-mouth in hostel/college peer groups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color w:val="1a1f2e"/>
                <w:sz w:val="17"/>
                <w:szCs w:val="17"/>
              </w:rPr>
              <w:t xml:space="preserve">Landing-page waitlist (planned, not yet live)</w:t>
            </w:r>
          </w:p>
        </w:tc>
      </w:tr>
      <w:tr>
        <w:tc>
          <w:tcPr>
            <w:tcW w:type="dxa" w:w="240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a1f2e"/>
                <w:sz w:val="18"/>
                <w:szCs w:val="18"/>
              </w:rPr>
              <w:t xml:space="preserve">Customer Relationships</w:t>
            </w:r>
          </w:p>
        </w:tc>
        <w:tc>
          <w:tcPr>
            <w:tcW w:type="dxa" w:w="695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color w:val="1a1f2e"/>
                <w:sz w:val="17"/>
                <w:szCs w:val="17"/>
              </w:rPr>
              <w:t xml:space="preserve">Automated 1:1 chat companion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color w:val="1a1f2e"/>
                <w:sz w:val="17"/>
                <w:szCs w:val="17"/>
              </w:rPr>
              <w:t xml:space="preserve">Non-manipulative, opt-in check-ins (planned, not built)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color w:val="1a1f2e"/>
                <w:sz w:val="17"/>
                <w:szCs w:val="17"/>
              </w:rPr>
              <w:t xml:space="preserve">No community/peer layer in MVP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a1f2e"/>
                <w:sz w:val="18"/>
                <w:szCs w:val="18"/>
              </w:rPr>
              <w:t xml:space="preserve">Revenue Streams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color w:val="1a1f2e"/>
                <w:sz w:val="17"/>
                <w:szCs w:val="17"/>
              </w:rPr>
              <w:t xml:space="preserve">Free: unlimited basic text chat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color w:val="1a1f2e"/>
                <w:sz w:val="17"/>
                <w:szCs w:val="17"/>
              </w:rPr>
              <w:t xml:space="preserve">Paid: ₹49–149/month for memory, voice, personalization (hypothesis)</w:t>
            </w:r>
          </w:p>
        </w:tc>
      </w:tr>
      <w:tr>
        <w:tc>
          <w:tcPr>
            <w:tcW w:type="dxa" w:w="240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a1f2e"/>
                <w:sz w:val="18"/>
                <w:szCs w:val="18"/>
              </w:rPr>
              <w:t xml:space="preserve">Key Resources</w:t>
            </w:r>
          </w:p>
        </w:tc>
        <w:tc>
          <w:tcPr>
            <w:tcW w:type="dxa" w:w="695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color w:val="1a1f2e"/>
                <w:sz w:val="17"/>
                <w:szCs w:val="17"/>
              </w:rPr>
              <w:t xml:space="preserve">Third-party LLM API (no in-house model)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color w:val="1a1f2e"/>
                <w:sz w:val="17"/>
                <w:szCs w:val="17"/>
              </w:rPr>
              <w:t xml:space="preserve">Prompt design / conversational tuning for Hinglish tone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color w:val="1a1f2e"/>
                <w:sz w:val="17"/>
                <w:szCs w:val="17"/>
              </w:rPr>
              <w:t xml:space="preserve">Crisis-detection &amp; safety policy (not yet built)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a1f2e"/>
                <w:sz w:val="18"/>
                <w:szCs w:val="18"/>
              </w:rPr>
              <w:t xml:space="preserve">Key Activities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color w:val="1a1f2e"/>
                <w:sz w:val="17"/>
                <w:szCs w:val="17"/>
              </w:rPr>
              <w:t xml:space="preserve">Conversation design &amp; safety-flow scripting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color w:val="1a1f2e"/>
                <w:sz w:val="17"/>
                <w:szCs w:val="17"/>
              </w:rPr>
              <w:t xml:space="preserve">Creator relationship management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color w:val="1a1f2e"/>
                <w:sz w:val="17"/>
                <w:szCs w:val="17"/>
              </w:rPr>
              <w:t xml:space="preserve">Retention measurement &amp; iteration</w:t>
            </w:r>
          </w:p>
        </w:tc>
      </w:tr>
      <w:tr>
        <w:tc>
          <w:tcPr>
            <w:tcW w:type="dxa" w:w="240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a1f2e"/>
                <w:sz w:val="18"/>
                <w:szCs w:val="18"/>
              </w:rPr>
              <w:t xml:space="preserve">Key Partners</w:t>
            </w:r>
          </w:p>
        </w:tc>
        <w:tc>
          <w:tcPr>
            <w:tcW w:type="dxa" w:w="695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color w:val="1a1f2e"/>
                <w:sz w:val="17"/>
                <w:szCs w:val="17"/>
              </w:rPr>
              <w:t xml:space="preserve">LLM API provider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color w:val="1a1f2e"/>
                <w:sz w:val="17"/>
                <w:szCs w:val="17"/>
              </w:rPr>
              <w:t xml:space="preserve">Student-community creators / micro-influencers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color w:val="1a1f2e"/>
                <w:sz w:val="17"/>
                <w:szCs w:val="17"/>
              </w:rPr>
              <w:t xml:space="preserve">Legal/safety consultant for age-gating &amp; privacy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a1f2e"/>
                <w:sz w:val="18"/>
                <w:szCs w:val="18"/>
              </w:rPr>
              <w:t xml:space="preserve">Cost Structure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color w:val="1a1f2e"/>
                <w:sz w:val="17"/>
                <w:szCs w:val="17"/>
              </w:rPr>
              <w:t xml:space="preserve">LLM API usage (variable, scales with engagement)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color w:val="1a1f2e"/>
                <w:sz w:val="17"/>
                <w:szCs w:val="17"/>
              </w:rPr>
              <w:t xml:space="preserve">Creator fees / gifting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color w:val="1a1f2e"/>
                <w:sz w:val="17"/>
                <w:szCs w:val="17"/>
              </w:rPr>
              <w:t xml:space="preserve">Legal &amp; safety review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color w:val="1a1f2e"/>
                <w:sz w:val="17"/>
                <w:szCs w:val="17"/>
              </w:rPr>
              <w:t xml:space="preserve">No infra for voice/avatars yet (deliberately excluded)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454d1" w:sz="6" w:space="4"/>
        </w:pBdr>
        <w:spacing w:after="160" w:before="280"/>
      </w:pPr>
      <w:r>
        <w:rPr>
          <w:b/>
          <w:bCs/>
          <w:color w:val="1a1f2e"/>
          <w:sz w:val="30"/>
          <w:szCs w:val="30"/>
        </w:rPr>
        <w:t xml:space="preserve">05 · Revenue &amp; Pricing Strategy</w:t>
      </w:r>
    </w:p>
    <w:p>
      <w:pPr>
        <w:pStyle w:val="Heading2"/>
        <w:spacing w:after="120" w:before="220"/>
      </w:pPr>
      <w:r>
        <w:rPr>
          <w:b/>
          <w:bCs/>
          <w:color w:val="3454d1"/>
          <w:sz w:val="24"/>
          <w:szCs w:val="24"/>
        </w:rPr>
        <w:t xml:space="preserve">Current State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1a1f2e"/>
          <w:sz w:val="21"/>
          <w:szCs w:val="21"/>
        </w:rPr>
        <w:t xml:space="preserve">Pricing is explicitly labeled a hypothesis in the source material: freemium access with a ₹49–149/month paid tier unlocking cross-session memory, voice, and deeper personalization. No willingness-to-pay interviews, no pricing test, and no payment infrastructure exist yet — correctly deferred per the MVP plan.</w:t>
      </w:r>
    </w:p>
    <w:p>
      <w:pPr>
        <w:pStyle w:val="Heading2"/>
        <w:spacing w:after="120" w:before="220"/>
      </w:pPr>
      <w:r>
        <w:rPr>
          <w:b/>
          <w:bCs/>
          <w:color w:val="3454d1"/>
          <w:sz w:val="24"/>
          <w:szCs w:val="24"/>
        </w:rPr>
        <w:t xml:space="preserve">Recommended Approach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1a1f2e"/>
          <w:sz w:val="20"/>
          <w:szCs w:val="20"/>
        </w:rPr>
        <w:t xml:space="preserve">Do not build payments until Week 4 Go/No-Go retention metrics are met (Section 08 of the Blueprint).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1a1f2e"/>
          <w:sz w:val="20"/>
          <w:szCs w:val="20"/>
        </w:rPr>
        <w:t xml:space="preserve">Validate willingness-to-pay qualitatively first: ask directly in the 15–20 structured interviews what users would pay for continuity/memory, before committing to a number.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1a1f2e"/>
          <w:sz w:val="20"/>
          <w:szCs w:val="20"/>
        </w:rPr>
        <w:t xml:space="preserve">Test price sensitivity with a fake-door paywall (show the ₹49 / ₹99 / ₹149 tiers on the waitlist page) to gauge click-through intent — zero engineering cost.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1a1f2e"/>
          <w:sz w:val="20"/>
          <w:szCs w:val="20"/>
        </w:rPr>
        <w:t xml:space="preserve">Consider anchoring the paid tier around a single, sharply-felt benefit (e.g., 'it remembers what you told it last week') rather than a bundle, to make the upgrade decision legible.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1a1f2e"/>
          <w:sz w:val="20"/>
          <w:szCs w:val="20"/>
        </w:rPr>
        <w:t xml:space="preserve">Model unit economics early: at ₹99/month and a plausible 3–8% free-to-paid conversion, back-calculate the free-user base needed to cover LLM API costs before assuming profitability.</w:t>
      </w:r>
    </w:p>
    <w:p>
      <w:pPr>
        <w:pStyle w:val="Heading2"/>
        <w:spacing w:after="120" w:before="220"/>
      </w:pPr>
      <w:r>
        <w:rPr>
          <w:b/>
          <w:bCs/>
          <w:color w:val="3454d1"/>
          <w:sz w:val="24"/>
          <w:szCs w:val="24"/>
        </w:rPr>
        <w:t xml:space="preserve">Revenue Risk Flags</w:t>
      </w:r>
    </w:p>
    <w:tbl>
      <w:tblPr>
        <w:tblW w:type="dxa" w:w="9350"/>
        <w:tblBorders>
          <w:top w:val="single" w:color="d7dced" w:sz="4"/>
          <w:left w:val="single" w:color="d7dced" w:sz="4"/>
          <w:bottom w:val="single" w:color="d7dced" w:sz="4"/>
          <w:right w:val="single" w:color="d7dced" w:sz="4"/>
          <w:insideH w:val="single" w:color="d7dced" w:sz="4"/>
          <w:insideV w:val="single" w:color="d7dced" w:sz="4"/>
        </w:tblBorders>
      </w:tblPr>
      <w:tblGrid>
        <w:gridCol w:w="3300"/>
        <w:gridCol w:w="6050"/>
      </w:tblGrid>
      <w:tr>
        <w:trPr>
          <w:tblHeader/>
        </w:trPr>
        <w:tc>
          <w:tcPr>
            <w:tcW w:type="dxa" w:w="3300"/>
            <w:shd w:fill="1a1f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6050"/>
            <w:shd w:fill="1a1f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f2e"/>
                <w:sz w:val="18"/>
                <w:szCs w:val="18"/>
              </w:rPr>
              <w:t xml:space="preserve">Free tier meets the core need</w:t>
            </w:r>
          </w:p>
        </w:tc>
        <w:tc>
          <w:tcPr>
            <w:tcW w:type="dxa" w:w="6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f2e"/>
                <w:sz w:val="18"/>
                <w:szCs w:val="18"/>
              </w:rPr>
              <w:t xml:space="preserve">Weakens the primary reason to ever upgrade</w:t>
            </w:r>
          </w:p>
        </w:tc>
      </w:tr>
      <w:tr>
        <w:tc>
          <w:tcPr>
            <w:tcW w:type="dxa" w:w="330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f2e"/>
                <w:sz w:val="18"/>
                <w:szCs w:val="18"/>
              </w:rPr>
              <w:t xml:space="preserve">Low India ARPU norms</w:t>
            </w:r>
          </w:p>
        </w:tc>
        <w:tc>
          <w:tcPr>
            <w:tcW w:type="dxa" w:w="605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f2e"/>
                <w:sz w:val="18"/>
                <w:szCs w:val="18"/>
              </w:rPr>
              <w:t xml:space="preserve">₹49–149 is low in absolute terms; needs volume to matter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f2e"/>
                <w:sz w:val="18"/>
                <w:szCs w:val="18"/>
              </w:rPr>
              <w:t xml:space="preserve">No proven retention</w:t>
            </w:r>
          </w:p>
        </w:tc>
        <w:tc>
          <w:tcPr>
            <w:tcW w:type="dxa" w:w="6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f2e"/>
                <w:sz w:val="18"/>
                <w:szCs w:val="18"/>
              </w:rPr>
              <w:t xml:space="preserve">Building billing before D1/D3 retention is proven is premature spend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454d1" w:sz="6" w:space="4"/>
        </w:pBdr>
        <w:spacing w:after="160" w:before="280"/>
      </w:pPr>
      <w:r>
        <w:rPr>
          <w:b/>
          <w:bCs/>
          <w:color w:val="1a1f2e"/>
          <w:sz w:val="30"/>
          <w:szCs w:val="30"/>
        </w:rPr>
        <w:t xml:space="preserve">06 · Go-To-Market Strategy</w:t>
      </w:r>
    </w:p>
    <w:p>
      <w:pPr>
        <w:pStyle w:val="Heading2"/>
        <w:spacing w:after="120" w:before="220"/>
      </w:pPr>
      <w:r>
        <w:rPr>
          <w:b/>
          <w:bCs/>
          <w:color w:val="3454d1"/>
          <w:sz w:val="24"/>
          <w:szCs w:val="24"/>
        </w:rPr>
        <w:t xml:space="preserve">Sequencing (from the Blueprint's 30-Day Plan)</w:t>
      </w:r>
    </w:p>
    <w:tbl>
      <w:tblPr>
        <w:tblW w:type="dxa" w:w="9350"/>
        <w:tblBorders>
          <w:top w:val="single" w:color="d7dced" w:sz="4"/>
          <w:left w:val="single" w:color="d7dced" w:sz="4"/>
          <w:bottom w:val="single" w:color="d7dced" w:sz="4"/>
          <w:right w:val="single" w:color="d7dced" w:sz="4"/>
          <w:insideH w:val="single" w:color="d7dced" w:sz="4"/>
          <w:insideV w:val="single" w:color="d7dced" w:sz="4"/>
        </w:tblBorders>
      </w:tblPr>
      <w:tblGrid>
        <w:gridCol w:w="900"/>
        <w:gridCol w:w="3200"/>
        <w:gridCol w:w="5250"/>
      </w:tblGrid>
      <w:tr>
        <w:trPr>
          <w:tblHeader/>
        </w:trPr>
        <w:tc>
          <w:tcPr>
            <w:tcW w:type="dxa" w:w="900"/>
            <w:shd w:fill="1a1f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3200"/>
            <w:shd w:fill="1a1f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5250"/>
            <w:shd w:fill="1a1f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Deliverables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f2e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f2e"/>
                <w:sz w:val="18"/>
                <w:szCs w:val="18"/>
              </w:rPr>
              <w:t xml:space="preserve">Validate before building</w:t>
            </w:r>
          </w:p>
        </w:tc>
        <w:tc>
          <w:tcPr>
            <w:tcW w:type="dxa" w:w="5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f2e"/>
                <w:sz w:val="18"/>
                <w:szCs w:val="18"/>
              </w:rPr>
              <w:t xml:space="preserve">15–20 structured interviews; landing page + waitlist live</w:t>
            </w:r>
          </w:p>
        </w:tc>
      </w:tr>
      <w:tr>
        <w:tc>
          <w:tcPr>
            <w:tcW w:type="dxa" w:w="90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f2e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f2e"/>
                <w:sz w:val="18"/>
                <w:szCs w:val="18"/>
              </w:rPr>
              <w:t xml:space="preserve">Design the core loop</w:t>
            </w:r>
          </w:p>
        </w:tc>
        <w:tc>
          <w:tcPr>
            <w:tcW w:type="dxa" w:w="525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f2e"/>
                <w:sz w:val="18"/>
                <w:szCs w:val="18"/>
              </w:rPr>
              <w:t xml:space="preserve">Script first-conversation flow; define age-gating &amp; safety policy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f2e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f2e"/>
                <w:sz w:val="18"/>
                <w:szCs w:val="18"/>
              </w:rPr>
              <w:t xml:space="preserve">Build minimal MVP</w:t>
            </w:r>
          </w:p>
        </w:tc>
        <w:tc>
          <w:tcPr>
            <w:tcW w:type="dxa" w:w="5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f2e"/>
                <w:sz w:val="18"/>
                <w:szCs w:val="18"/>
              </w:rPr>
              <w:t xml:space="preserve">Single-persona chat with memory + Hinglish tone, via LLM API</w:t>
            </w:r>
          </w:p>
        </w:tc>
      </w:tr>
      <w:tr>
        <w:tc>
          <w:tcPr>
            <w:tcW w:type="dxa" w:w="90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f2e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f2e"/>
                <w:sz w:val="18"/>
                <w:szCs w:val="18"/>
              </w:rPr>
              <w:t xml:space="preserve">Test &amp; decide</w:t>
            </w:r>
          </w:p>
        </w:tc>
        <w:tc>
          <w:tcPr>
            <w:tcW w:type="dxa" w:w="525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f2e"/>
                <w:sz w:val="18"/>
                <w:szCs w:val="18"/>
              </w:rPr>
              <w:t xml:space="preserve">10–20 testers; measure retention/session metrics; Go/No-Go</w:t>
            </w:r>
          </w:p>
        </w:tc>
      </w:tr>
    </w:tbl>
    <w:p>
      <w:pPr>
        <w:pStyle w:val="Heading2"/>
        <w:spacing w:after="120" w:before="220"/>
      </w:pPr>
      <w:r>
        <w:rPr>
          <w:b/>
          <w:bCs/>
          <w:color w:val="3454d1"/>
          <w:sz w:val="24"/>
          <w:szCs w:val="24"/>
        </w:rPr>
        <w:t xml:space="preserve">Strategic Additions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1a1f2e"/>
          <w:sz w:val="20"/>
          <w:szCs w:val="20"/>
        </w:rPr>
        <w:t xml:space="preserve">Treat the waitlist as the real GTM asset, not a formality — track conversion from creator content to waitlist signup as the first hard demand number.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1a1f2e"/>
          <w:sz w:val="20"/>
          <w:szCs w:val="20"/>
        </w:rPr>
        <w:t xml:space="preserve">Pick 2–3 creators for a genuine test cohort before 'mapping 5–10' broadly; validate message-market fit on content before scaling spend/effort.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1a1f2e"/>
          <w:sz w:val="20"/>
          <w:szCs w:val="20"/>
        </w:rPr>
        <w:t xml:space="preserve">Build the crisis-detection/redirect-to-help flow before any public-facing content goes live — this is both a safety and a brand-trust requirement, not a later feature.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1a1f2e"/>
          <w:sz w:val="20"/>
          <w:szCs w:val="20"/>
        </w:rPr>
        <w:t xml:space="preserve">Instrument analytics (retention, session length, return rate) from the first tester, not after Week 3 — the Go/No-Go call in Week 4 is only as good as the data behind it.</w:t>
      </w:r>
    </w:p>
    <w:p>
      <w:r>
        <w:br w:type="page"/>
      </w:r>
    </w:p>
    <w:p>
      <w:pPr>
        <w:pStyle w:val="Heading1"/>
        <w:pBdr>
          <w:bottom w:val="single" w:color="3454d1" w:sz="6" w:space="4"/>
        </w:pBdr>
        <w:spacing w:after="160" w:before="280"/>
      </w:pPr>
      <w:r>
        <w:rPr>
          <w:b/>
          <w:bCs/>
          <w:color w:val="1a1f2e"/>
          <w:sz w:val="30"/>
          <w:szCs w:val="30"/>
        </w:rPr>
        <w:t xml:space="preserve">07 · Customer Acquisition Strategy</w:t>
      </w:r>
    </w:p>
    <w:p>
      <w:pPr>
        <w:pStyle w:val="Heading2"/>
        <w:spacing w:after="120" w:before="220"/>
      </w:pPr>
      <w:r>
        <w:rPr>
          <w:b/>
          <w:bCs/>
          <w:color w:val="3454d1"/>
          <w:sz w:val="24"/>
          <w:szCs w:val="24"/>
        </w:rPr>
        <w:t xml:space="preserve">Primary Channel: Creator-Led Organic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1a1f2e"/>
          <w:sz w:val="21"/>
          <w:szCs w:val="21"/>
        </w:rPr>
        <w:t xml:space="preserve">The plan correctly avoids paid acquisition at this stage — CAC cannot be justified before retention and conversion are proven. The acquisition strategy should be treated as a research tool first, growth engine second.</w:t>
      </w:r>
    </w:p>
    <w:tbl>
      <w:tblPr>
        <w:tblW w:type="dxa" w:w="9350"/>
        <w:tblBorders>
          <w:top w:val="single" w:color="d7dced" w:sz="4"/>
          <w:left w:val="single" w:color="d7dced" w:sz="4"/>
          <w:bottom w:val="single" w:color="d7dced" w:sz="4"/>
          <w:right w:val="single" w:color="d7dced" w:sz="4"/>
          <w:insideH w:val="single" w:color="d7dced" w:sz="4"/>
          <w:insideV w:val="single" w:color="d7dced" w:sz="4"/>
        </w:tblBorders>
      </w:tblPr>
      <w:tblGrid>
        <w:gridCol w:w="3000"/>
        <w:gridCol w:w="3700"/>
        <w:gridCol w:w="2650"/>
      </w:tblGrid>
      <w:tr>
        <w:trPr>
          <w:tblHeader/>
        </w:trPr>
        <w:tc>
          <w:tcPr>
            <w:tcW w:type="dxa" w:w="3000"/>
            <w:shd w:fill="1a1f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Tactic</w:t>
            </w:r>
          </w:p>
        </w:tc>
        <w:tc>
          <w:tcPr>
            <w:tcW w:type="dxa" w:w="3700"/>
            <w:shd w:fill="1a1f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650"/>
            <w:shd w:fill="1a1f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f2e"/>
                <w:sz w:val="18"/>
                <w:szCs w:val="18"/>
              </w:rPr>
              <w:t xml:space="preserve">Structured 1:1 interviews (15–20)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f2e"/>
                <w:sz w:val="18"/>
                <w:szCs w:val="18"/>
              </w:rPr>
              <w:t xml:space="preserve">Validate pain point language &amp; willingness to try</w:t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f2e"/>
                <w:sz w:val="18"/>
                <w:szCs w:val="18"/>
              </w:rPr>
              <w:t xml:space="preserve">Founder time only</w:t>
            </w:r>
          </w:p>
        </w:tc>
      </w:tr>
      <w:tr>
        <w:tc>
          <w:tcPr>
            <w:tcW w:type="dxa" w:w="300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f2e"/>
                <w:sz w:val="18"/>
                <w:szCs w:val="18"/>
              </w:rPr>
              <w:t xml:space="preserve">Landing page + waitlist</w:t>
            </w:r>
          </w:p>
        </w:tc>
        <w:tc>
          <w:tcPr>
            <w:tcW w:type="dxa" w:w="370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f2e"/>
                <w:sz w:val="18"/>
                <w:szCs w:val="18"/>
              </w:rPr>
              <w:t xml:space="preserve">Quantify real intent beyond conversation</w:t>
            </w:r>
          </w:p>
        </w:tc>
        <w:tc>
          <w:tcPr>
            <w:tcW w:type="dxa" w:w="265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f2e"/>
                <w:sz w:val="18"/>
                <w:szCs w:val="18"/>
              </w:rPr>
              <w:t xml:space="preserve">Low — no-code tools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f2e"/>
                <w:sz w:val="18"/>
                <w:szCs w:val="18"/>
              </w:rPr>
              <w:t xml:space="preserve">2–3 seed creator posts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f2e"/>
                <w:sz w:val="18"/>
                <w:szCs w:val="18"/>
              </w:rPr>
              <w:t xml:space="preserve">Test message-market fit on relatable framing</w:t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f2e"/>
                <w:sz w:val="18"/>
                <w:szCs w:val="18"/>
              </w:rPr>
              <w:t xml:space="preserve">Low — gifting/micro-fee</w:t>
            </w:r>
          </w:p>
        </w:tc>
      </w:tr>
      <w:tr>
        <w:tc>
          <w:tcPr>
            <w:tcW w:type="dxa" w:w="300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f2e"/>
                <w:sz w:val="18"/>
                <w:szCs w:val="18"/>
              </w:rPr>
              <w:t xml:space="preserve">Manual concierge onboarding (5–10 people)</w:t>
            </w:r>
          </w:p>
        </w:tc>
        <w:tc>
          <w:tcPr>
            <w:tcW w:type="dxa" w:w="370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f2e"/>
                <w:sz w:val="18"/>
                <w:szCs w:val="18"/>
              </w:rPr>
              <w:t xml:space="preserve">Observe real reactions to the first-chat script, no code</w:t>
            </w:r>
          </w:p>
        </w:tc>
        <w:tc>
          <w:tcPr>
            <w:tcW w:type="dxa" w:w="265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f2e"/>
                <w:sz w:val="18"/>
                <w:szCs w:val="18"/>
              </w:rPr>
              <w:t xml:space="preserve">Founder time only</w:t>
            </w:r>
          </w:p>
        </w:tc>
      </w:tr>
    </w:tbl>
    <w:p>
      <w:pPr>
        <w:pStyle w:val="Heading2"/>
        <w:spacing w:after="120" w:before="220"/>
      </w:pPr>
      <w:r>
        <w:rPr>
          <w:b/>
          <w:bCs/>
          <w:color w:val="3454d1"/>
          <w:sz w:val="24"/>
          <w:szCs w:val="24"/>
        </w:rPr>
        <w:t xml:space="preserve">What To Avoid Early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1a1f2e"/>
          <w:sz w:val="20"/>
          <w:szCs w:val="20"/>
        </w:rPr>
        <w:t xml:space="preserve">Paid social/performance ads — no proven funnel to spend against yet.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1a1f2e"/>
          <w:sz w:val="20"/>
          <w:szCs w:val="20"/>
        </w:rPr>
        <w:t xml:space="preserve">Broad creator campaigns before 2–3 test posts validate the hook and framing.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1a1f2e"/>
          <w:sz w:val="20"/>
          <w:szCs w:val="20"/>
        </w:rPr>
        <w:t xml:space="preserve">Push-notification re-engagement loops — explicitly excluded from MVP, and risky from a dependency-ethics standpoint.</w:t>
      </w:r>
    </w:p>
    <w:p>
      <w:r>
        <w:br w:type="page"/>
      </w:r>
    </w:p>
    <w:p>
      <w:pPr>
        <w:pStyle w:val="Heading1"/>
        <w:pBdr>
          <w:bottom w:val="single" w:color="3454d1" w:sz="6" w:space="4"/>
        </w:pBdr>
        <w:spacing w:after="160" w:before="280"/>
      </w:pPr>
      <w:r>
        <w:rPr>
          <w:b/>
          <w:bCs/>
          <w:color w:val="1a1f2e"/>
          <w:sz w:val="30"/>
          <w:szCs w:val="30"/>
        </w:rPr>
        <w:t xml:space="preserve">08 · First 100 Users Plan</w:t>
      </w:r>
    </w:p>
    <w:tbl>
      <w:tblPr>
        <w:tblW w:type="dxa" w:w="9350"/>
        <w:tblBorders>
          <w:top w:val="single" w:color="d7dced" w:sz="4"/>
          <w:left w:val="single" w:color="d7dced" w:sz="4"/>
          <w:bottom w:val="single" w:color="d7dced" w:sz="4"/>
          <w:right w:val="single" w:color="d7dced" w:sz="4"/>
          <w:insideH w:val="single" w:color="d7dced" w:sz="4"/>
          <w:insideV w:val="single" w:color="d7dced" w:sz="4"/>
        </w:tblBorders>
      </w:tblPr>
      <w:tblGrid>
        <w:gridCol w:w="2400"/>
        <w:gridCol w:w="1300"/>
        <w:gridCol w:w="3200"/>
        <w:gridCol w:w="2450"/>
      </w:tblGrid>
      <w:tr>
        <w:trPr>
          <w:tblHeader/>
        </w:trPr>
        <w:tc>
          <w:tcPr>
            <w:tcW w:type="dxa" w:w="2400"/>
            <w:shd w:fill="1a1f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300"/>
            <w:shd w:fill="1a1f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 #</w:t>
            </w:r>
          </w:p>
        </w:tc>
        <w:tc>
          <w:tcPr>
            <w:tcW w:type="dxa" w:w="3200"/>
            <w:shd w:fill="1a1f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450"/>
            <w:shd w:fill="1a1f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Proves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f2e"/>
                <w:sz w:val="18"/>
                <w:szCs w:val="18"/>
              </w:rPr>
              <w:t xml:space="preserve">Founder network interviews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f2e"/>
                <w:sz w:val="18"/>
                <w:szCs w:val="18"/>
              </w:rPr>
              <w:t xml:space="preserve">15–20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f2e"/>
                <w:sz w:val="18"/>
                <w:szCs w:val="18"/>
              </w:rPr>
              <w:t xml:space="preserve">Manual outreach in hostel/college WhatsApp groups</w:t>
            </w:r>
          </w:p>
        </w:tc>
        <w:tc>
          <w:tcPr>
            <w:tcW w:type="dxa" w:w="2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f2e"/>
                <w:sz w:val="18"/>
                <w:szCs w:val="18"/>
              </w:rPr>
              <w:t xml:space="preserve">Problem resonance, language, objections</w:t>
            </w:r>
          </w:p>
        </w:tc>
      </w:tr>
      <w:tr>
        <w:tc>
          <w:tcPr>
            <w:tcW w:type="dxa" w:w="240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f2e"/>
                <w:sz w:val="18"/>
                <w:szCs w:val="18"/>
              </w:rPr>
              <w:t xml:space="preserve">Landing page waitlist</w:t>
            </w:r>
          </w:p>
        </w:tc>
        <w:tc>
          <w:tcPr>
            <w:tcW w:type="dxa" w:w="130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f2e"/>
                <w:sz w:val="18"/>
                <w:szCs w:val="18"/>
              </w:rPr>
              <w:t xml:space="preserve">50+</w:t>
            </w:r>
          </w:p>
        </w:tc>
        <w:tc>
          <w:tcPr>
            <w:tcW w:type="dxa" w:w="320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f2e"/>
                <w:sz w:val="18"/>
                <w:szCs w:val="18"/>
              </w:rPr>
              <w:t xml:space="preserve">Shared via student communities + one micro-creator</w:t>
            </w:r>
          </w:p>
        </w:tc>
        <w:tc>
          <w:tcPr>
            <w:tcW w:type="dxa" w:w="245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f2e"/>
                <w:sz w:val="18"/>
                <w:szCs w:val="18"/>
              </w:rPr>
              <w:t xml:space="preserve">Real intent beyond conversation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f2e"/>
                <w:sz w:val="18"/>
                <w:szCs w:val="18"/>
              </w:rPr>
              <w:t xml:space="preserve">Manual concierge testers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f2e"/>
                <w:sz w:val="18"/>
                <w:szCs w:val="18"/>
              </w:rPr>
              <w:t xml:space="preserve">10–20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f2e"/>
                <w:sz w:val="18"/>
                <w:szCs w:val="18"/>
              </w:rPr>
              <w:t xml:space="preserve">Scripted first-chat, no code, direct feedback</w:t>
            </w:r>
          </w:p>
        </w:tc>
        <w:tc>
          <w:tcPr>
            <w:tcW w:type="dxa" w:w="2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f2e"/>
                <w:sz w:val="18"/>
                <w:szCs w:val="18"/>
              </w:rPr>
              <w:t xml:space="preserve">Whether the core experience feels 'safe/warm'</w:t>
            </w:r>
          </w:p>
        </w:tc>
      </w:tr>
      <w:tr>
        <w:tc>
          <w:tcPr>
            <w:tcW w:type="dxa" w:w="240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f2e"/>
                <w:sz w:val="18"/>
                <w:szCs w:val="18"/>
              </w:rPr>
              <w:t xml:space="preserve">Seed creator posts (2–3)</w:t>
            </w:r>
          </w:p>
        </w:tc>
        <w:tc>
          <w:tcPr>
            <w:tcW w:type="dxa" w:w="130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f2e"/>
                <w:sz w:val="18"/>
                <w:szCs w:val="18"/>
              </w:rPr>
              <w:t xml:space="preserve">Remaining to 100</w:t>
            </w:r>
          </w:p>
        </w:tc>
        <w:tc>
          <w:tcPr>
            <w:tcW w:type="dxa" w:w="320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f2e"/>
                <w:sz w:val="18"/>
                <w:szCs w:val="18"/>
              </w:rPr>
              <w:t xml:space="preserve">Track installs/replies, not just views</w:t>
            </w:r>
          </w:p>
        </w:tc>
        <w:tc>
          <w:tcPr>
            <w:tcW w:type="dxa" w:w="245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f2e"/>
                <w:sz w:val="18"/>
                <w:szCs w:val="18"/>
              </w:rPr>
              <w:t xml:space="preserve">Whether creator content actually converts</w:t>
            </w:r>
          </w:p>
        </w:tc>
      </w:tr>
    </w:tbl>
    <w:p>
      <w:pPr>
        <w:spacing w:after="200" w:before="60"/>
      </w:pPr>
      <w:r>
        <w:rPr>
          <w:i/>
          <w:iCs/>
          <w:color w:val="5a6478"/>
          <w:sz w:val="17"/>
          <w:szCs w:val="17"/>
        </w:rPr>
        <w:t xml:space="preserve">Success bar per the Blueprint: Day-1 retention ≥25%; average session ≥5 min; ≥40% of testers return within 72 hrs unprompted; ≥7 of 10 testers report the experience felt 'safe/warm'.</w:t>
      </w:r>
    </w:p>
    <w:p>
      <w:r>
        <w:br w:type="page"/>
      </w:r>
    </w:p>
    <w:p>
      <w:pPr>
        <w:pStyle w:val="Heading1"/>
        <w:pBdr>
          <w:bottom w:val="single" w:color="3454d1" w:sz="6" w:space="4"/>
        </w:pBdr>
        <w:spacing w:after="160" w:before="280"/>
      </w:pPr>
      <w:r>
        <w:rPr>
          <w:b/>
          <w:bCs/>
          <w:color w:val="1a1f2e"/>
          <w:sz w:val="30"/>
          <w:szCs w:val="30"/>
        </w:rPr>
        <w:t xml:space="preserve">09 · Competitive Position &amp; Moat</w:t>
      </w:r>
    </w:p>
    <w:p>
      <w:pPr>
        <w:pStyle w:val="Heading2"/>
        <w:spacing w:after="120" w:before="220"/>
      </w:pPr>
      <w:r>
        <w:rPr>
          <w:b/>
          <w:bCs/>
          <w:color w:val="3454d1"/>
          <w:sz w:val="24"/>
          <w:szCs w:val="24"/>
        </w:rPr>
        <w:t xml:space="preserve">Honest Moat Assessment</w:t>
      </w:r>
    </w:p>
    <w:tbl>
      <w:tblPr>
        <w:tblW w:type="dxa" w:w="9350"/>
        <w:tblBorders>
          <w:top w:val="single" w:color="d7dced" w:sz="4"/>
          <w:left w:val="single" w:color="d7dced" w:sz="4"/>
          <w:bottom w:val="single" w:color="d7dced" w:sz="4"/>
          <w:right w:val="single" w:color="d7dced" w:sz="4"/>
          <w:insideH w:val="single" w:color="d7dced" w:sz="4"/>
          <w:insideV w:val="single" w:color="d7dced" w:sz="4"/>
        </w:tblBorders>
      </w:tblPr>
      <w:tblGrid>
        <w:gridCol w:w="2600"/>
        <w:gridCol w:w="1600"/>
        <w:gridCol w:w="5150"/>
      </w:tblGrid>
      <w:tr>
        <w:trPr>
          <w:tblHeader/>
        </w:trPr>
        <w:tc>
          <w:tcPr>
            <w:tcW w:type="dxa" w:w="2600"/>
            <w:shd w:fill="1a1f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Moat Type</w:t>
            </w:r>
          </w:p>
        </w:tc>
        <w:tc>
          <w:tcPr>
            <w:tcW w:type="dxa" w:w="1600"/>
            <w:shd w:fill="1a1f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Strength</w:t>
            </w:r>
          </w:p>
        </w:tc>
        <w:tc>
          <w:tcPr>
            <w:tcW w:type="dxa" w:w="5150"/>
            <w:shd w:fill="1a1f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f2e"/>
                <w:sz w:val="18"/>
                <w:szCs w:val="18"/>
              </w:rPr>
              <w:t xml:space="preserve">Technology / model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c0324a"/>
                <w:sz w:val="18"/>
                <w:szCs w:val="18"/>
              </w:rPr>
              <w:t xml:space="preserve">Weak</w:t>
            </w:r>
          </w:p>
        </w:tc>
        <w:tc>
          <w:tcPr>
            <w:tcW w:type="dxa" w:w="5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f2e"/>
                <w:sz w:val="18"/>
                <w:szCs w:val="18"/>
              </w:rPr>
              <w:t xml:space="preserve">LLM API wrapper — no proprietary model or fine-tune yet</w:t>
            </w:r>
          </w:p>
        </w:tc>
      </w:tr>
      <w:tr>
        <w:tc>
          <w:tcPr>
            <w:tcW w:type="dxa" w:w="260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f2e"/>
                <w:sz w:val="18"/>
                <w:szCs w:val="18"/>
              </w:rPr>
              <w:t xml:space="preserve">Data / memory</w:t>
            </w:r>
          </w:p>
        </w:tc>
        <w:tc>
          <w:tcPr>
            <w:tcW w:type="dxa" w:w="160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5a6478"/>
                <w:sz w:val="18"/>
                <w:szCs w:val="18"/>
              </w:rPr>
              <w:t xml:space="preserve">None yet</w:t>
            </w:r>
          </w:p>
        </w:tc>
        <w:tc>
          <w:tcPr>
            <w:tcW w:type="dxa" w:w="515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f2e"/>
                <w:sz w:val="18"/>
                <w:szCs w:val="18"/>
              </w:rPr>
              <w:t xml:space="preserve">Zero usage data; memory feature not yet built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f2e"/>
                <w:sz w:val="18"/>
                <w:szCs w:val="18"/>
              </w:rPr>
              <w:t xml:space="preserve">Language / culture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b8860b"/>
                <w:sz w:val="18"/>
                <w:szCs w:val="18"/>
              </w:rPr>
              <w:t xml:space="preserve">Moderate</w:t>
            </w:r>
          </w:p>
        </w:tc>
        <w:tc>
          <w:tcPr>
            <w:tcW w:type="dxa" w:w="5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f2e"/>
                <w:sz w:val="18"/>
                <w:szCs w:val="18"/>
              </w:rPr>
              <w:t xml:space="preserve">Hinglish + local context is a real but replicable edge</w:t>
            </w:r>
          </w:p>
        </w:tc>
      </w:tr>
      <w:tr>
        <w:tc>
          <w:tcPr>
            <w:tcW w:type="dxa" w:w="260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f2e"/>
                <w:sz w:val="18"/>
                <w:szCs w:val="18"/>
              </w:rPr>
              <w:t xml:space="preserve">Brand / trust</w:t>
            </w:r>
          </w:p>
        </w:tc>
        <w:tc>
          <w:tcPr>
            <w:tcW w:type="dxa" w:w="160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5a6478"/>
                <w:sz w:val="18"/>
                <w:szCs w:val="18"/>
              </w:rPr>
              <w:t xml:space="preserve">None yet</w:t>
            </w:r>
          </w:p>
        </w:tc>
        <w:tc>
          <w:tcPr>
            <w:tcW w:type="dxa" w:w="515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f2e"/>
                <w:sz w:val="18"/>
                <w:szCs w:val="18"/>
              </w:rPr>
              <w:t xml:space="preserve">Unvalidated; safety record not yet established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f2e"/>
                <w:sz w:val="18"/>
                <w:szCs w:val="18"/>
              </w:rPr>
              <w:t xml:space="preserve">Distribution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c0324a"/>
                <w:sz w:val="18"/>
                <w:szCs w:val="18"/>
              </w:rPr>
              <w:t xml:space="preserve">Weak</w:t>
            </w:r>
          </w:p>
        </w:tc>
        <w:tc>
          <w:tcPr>
            <w:tcW w:type="dxa" w:w="5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f2e"/>
                <w:sz w:val="18"/>
                <w:szCs w:val="18"/>
              </w:rPr>
              <w:t xml:space="preserve">Rented creator reach, not an owned audience</w:t>
            </w:r>
          </w:p>
        </w:tc>
      </w:tr>
      <w:tr>
        <w:tc>
          <w:tcPr>
            <w:tcW w:type="dxa" w:w="260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f2e"/>
                <w:sz w:val="18"/>
                <w:szCs w:val="18"/>
              </w:rPr>
              <w:t xml:space="preserve">Community / network effects</w:t>
            </w:r>
          </w:p>
        </w:tc>
        <w:tc>
          <w:tcPr>
            <w:tcW w:type="dxa" w:w="160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5a6478"/>
                <w:sz w:val="18"/>
                <w:szCs w:val="18"/>
              </w:rPr>
              <w:t xml:space="preserve">None</w:t>
            </w:r>
          </w:p>
        </w:tc>
        <w:tc>
          <w:tcPr>
            <w:tcW w:type="dxa" w:w="515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f2e"/>
                <w:sz w:val="18"/>
                <w:szCs w:val="18"/>
              </w:rPr>
              <w:t xml:space="preserve">Not designed into the MVP</w:t>
            </w:r>
          </w:p>
        </w:tc>
      </w:tr>
    </w:tbl>
    <w:p>
      <w:pPr>
        <w:pStyle w:val="Heading2"/>
        <w:spacing w:after="120" w:before="220"/>
      </w:pPr>
      <w:r>
        <w:rPr>
          <w:b/>
          <w:bCs/>
          <w:color w:val="3454d1"/>
          <w:sz w:val="24"/>
          <w:szCs w:val="24"/>
        </w:rPr>
        <w:t xml:space="preserve">Competitive Landscape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1a1f2e"/>
          <w:sz w:val="20"/>
          <w:szCs w:val="20"/>
        </w:rPr>
        <w:t xml:space="preserve">Replika — global incumbent, well-funded, English-first, established (if controversial) brand in companion AI.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1a1f2e"/>
          <w:sz w:val="20"/>
          <w:szCs w:val="20"/>
        </w:rPr>
        <w:t xml:space="preserve">Character.AI — large user base, custom personas, multilingual capability, free-to-use, strong existing distribution.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1a1f2e"/>
          <w:sz w:val="20"/>
          <w:szCs w:val="20"/>
        </w:rPr>
        <w:t xml:space="preserve">Local journaling/venting apps — lower-fidelity substitutes already in use by the target persona.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1a1f2e"/>
          <w:sz w:val="21"/>
          <w:szCs w:val="21"/>
        </w:rPr>
        <w:t xml:space="preserve">The realistic differentiation window is cultural fluency (Hinglish, Indian student context) and a narrower, safer scope — not technology. That window is closable: nothing stops a funded incumbent from shipping an Indian-context persona. The moat, if any, will have to come from trust, safety record, and community — none of which exist yet.</w:t>
      </w:r>
    </w:p>
    <w:p>
      <w:r>
        <w:br w:type="page"/>
      </w:r>
    </w:p>
    <w:p>
      <w:pPr>
        <w:pStyle w:val="Heading1"/>
        <w:pBdr>
          <w:bottom w:val="single" w:color="3454d1" w:sz="6" w:space="4"/>
        </w:pBdr>
        <w:spacing w:after="160" w:before="280"/>
      </w:pPr>
      <w:r>
        <w:rPr>
          <w:b/>
          <w:bCs/>
          <w:color w:val="1a1f2e"/>
          <w:sz w:val="30"/>
          <w:szCs w:val="30"/>
        </w:rPr>
        <w:t xml:space="preserve">10 · Reverse SWOT Analysis</w:t>
      </w:r>
    </w:p>
    <w:p>
      <w:pPr>
        <w:spacing w:after="120" w:line="276"/>
      </w:pPr>
      <w:r>
        <w:rPr>
          <w:b w:val="false"/>
          <w:bCs w:val="false"/>
          <w:i/>
          <w:iCs/>
          <w:color w:val="1a1f2e"/>
          <w:sz w:val="21"/>
          <w:szCs w:val="21"/>
        </w:rPr>
        <w:t xml:space="preserve">A reverse SWOT stress-tests the venture by starting from what could break it, not what could make it succeed.</w:t>
      </w:r>
    </w:p>
    <w:tbl>
      <w:tblPr>
        <w:tblW w:type="dxa" w:w="9350"/>
        <w:tblBorders>
          <w:top w:val="single" w:color="d7dced" w:sz="4"/>
          <w:left w:val="single" w:color="d7dced" w:sz="4"/>
          <w:bottom w:val="single" w:color="d7dced" w:sz="4"/>
          <w:right w:val="single" w:color="d7dced" w:sz="4"/>
          <w:insideH w:val="single" w:color="d7dced" w:sz="4"/>
          <w:insideV w:val="single" w:color="d7dced" w:sz="4"/>
        </w:tblBorders>
      </w:tblPr>
      <w:tblGrid>
        <w:gridCol w:w="1900"/>
        <w:gridCol w:w="2600"/>
        <w:gridCol w:w="4850"/>
      </w:tblGrid>
      <w:tr>
        <w:trPr>
          <w:tblHeader/>
        </w:trPr>
        <w:tc>
          <w:tcPr>
            <w:tcW w:type="dxa" w:w="1900"/>
            <w:shd w:fill="1a1f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Quadrant</w:t>
            </w:r>
          </w:p>
        </w:tc>
        <w:tc>
          <w:tcPr>
            <w:tcW w:type="dxa" w:w="2600"/>
            <w:shd w:fill="1a1f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Reframed Question</w:t>
            </w:r>
          </w:p>
        </w:tc>
        <w:tc>
          <w:tcPr>
            <w:tcW w:type="dxa" w:w="4850"/>
            <w:shd w:fill="1a1f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Answer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a1f2e"/>
                <w:sz w:val="18"/>
                <w:szCs w:val="18"/>
              </w:rPr>
              <w:t xml:space="preserve">Strengths → Risk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f2e"/>
                <w:sz w:val="18"/>
                <w:szCs w:val="18"/>
              </w:rPr>
              <w:t xml:space="preserve">Could this strength become a liability?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f2e"/>
                <w:sz w:val="18"/>
                <w:szCs w:val="18"/>
              </w:rPr>
              <w:t xml:space="preserve">Emotional intimacy is the core value — and the core mental-health/dependency risk. The same feature that drives retention drives regulatory and press exposure.</w:t>
            </w:r>
          </w:p>
        </w:tc>
      </w:tr>
      <w:tr>
        <w:tc>
          <w:tcPr>
            <w:tcW w:type="dxa" w:w="190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a1f2e"/>
                <w:sz w:val="18"/>
                <w:szCs w:val="18"/>
              </w:rPr>
              <w:t xml:space="preserve">Weaknesses → Exploit</w:t>
            </w:r>
          </w:p>
        </w:tc>
        <w:tc>
          <w:tcPr>
            <w:tcW w:type="dxa" w:w="260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f2e"/>
                <w:sz w:val="18"/>
                <w:szCs w:val="18"/>
              </w:rPr>
              <w:t xml:space="preserve">Could a competitor exploit this weakness fastest?</w:t>
            </w:r>
          </w:p>
        </w:tc>
        <w:tc>
          <w:tcPr>
            <w:tcW w:type="dxa" w:w="485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f2e"/>
                <w:sz w:val="18"/>
                <w:szCs w:val="18"/>
              </w:rPr>
              <w:t xml:space="preserve">Zero distribution moat means Character.AI or a funded local player could out-market this venture within weeks of seeing traction.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a1f2e"/>
                <w:sz w:val="18"/>
                <w:szCs w:val="18"/>
              </w:rPr>
              <w:t xml:space="preserve">Opportunities → Trap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f2e"/>
                <w:sz w:val="18"/>
                <w:szCs w:val="18"/>
              </w:rPr>
              <w:t xml:space="preserve">Could the 'opportunity' be a trap?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f2e"/>
                <w:sz w:val="18"/>
                <w:szCs w:val="18"/>
              </w:rPr>
              <w:t xml:space="preserve">The ~40% category CAGR could attract well-capitalized entrants faster than it grows the addressable market for a pre-seed, single-founder-style build.</w:t>
            </w:r>
          </w:p>
        </w:tc>
      </w:tr>
      <w:tr>
        <w:tc>
          <w:tcPr>
            <w:tcW w:type="dxa" w:w="190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a1f2e"/>
                <w:sz w:val="18"/>
                <w:szCs w:val="18"/>
              </w:rPr>
              <w:t xml:space="preserve">Threats → Opportunity</w:t>
            </w:r>
          </w:p>
        </w:tc>
        <w:tc>
          <w:tcPr>
            <w:tcW w:type="dxa" w:w="260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f2e"/>
                <w:sz w:val="18"/>
                <w:szCs w:val="18"/>
              </w:rPr>
              <w:t xml:space="preserve">Could a threat be reframed as an advantage?</w:t>
            </w:r>
          </w:p>
        </w:tc>
        <w:tc>
          <w:tcPr>
            <w:tcW w:type="dxa" w:w="485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f2e"/>
                <w:sz w:val="18"/>
                <w:szCs w:val="18"/>
              </w:rPr>
              <w:t xml:space="preserve">Stigma around therapy and generic English AI tools is a real gap — but only if safety and trust are demonstrably better, not just claimed.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454d1" w:sz="6" w:space="4"/>
        </w:pBdr>
        <w:spacing w:after="160" w:before="280"/>
      </w:pPr>
      <w:r>
        <w:rPr>
          <w:b/>
          <w:bCs/>
          <w:color w:val="1a1f2e"/>
          <w:sz w:val="30"/>
          <w:szCs w:val="30"/>
        </w:rPr>
        <w:t xml:space="preserve">11 · Investor One-Liner &amp; 30-Second Founder Pitch</w:t>
      </w:r>
    </w:p>
    <w:p>
      <w:pPr>
        <w:pStyle w:val="Heading2"/>
        <w:spacing w:after="120" w:before="220"/>
      </w:pPr>
      <w:r>
        <w:rPr>
          <w:b/>
          <w:bCs/>
          <w:color w:val="3454d1"/>
          <w:sz w:val="24"/>
          <w:szCs w:val="24"/>
        </w:rPr>
        <w:t xml:space="preserve">Investor One-Liner</w:t>
      </w:r>
    </w:p>
    <w:p>
      <w:pPr>
        <w:pBdr>
          <w:left w:val="single" w:color="3454d1" w:sz="24" w:space="8"/>
        </w:pBdr>
        <w:shd w:fill="f4f6fb" w:val="clear"/>
        <w:spacing w:after="200" w:before="100"/>
      </w:pPr>
      <w:r>
        <w:rPr>
          <w:i/>
          <w:iCs/>
          <w:color w:val="1a1f2e"/>
          <w:sz w:val="22"/>
          <w:szCs w:val="22"/>
        </w:rPr>
        <w:t xml:space="preserve">A culturally-native AI companion helping Indian students talk through loneliness at 1am — currently pre-validation, seeking a demand-signal sprint before a seed conversation.</w:t>
      </w:r>
    </w:p>
    <w:p>
      <w:pPr>
        <w:pStyle w:val="Heading2"/>
        <w:spacing w:after="120" w:before="220"/>
      </w:pPr>
      <w:r>
        <w:rPr>
          <w:b/>
          <w:bCs/>
          <w:color w:val="3454d1"/>
          <w:sz w:val="24"/>
          <w:szCs w:val="24"/>
        </w:rPr>
        <w:t xml:space="preserve">30-Second Founder Pitch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1a1f2e"/>
          <w:sz w:val="21"/>
          <w:szCs w:val="21"/>
        </w:rPr>
        <w:t xml:space="preserve">Indian students living away from home hit their loneliest moments late at night, with no judgment-free outlet — existing AI companions are English-first and culturally foreign. We're building a Hinglish-speaking AI companion designed specifically for that moment, starting with the simplest possible chat experience. We haven't built it yet — we're spending the next two weeks running structured interviews and a waitlist to prove real demand before writing a line of product code, and we'll only raise once we have retention data to back the story up.</w:t>
      </w:r>
    </w:p>
    <w:p>
      <w:pPr>
        <w:spacing w:after="120" w:line="276"/>
      </w:pPr>
      <w:r>
        <w:rPr>
          <w:b w:val="false"/>
          <w:bCs w:val="false"/>
          <w:i/>
          <w:iCs/>
          <w:color w:val="1a1f2e"/>
          <w:sz w:val="21"/>
          <w:szCs w:val="21"/>
        </w:rPr>
        <w:t xml:space="preserve">This framing is intentionally investor-honest: it leads with the validation gap rather than hiding it, which is more credible to an experienced early-stage investor than an inflated traction claim.</w:t>
      </w:r>
    </w:p>
    <w:p>
      <w:r>
        <w:br w:type="page"/>
      </w:r>
    </w:p>
    <w:p>
      <w:pPr>
        <w:pStyle w:val="Heading1"/>
        <w:pBdr>
          <w:bottom w:val="single" w:color="3454d1" w:sz="6" w:space="4"/>
        </w:pBdr>
        <w:spacing w:after="160" w:before="280"/>
      </w:pPr>
      <w:r>
        <w:rPr>
          <w:b/>
          <w:bCs/>
          <w:color w:val="1a1f2e"/>
          <w:sz w:val="30"/>
          <w:szCs w:val="30"/>
        </w:rPr>
        <w:t xml:space="preserve">12 · Investment Scorecard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1a1f2e"/>
          <w:sz w:val="21"/>
          <w:szCs w:val="21"/>
        </w:rPr>
        <w:t xml:space="preserve">Scored 0–100. These scores reflect current, pre-validation reality — not the venture's ceiling if the Week 1–2 validation plan succeeds.</w:t>
      </w:r>
    </w:p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400"/>
        <w:gridCol w:w="3200"/>
        <w:gridCol w:w="700"/>
        <w:gridCol w:w="3250"/>
      </w:tblGrid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a1f2e"/>
                <w:sz w:val="19"/>
                <w:szCs w:val="19"/>
              </w:rPr>
              <w:t xml:space="preserve">Business Viability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tbl>
            <w:tblPr>
              <w:tblW w:type="dxa" w:w="3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80"/>
              <w:gridCol w:w="1920"/>
            </w:tblGrid>
            <w:tr>
              <w:tc>
                <w:tcPr>
                  <w:tcW w:type="dxa" w:w="1280"/>
                  <w:shd w:fill="3454d1" w:val="clear"/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1920"/>
                  <w:shd w:fill="e4e8f2" w:val="clear"/>
                </w:tcPr>
                <w:p>
                  <w:r>
                    <w:t xml:space="preserve"/>
                  </w:r>
                </w:p>
              </w:tc>
            </w:tr>
          </w:tbl>
          <w:p/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454d1"/>
                <w:sz w:val="19"/>
                <w:szCs w:val="19"/>
              </w:rPr>
              <w:t xml:space="preserve">40</w:t>
            </w:r>
          </w:p>
        </w:tc>
        <w:tc>
          <w:tcPr>
            <w:tcW w:type="dxa" w:w="3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5a6478"/>
                <w:sz w:val="15"/>
                <w:szCs w:val="15"/>
              </w:rPr>
              <w:t xml:space="preserve">Real problem, large market — but no proven revenue hook</w:t>
            </w:r>
          </w:p>
        </w:tc>
      </w:tr>
    </w:tbl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400"/>
        <w:gridCol w:w="3200"/>
        <w:gridCol w:w="700"/>
        <w:gridCol w:w="3250"/>
      </w:tblGrid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a1f2e"/>
                <w:sz w:val="19"/>
                <w:szCs w:val="19"/>
              </w:rPr>
              <w:t xml:space="preserve">Revenue Potential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tbl>
            <w:tblPr>
              <w:tblW w:type="dxa" w:w="3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20"/>
              <w:gridCol w:w="2080"/>
            </w:tblGrid>
            <w:tr>
              <w:tc>
                <w:tcPr>
                  <w:tcW w:type="dxa" w:w="1120"/>
                  <w:shd w:fill="3454d1" w:val="clear"/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2080"/>
                  <w:shd w:fill="e4e8f2" w:val="clear"/>
                </w:tcPr>
                <w:p>
                  <w:r>
                    <w:t xml:space="preserve"/>
                  </w:r>
                </w:p>
              </w:tc>
            </w:tr>
          </w:tbl>
          <w:p/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454d1"/>
                <w:sz w:val="19"/>
                <w:szCs w:val="19"/>
              </w:rPr>
              <w:t xml:space="preserve">35</w:t>
            </w:r>
          </w:p>
        </w:tc>
        <w:tc>
          <w:tcPr>
            <w:tcW w:type="dxa" w:w="3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5a6478"/>
                <w:sz w:val="15"/>
                <w:szCs w:val="15"/>
              </w:rPr>
              <w:t xml:space="preserve">Freemium hook undercut by a fully-capable free tier</w:t>
            </w:r>
          </w:p>
        </w:tc>
      </w:tr>
    </w:tbl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400"/>
        <w:gridCol w:w="3200"/>
        <w:gridCol w:w="700"/>
        <w:gridCol w:w="3250"/>
      </w:tblGrid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a1f2e"/>
                <w:sz w:val="19"/>
                <w:szCs w:val="19"/>
              </w:rPr>
              <w:t xml:space="preserve">GTM Strength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tbl>
            <w:tblPr>
              <w:tblW w:type="dxa" w:w="3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60"/>
              <w:gridCol w:w="2240"/>
            </w:tblGrid>
            <w:tr>
              <w:tc>
                <w:tcPr>
                  <w:tcW w:type="dxa" w:w="960"/>
                  <w:shd w:fill="3454d1" w:val="clear"/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2240"/>
                  <w:shd w:fill="e4e8f2" w:val="clear"/>
                </w:tcPr>
                <w:p>
                  <w:r>
                    <w:t xml:space="preserve"/>
                  </w:r>
                </w:p>
              </w:tc>
            </w:tr>
          </w:tbl>
          <w:p/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454d1"/>
                <w:sz w:val="19"/>
                <w:szCs w:val="19"/>
              </w:rPr>
              <w:t xml:space="preserve">30</w:t>
            </w:r>
          </w:p>
        </w:tc>
        <w:tc>
          <w:tcPr>
            <w:tcW w:type="dxa" w:w="3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5a6478"/>
                <w:sz w:val="15"/>
                <w:szCs w:val="15"/>
              </w:rPr>
              <w:t xml:space="preserve">Entirely organic, unowned, untested channel</w:t>
            </w:r>
          </w:p>
        </w:tc>
      </w:tr>
    </w:tbl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400"/>
        <w:gridCol w:w="3200"/>
        <w:gridCol w:w="700"/>
        <w:gridCol w:w="3250"/>
      </w:tblGrid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a1f2e"/>
                <w:sz w:val="19"/>
                <w:szCs w:val="19"/>
              </w:rPr>
              <w:t xml:space="preserve">Competitive Strength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tbl>
            <w:tblPr>
              <w:tblW w:type="dxa" w:w="3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00"/>
              <w:gridCol w:w="2400"/>
            </w:tblGrid>
            <w:tr>
              <w:tc>
                <w:tcPr>
                  <w:tcW w:type="dxa" w:w="800"/>
                  <w:shd w:fill="3454d1" w:val="clear"/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2400"/>
                  <w:shd w:fill="e4e8f2" w:val="clear"/>
                </w:tcPr>
                <w:p>
                  <w:r>
                    <w:t xml:space="preserve"/>
                  </w:r>
                </w:p>
              </w:tc>
            </w:tr>
          </w:tbl>
          <w:p/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454d1"/>
                <w:sz w:val="19"/>
                <w:szCs w:val="19"/>
              </w:rPr>
              <w:t xml:space="preserve">25</w:t>
            </w:r>
          </w:p>
        </w:tc>
        <w:tc>
          <w:tcPr>
            <w:tcW w:type="dxa" w:w="3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5a6478"/>
                <w:sz w:val="15"/>
                <w:szCs w:val="15"/>
              </w:rPr>
              <w:t xml:space="preserve">No technical or distribution moat vs. funded incumbents</w:t>
            </w:r>
          </w:p>
        </w:tc>
      </w:tr>
    </w:tbl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400"/>
        <w:gridCol w:w="3200"/>
        <w:gridCol w:w="700"/>
        <w:gridCol w:w="3250"/>
      </w:tblGrid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a1f2e"/>
                <w:sz w:val="19"/>
                <w:szCs w:val="19"/>
              </w:rPr>
              <w:t xml:space="preserve">Investor Readiness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tbl>
            <w:tblPr>
              <w:tblW w:type="dxa" w:w="3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2560"/>
            </w:tblGrid>
            <w:tr>
              <w:tc>
                <w:tcPr>
                  <w:tcW w:type="dxa" w:w="640"/>
                  <w:shd w:fill="3454d1" w:val="clear"/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2560"/>
                  <w:shd w:fill="e4e8f2" w:val="clear"/>
                </w:tcPr>
                <w:p>
                  <w:r>
                    <w:t xml:space="preserve"/>
                  </w:r>
                </w:p>
              </w:tc>
            </w:tr>
          </w:tbl>
          <w:p/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454d1"/>
                <w:sz w:val="19"/>
                <w:szCs w:val="19"/>
              </w:rPr>
              <w:t xml:space="preserve">20</w:t>
            </w:r>
          </w:p>
        </w:tc>
        <w:tc>
          <w:tcPr>
            <w:tcW w:type="dxa" w:w="3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5a6478"/>
                <w:sz w:val="15"/>
                <w:szCs w:val="15"/>
              </w:rPr>
              <w:t xml:space="preserve">Zero demand data, no safety/legal framework yet</w:t>
            </w:r>
          </w:p>
        </w:tc>
      </w:tr>
    </w:tbl>
    <w:p>
      <w:pPr>
        <w:spacing w:after="120" w:line="276"/>
      </w:pPr>
      <w:r>
        <w:rPr>
          <w:b w:val="false"/>
          <w:bCs w:val="false"/>
          <w:i w:val="false"/>
          <w:iCs w:val="false"/>
          <w:color w:val="1a1f2e"/>
          <w:sz w:val="21"/>
          <w:szCs w:val="21"/>
        </w:rPr>
        <w:t xml:space="preserve"/>
      </w:r>
    </w:p>
    <w:p>
      <w:pPr>
        <w:pStyle w:val="Heading2"/>
        <w:spacing w:after="120" w:before="220"/>
      </w:pPr>
      <w:r>
        <w:rPr>
          <w:b/>
          <w:bCs/>
          <w:color w:val="3454d1"/>
          <w:sz w:val="24"/>
          <w:szCs w:val="24"/>
        </w:rPr>
        <w:t xml:space="preserve">Reasoning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1a1f2e"/>
          <w:sz w:val="20"/>
          <w:szCs w:val="20"/>
        </w:rPr>
        <w:t xml:space="preserve">Business Viability (40): The problem is well-documented and the market is genuinely large, but the business model has not been stress-tested — this is a viability ceiling, not a floor.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1a1f2e"/>
          <w:sz w:val="20"/>
          <w:szCs w:val="20"/>
        </w:rPr>
        <w:t xml:space="preserve">Revenue Potential (35): Freemium works when the free tier creates the itch the paid tier scratches; here the free tier may fully satisfy the emotional need, which is the single biggest threat to monetization.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1a1f2e"/>
          <w:sz w:val="20"/>
          <w:szCs w:val="20"/>
        </w:rPr>
        <w:t xml:space="preserve">GTM Strength (30): Creator-led organic is a reasonable zero-budget starting channel, but it is not a strategy on its own — there is no plan yet for what happens after the first 2–3 creator posts.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1a1f2e"/>
          <w:sz w:val="20"/>
          <w:szCs w:val="20"/>
        </w:rPr>
        <w:t xml:space="preserve">Competitive Strength (25): Cultural/language fit is a real but thin edge against Character.AI and Replika, both of which have far greater resources to close that gap quickly.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1a1f2e"/>
          <w:sz w:val="20"/>
          <w:szCs w:val="20"/>
        </w:rPr>
        <w:t xml:space="preserve">Investor Readiness (20): No interviews, no waitlist, no safety policy, and no team/traction detail provided — this is pre-seed-of-pre-seed, appropriately scored low.</w:t>
      </w:r>
    </w:p>
    <w:p>
      <w:r>
        <w:br w:type="page"/>
      </w:r>
    </w:p>
    <w:p>
      <w:pPr>
        <w:pStyle w:val="Heading1"/>
        <w:pBdr>
          <w:bottom w:val="single" w:color="3454d1" w:sz="6" w:space="4"/>
        </w:pBdr>
        <w:spacing w:after="160" w:before="280"/>
      </w:pPr>
      <w:r>
        <w:rPr>
          <w:b/>
          <w:bCs/>
          <w:color w:val="1a1f2e"/>
          <w:sz w:val="30"/>
          <w:szCs w:val="30"/>
        </w:rPr>
        <w:t xml:space="preserve">13 · Visual Dashboard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1a1f2e"/>
          <w:sz w:val="21"/>
          <w:szCs w:val="21"/>
        </w:rPr>
        <w:t xml:space="preserve">A single-page infographic view of the business model, revenue streams, GTM flow, first-100-users plan, competitive moat, key risks, scorecard, and final verdict. An interactive HTML version accompanies this report.</w:t>
      </w:r>
    </w:p>
    <w:p>
      <w:pPr>
        <w:jc w:val="center"/>
      </w:pPr>
      <w:r>
        <w:drawing>
          <wp:inline distT="0" distB="0" distL="0" distR="0">
            <wp:extent cx="5429250" cy="4295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429250" cy="4124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pBdr>
          <w:bottom w:val="single" w:color="3454d1" w:sz="6" w:space="4"/>
        </w:pBdr>
        <w:spacing w:after="160" w:before="280"/>
      </w:pPr>
      <w:r>
        <w:rPr>
          <w:b/>
          <w:bCs/>
          <w:color w:val="1a1f2e"/>
          <w:sz w:val="30"/>
          <w:szCs w:val="30"/>
        </w:rPr>
        <w:t xml:space="preserve">14 · Founder Action Sheet — Top 10 Actions</w:t>
      </w:r>
    </w:p>
    <w:p>
      <w:pPr>
        <w:pStyle w:val="ListParagraph"/>
        <w:numPr>
          <w:ilvl w:val="0"/>
          <w:numId w:val="4"/>
        </w:numPr>
        <w:spacing w:after="130"/>
      </w:pPr>
      <w:r>
        <w:rPr>
          <w:color w:val="1a1f2e"/>
          <w:sz w:val="21"/>
          <w:szCs w:val="21"/>
        </w:rPr>
        <w:t xml:space="preserve">Run 15–20 structured customer interviews this week; capture verbatim quotes on language, triggers, and objections.</w:t>
      </w:r>
    </w:p>
    <w:p>
      <w:pPr>
        <w:pStyle w:val="ListParagraph"/>
        <w:numPr>
          <w:ilvl w:val="0"/>
          <w:numId w:val="4"/>
        </w:numPr>
        <w:spacing w:after="130"/>
      </w:pPr>
      <w:r>
        <w:rPr>
          <w:color w:val="1a1f2e"/>
          <w:sz w:val="21"/>
          <w:szCs w:val="21"/>
        </w:rPr>
        <w:t xml:space="preserve">Launch a landing page with a waitlist to generate a real, quantified intent signal — not just conversation.</w:t>
      </w:r>
    </w:p>
    <w:p>
      <w:pPr>
        <w:pStyle w:val="ListParagraph"/>
        <w:numPr>
          <w:ilvl w:val="0"/>
          <w:numId w:val="4"/>
        </w:numPr>
        <w:spacing w:after="130"/>
      </w:pPr>
      <w:r>
        <w:rPr>
          <w:color w:val="1a1f2e"/>
          <w:sz w:val="21"/>
          <w:szCs w:val="21"/>
        </w:rPr>
        <w:t xml:space="preserve">Draft an age-gating &amp; data-privacy policy and get a legal consult before any public-facing content goes live.</w:t>
      </w:r>
    </w:p>
    <w:p>
      <w:pPr>
        <w:pStyle w:val="ListParagraph"/>
        <w:numPr>
          <w:ilvl w:val="0"/>
          <w:numId w:val="4"/>
        </w:numPr>
        <w:spacing w:after="130"/>
      </w:pPr>
      <w:r>
        <w:rPr>
          <w:color w:val="1a1f2e"/>
          <w:sz w:val="21"/>
          <w:szCs w:val="21"/>
        </w:rPr>
        <w:t xml:space="preserve">Script and manually test the first-conversation experience with 5 people — no code required.</w:t>
      </w:r>
    </w:p>
    <w:p>
      <w:pPr>
        <w:pStyle w:val="ListParagraph"/>
        <w:numPr>
          <w:ilvl w:val="0"/>
          <w:numId w:val="4"/>
        </w:numPr>
        <w:spacing w:after="130"/>
      </w:pPr>
      <w:r>
        <w:rPr>
          <w:color w:val="1a1f2e"/>
          <w:sz w:val="21"/>
          <w:szCs w:val="21"/>
        </w:rPr>
        <w:t xml:space="preserve">Identify and lock in an LLM API partner rather than building a model in-house.</w:t>
      </w:r>
    </w:p>
    <w:p>
      <w:pPr>
        <w:pStyle w:val="ListParagraph"/>
        <w:numPr>
          <w:ilvl w:val="0"/>
          <w:numId w:val="4"/>
        </w:numPr>
        <w:spacing w:after="130"/>
      </w:pPr>
      <w:r>
        <w:rPr>
          <w:color w:val="1a1f2e"/>
          <w:sz w:val="21"/>
          <w:szCs w:val="21"/>
        </w:rPr>
        <w:t xml:space="preserve">Map and approach 2–3 student-community creators for an initial test cohort before scaling to 5–10.</w:t>
      </w:r>
    </w:p>
    <w:p>
      <w:pPr>
        <w:pStyle w:val="ListParagraph"/>
        <w:numPr>
          <w:ilvl w:val="0"/>
          <w:numId w:val="4"/>
        </w:numPr>
        <w:spacing w:after="130"/>
      </w:pPr>
      <w:r>
        <w:rPr>
          <w:color w:val="1a1f2e"/>
          <w:sz w:val="21"/>
          <w:szCs w:val="21"/>
        </w:rPr>
        <w:t xml:space="preserve">Define the crisis-detection / redirect-to-help flow before any chat goes live — this is a safety prerequisite, not a feature.</w:t>
      </w:r>
    </w:p>
    <w:p>
      <w:pPr>
        <w:pStyle w:val="ListParagraph"/>
        <w:numPr>
          <w:ilvl w:val="0"/>
          <w:numId w:val="4"/>
        </w:numPr>
        <w:spacing w:after="130"/>
      </w:pPr>
      <w:r>
        <w:rPr>
          <w:color w:val="1a1f2e"/>
          <w:sz w:val="21"/>
          <w:szCs w:val="21"/>
        </w:rPr>
        <w:t xml:space="preserve">Set the MVP success metrics (Section 08) and instrument tracking from day one, not after building.</w:t>
      </w:r>
    </w:p>
    <w:p>
      <w:pPr>
        <w:pStyle w:val="ListParagraph"/>
        <w:numPr>
          <w:ilvl w:val="0"/>
          <w:numId w:val="4"/>
        </w:numPr>
        <w:spacing w:after="130"/>
      </w:pPr>
      <w:r>
        <w:rPr>
          <w:color w:val="1a1f2e"/>
          <w:sz w:val="21"/>
          <w:szCs w:val="21"/>
        </w:rPr>
        <w:t xml:space="preserve">Hold the line on scope: no voice, avatars, or payments until the core loop proves retention.</w:t>
      </w:r>
    </w:p>
    <w:p>
      <w:pPr>
        <w:pStyle w:val="ListParagraph"/>
        <w:numPr>
          <w:ilvl w:val="0"/>
          <w:numId w:val="4"/>
        </w:numPr>
        <w:spacing w:after="130"/>
      </w:pPr>
      <w:r>
        <w:rPr>
          <w:color w:val="1a1f2e"/>
          <w:sz w:val="21"/>
          <w:szCs w:val="21"/>
        </w:rPr>
        <w:t xml:space="preserve">Revisit Go/No-Go at the end of Week 4 using waitlist + tester data — not founder intuition.</w:t>
      </w:r>
    </w:p>
    <w:p>
      <w:r>
        <w:br w:type="page"/>
      </w:r>
    </w:p>
    <w:p>
      <w:pPr>
        <w:pStyle w:val="Heading1"/>
        <w:pBdr>
          <w:bottom w:val="single" w:color="3454d1" w:sz="6" w:space="4"/>
        </w:pBdr>
        <w:spacing w:after="160" w:before="280"/>
      </w:pPr>
      <w:r>
        <w:rPr>
          <w:b/>
          <w:bCs/>
          <w:color w:val="1a1f2e"/>
          <w:sz w:val="30"/>
          <w:szCs w:val="30"/>
        </w:rPr>
        <w:t xml:space="preserve">15 · Sustainability Verdict</w:t>
      </w:r>
    </w:p>
    <w:p>
      <w:pPr>
        <w:pBdr>
          <w:left w:val="single" w:color="b8860b" w:sz="24" w:space="8"/>
        </w:pBdr>
        <w:shd w:fill="fdf3d9" w:val="clear"/>
        <w:spacing w:after="200" w:before="200"/>
      </w:pPr>
      <w:r>
        <w:rPr>
          <w:b/>
          <w:bCs/>
          <w:color w:val="8a6300"/>
          <w:sz w:val="30"/>
          <w:szCs w:val="30"/>
        </w:rPr>
        <w:t xml:space="preserve">🟡  VALIDATE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1a1f2e"/>
          <w:sz w:val="21"/>
          <w:szCs w:val="21"/>
        </w:rPr>
        <w:t xml:space="preserve">This is a promising-but-unvalidated business, not yet a sustainable one: the problem is real and the market is large, but there is no quantified demand signal, no proven willingness-to-pay, and no safety framework for a product carrying real emotional-dependency and minor-safety risk. It can become sustainable only if the free tier is deliberately shaped to leave room for a paid hook, if 2–3 creator tests prove distribution beyond hope, and if the Week 1–2 validation sprint — interviews and a waitlist — produces real numbers before any further product investment is made.</w:t>
      </w:r>
    </w:p>
    <w:sectPr>
      <w:headerReference w:type="default" r:id="rId9"/>
      <w:footerReference w:type="default" r:id="rId10"/>
      <w:pgSz w:w="12240" w:h="15840" w:orient="portrait"/>
      <w:pgMar w:top="1440" w:right="1350" w:bottom="144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47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47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a6478"/>
        <w:sz w:val="15"/>
        <w:szCs w:val="15"/>
      </w:rPr>
      <w:t xml:space="preserve">AI Emotional Companion App — Strategy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a6478"/>
        <w:sz w:val="15"/>
        <w:szCs w:val="15"/>
      </w:rPr>
      <w:t xml:space="preserve">AI Emotional Companion App — Strategy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22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015b8d93155cf8b51c3131c950fdbc9568cf0d75.png"/><Relationship Id="rId12" Type="http://schemas.openxmlformats.org/officeDocument/2006/relationships/image" Target="media/cfa6da3724f54a893a3021c8d3bbd5a1439f91c1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2026-08-24T04:26:36.302Z</dcterms:created>
  <dcterms:modified xsi:type="dcterms:W3CDTF">2026-08-24T04:26:36.303Z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