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646464"/>
          <w:sz w:val="21"/>
        </w:rPr>
        <w:t>LendFast Digital Finance Pvt. Ltd.</w:t>
      </w:r>
    </w:p>
    <w:p/>
    <w:p>
      <w:pPr>
        <w:jc w:val="center"/>
      </w:pPr>
      <w:r>
        <w:rPr>
          <w:rFonts w:ascii="Arial" w:hAnsi="Arial"/>
          <w:b/>
          <w:i w:val="0"/>
          <w:color w:val="1E3A8A"/>
          <w:sz w:val="38"/>
        </w:rPr>
        <w:t>CREDIT POLICY RECOMMENDATION REPORT</w:t>
      </w:r>
    </w:p>
    <w:p>
      <w:pPr>
        <w:jc w:val="center"/>
      </w:pPr>
      <w:r>
        <w:rPr>
          <w:rFonts w:ascii="Arial" w:hAnsi="Arial"/>
          <w:b w:val="0"/>
          <w:i/>
          <w:color w:val="475569"/>
          <w:sz w:val="24"/>
        </w:rPr>
        <w:t>Portfolio Risk Assessment, Early Warning Intelligence &amp; Strategic Growth Advisory</w:t>
      </w:r>
    </w:p>
    <w:p/>
    <w:tbl>
      <w:tblPr>
        <w:tblW w:type="auto" w:w="0"/>
        <w:jc w:val="center"/>
        <w:tblLook w:firstColumn="1" w:firstRow="1" w:lastColumn="0" w:lastRow="0" w:noHBand="0" w:noVBand="1" w:val="04A0"/>
      </w:tblPr>
      <w:tblGrid>
        <w:gridCol w:w="4680"/>
        <w:gridCol w:w="4680"/>
      </w:tblGrid>
      <w:tr>
        <w:tc>
          <w:tcPr>
            <w:tcW w:type="dxa" w:w="4680"/>
          </w:tcPr>
          <w:p>
            <w:r>
              <w:rPr>
                <w:rFonts w:ascii="Arial" w:hAnsi="Arial"/>
                <w:b/>
                <w:i w:val="0"/>
                <w:color w:val="1E3A8A"/>
                <w:sz w:val="21"/>
              </w:rPr>
              <w:t>To</w:t>
            </w:r>
          </w:p>
        </w:tc>
        <w:tc>
          <w:tcPr>
            <w:tcW w:type="dxa" w:w="4680"/>
          </w:tcPr>
          <w:p>
            <w:r>
              <w:rPr>
                <w:rFonts w:ascii="Arial" w:hAnsi="Arial"/>
                <w:b w:val="0"/>
                <w:i w:val="0"/>
                <w:sz w:val="21"/>
              </w:rPr>
              <w:t>Chief Risk Officer, LendFast Digital Finance Pvt. Ltd.</w:t>
            </w:r>
          </w:p>
        </w:tc>
      </w:tr>
      <w:tr>
        <w:tc>
          <w:tcPr>
            <w:tcW w:type="dxa" w:w="4680"/>
          </w:tcPr>
          <w:p>
            <w:r>
              <w:rPr>
                <w:rFonts w:ascii="Arial" w:hAnsi="Arial"/>
                <w:b/>
                <w:i w:val="0"/>
                <w:color w:val="1E3A8A"/>
                <w:sz w:val="21"/>
              </w:rPr>
              <w:t>From</w:t>
            </w:r>
          </w:p>
        </w:tc>
        <w:tc>
          <w:tcPr>
            <w:tcW w:type="dxa" w:w="4680"/>
          </w:tcPr>
          <w:p>
            <w:r>
              <w:rPr>
                <w:rFonts w:ascii="Arial" w:hAnsi="Arial"/>
                <w:b w:val="0"/>
                <w:i w:val="0"/>
                <w:sz w:val="21"/>
              </w:rPr>
              <w:t>Strategy &amp; Analytics Team</w:t>
            </w:r>
          </w:p>
        </w:tc>
      </w:tr>
      <w:tr>
        <w:tc>
          <w:tcPr>
            <w:tcW w:type="dxa" w:w="4680"/>
          </w:tcPr>
          <w:p>
            <w:r>
              <w:rPr>
                <w:rFonts w:ascii="Arial" w:hAnsi="Arial"/>
                <w:b/>
                <w:i w:val="0"/>
                <w:color w:val="1E3A8A"/>
                <w:sz w:val="21"/>
              </w:rPr>
              <w:t>Date</w:t>
            </w:r>
          </w:p>
        </w:tc>
        <w:tc>
          <w:tcPr>
            <w:tcW w:type="dxa" w:w="4680"/>
          </w:tcPr>
          <w:p>
            <w:r>
              <w:rPr>
                <w:rFonts w:ascii="Arial" w:hAnsi="Arial"/>
                <w:b w:val="0"/>
                <w:i w:val="0"/>
                <w:sz w:val="21"/>
              </w:rPr>
              <w:t>May 2026</w:t>
            </w:r>
          </w:p>
        </w:tc>
      </w:tr>
      <w:tr>
        <w:tc>
          <w:tcPr>
            <w:tcW w:type="dxa" w:w="4680"/>
          </w:tcPr>
          <w:p>
            <w:r>
              <w:rPr>
                <w:rFonts w:ascii="Arial" w:hAnsi="Arial"/>
                <w:b/>
                <w:i w:val="0"/>
                <w:color w:val="1E3A8A"/>
                <w:sz w:val="21"/>
              </w:rPr>
              <w:t>Subject</w:t>
            </w:r>
          </w:p>
        </w:tc>
        <w:tc>
          <w:tcPr>
            <w:tcW w:type="dxa" w:w="4680"/>
          </w:tcPr>
          <w:p>
            <w:r>
              <w:rPr>
                <w:rFonts w:ascii="Arial" w:hAnsi="Arial"/>
                <w:b w:val="0"/>
                <w:i w:val="0"/>
                <w:sz w:val="21"/>
              </w:rPr>
              <w:t>Risk Segmentation, Early Warning Signals &amp; Portfolio Optimization Strategy</w:t>
            </w:r>
          </w:p>
        </w:tc>
      </w:tr>
    </w:tbl>
    <w:p/>
    <w:p>
      <w:pPr>
        <w:pBdr>
          <w:bottom w:val="single" w:sz="12" w:space="1" w:color="1E3A8A"/>
        </w:pBdr>
      </w:pPr>
    </w:p>
    <w:p/>
    <w:p>
      <w:pPr>
        <w:spacing w:before="280" w:after="80"/>
        <w:pBdr>
          <w:bottom w:val="single" w:sz="6" w:space="1" w:color="1E3A8A"/>
        </w:pBdr>
      </w:pPr>
      <w:r>
        <w:rPr>
          <w:rFonts w:ascii="Arial" w:hAnsi="Arial"/>
          <w:b/>
          <w:i w:val="0"/>
          <w:color w:val="1E3A8A"/>
          <w:sz w:val="26"/>
        </w:rPr>
        <w:t>1. Executive Summary</w:t>
      </w:r>
    </w:p>
    <w:p>
      <w:pPr>
        <w:spacing w:after="100" w:before="0"/>
      </w:pPr>
      <w:r>
        <w:rPr>
          <w:rFonts w:ascii="Arial" w:hAnsi="Arial"/>
          <w:b w:val="0"/>
          <w:i w:val="0"/>
          <w:sz w:val="21"/>
        </w:rPr>
        <w:t>This report presents findings from a comprehensive data-driven analysis of LendFast's 3,000-customer loan portfolio across January 2022 to December 2024. The analysis examined customer risk profiles, acquisition channel quality, product performance, repayment behavior, and behavioral signals to surface actionable insights for credit policy reform.</w:t>
      </w:r>
    </w:p>
    <w:p>
      <w:pPr>
        <w:spacing w:before="120" w:after="120"/>
        <w:ind w:left="360" w:right="360"/>
        <w:shd w:fill="FEF3C7" w:val="clear"/>
      </w:pPr>
      <w:r>
        <w:rPr>
          <w:rFonts w:ascii="Arial" w:hAnsi="Arial"/>
          <w:b w:val="0"/>
          <w:i/>
          <w:color w:val="78350F"/>
          <w:sz w:val="21"/>
        </w:rPr>
        <w:t>BOTTOM LINE UP FRONT: The portfolio carries a 15.4% overall default rate and NPA ratio of 14.23% — both above benchmarks for a prime-focused digital lender (target: &lt;10% default, &lt;8% NPA). Three structural issues drive this: over-reliance on high-risk acquisition channels, inadequate risk-based pricing differentiation, and absence of a formal early warning system. Base-case expectation under the three recommended interventions: default rate reduction toward 11–12%, with upside potential under strong execution discipline.</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fill="1E3A8A" w:val="clear"/>
          </w:tcPr>
          <w:p>
            <w:pPr>
              <w:jc w:val="center"/>
            </w:pPr>
            <w:r>
              <w:rPr>
                <w:rFonts w:ascii="Arial" w:hAnsi="Arial"/>
                <w:b/>
                <w:i w:val="0"/>
                <w:color w:val="FFFFFF"/>
                <w:sz w:val="19"/>
              </w:rPr>
              <w:t>Metric</w:t>
            </w:r>
          </w:p>
        </w:tc>
        <w:tc>
          <w:tcPr>
            <w:tcW w:type="dxa" w:w="2880"/>
            <w:shd w:fill="1E3A8A" w:val="clear"/>
          </w:tcPr>
          <w:p>
            <w:pPr>
              <w:jc w:val="center"/>
            </w:pPr>
            <w:r>
              <w:rPr>
                <w:rFonts w:ascii="Arial" w:hAnsi="Arial"/>
                <w:b/>
                <w:i w:val="0"/>
                <w:color w:val="FFFFFF"/>
                <w:sz w:val="19"/>
              </w:rPr>
              <w:t>Current Value</w:t>
            </w:r>
          </w:p>
        </w:tc>
        <w:tc>
          <w:tcPr>
            <w:tcW w:type="dxa" w:w="2880"/>
            <w:shd w:fill="1E3A8A" w:val="clear"/>
          </w:tcPr>
          <w:p>
            <w:pPr>
              <w:jc w:val="center"/>
            </w:pPr>
            <w:r>
              <w:rPr>
                <w:rFonts w:ascii="Arial" w:hAnsi="Arial"/>
                <w:b/>
                <w:i w:val="0"/>
                <w:color w:val="FFFFFF"/>
                <w:sz w:val="19"/>
              </w:rPr>
              <w:t>Benchmark / Status</w:t>
            </w:r>
          </w:p>
        </w:tc>
      </w:tr>
      <w:tr>
        <w:tc>
          <w:tcPr>
            <w:tcW w:type="dxa" w:w="3744"/>
            <w:shd w:fill="EFF6FF" w:val="clear"/>
          </w:tcPr>
          <w:p>
            <w:pPr>
              <w:jc w:val="center"/>
            </w:pPr>
            <w:r>
              <w:rPr>
                <w:rFonts w:ascii="Arial" w:hAnsi="Arial"/>
                <w:b w:val="0"/>
                <w:i w:val="0"/>
                <w:sz w:val="19"/>
              </w:rPr>
              <w:t>Total Portfolio Book</w:t>
            </w:r>
          </w:p>
        </w:tc>
        <w:tc>
          <w:tcPr>
            <w:tcW w:type="dxa" w:w="2880"/>
            <w:shd w:fill="EFF6FF" w:val="clear"/>
          </w:tcPr>
          <w:p>
            <w:pPr>
              <w:jc w:val="center"/>
            </w:pPr>
            <w:r>
              <w:rPr>
                <w:rFonts w:ascii="Arial" w:hAnsi="Arial"/>
                <w:b w:val="0"/>
                <w:i w:val="0"/>
                <w:sz w:val="19"/>
              </w:rPr>
              <w:t>₹126.93 Crore</w:t>
            </w:r>
          </w:p>
        </w:tc>
        <w:tc>
          <w:tcPr>
            <w:tcW w:type="dxa" w:w="2880"/>
            <w:shd w:fill="EFF6FF" w:val="clear"/>
          </w:tcPr>
          <w:p>
            <w:pPr>
              <w:jc w:val="center"/>
            </w:pPr>
            <w:r>
              <w:rPr>
                <w:rFonts w:ascii="Arial" w:hAnsi="Arial"/>
                <w:b w:val="0"/>
                <w:i w:val="0"/>
                <w:sz w:val="19"/>
              </w:rPr>
              <w:t>—</w:t>
            </w:r>
          </w:p>
        </w:tc>
      </w:tr>
      <w:tr>
        <w:tc>
          <w:tcPr>
            <w:tcW w:type="dxa" w:w="3744"/>
            <w:shd w:fill="FFFFFF" w:val="clear"/>
          </w:tcPr>
          <w:p>
            <w:pPr>
              <w:jc w:val="center"/>
            </w:pPr>
            <w:r>
              <w:rPr>
                <w:rFonts w:ascii="Arial" w:hAnsi="Arial"/>
                <w:b w:val="0"/>
                <w:i w:val="0"/>
                <w:sz w:val="19"/>
              </w:rPr>
              <w:t>Overall Default Rate</w:t>
            </w:r>
          </w:p>
        </w:tc>
        <w:tc>
          <w:tcPr>
            <w:tcW w:type="dxa" w:w="2880"/>
            <w:shd w:fill="FFFFFF" w:val="clear"/>
          </w:tcPr>
          <w:p>
            <w:pPr>
              <w:jc w:val="center"/>
            </w:pPr>
            <w:r>
              <w:rPr>
                <w:rFonts w:ascii="Arial" w:hAnsi="Arial"/>
                <w:b w:val="0"/>
                <w:i w:val="0"/>
                <w:sz w:val="19"/>
              </w:rPr>
              <w:t>15.43%</w:t>
            </w:r>
          </w:p>
        </w:tc>
        <w:tc>
          <w:tcPr>
            <w:tcW w:type="dxa" w:w="2880"/>
            <w:shd w:fill="FFFFFF" w:val="clear"/>
          </w:tcPr>
          <w:p>
            <w:pPr>
              <w:jc w:val="center"/>
            </w:pPr>
            <w:r>
              <w:rPr>
                <w:rFonts w:ascii="Arial" w:hAnsi="Arial"/>
                <w:b w:val="0"/>
                <w:i w:val="0"/>
                <w:sz w:val="19"/>
              </w:rPr>
              <w:t>Target: &lt;10%</w:t>
            </w:r>
          </w:p>
        </w:tc>
      </w:tr>
      <w:tr>
        <w:tc>
          <w:tcPr>
            <w:tcW w:type="dxa" w:w="3744"/>
            <w:shd w:fill="EFF6FF" w:val="clear"/>
          </w:tcPr>
          <w:p>
            <w:pPr>
              <w:jc w:val="center"/>
            </w:pPr>
            <w:r>
              <w:rPr>
                <w:rFonts w:ascii="Arial" w:hAnsi="Arial"/>
                <w:b w:val="0"/>
                <w:i w:val="0"/>
                <w:sz w:val="19"/>
              </w:rPr>
              <w:t>NPA Ratio</w:t>
            </w:r>
          </w:p>
        </w:tc>
        <w:tc>
          <w:tcPr>
            <w:tcW w:type="dxa" w:w="2880"/>
            <w:shd w:fill="EFF6FF" w:val="clear"/>
          </w:tcPr>
          <w:p>
            <w:pPr>
              <w:jc w:val="center"/>
            </w:pPr>
            <w:r>
              <w:rPr>
                <w:rFonts w:ascii="Arial" w:hAnsi="Arial"/>
                <w:b w:val="0"/>
                <w:i w:val="0"/>
                <w:sz w:val="19"/>
              </w:rPr>
              <w:t>14.23%</w:t>
            </w:r>
          </w:p>
        </w:tc>
        <w:tc>
          <w:tcPr>
            <w:tcW w:type="dxa" w:w="2880"/>
            <w:shd w:fill="EFF6FF" w:val="clear"/>
          </w:tcPr>
          <w:p>
            <w:pPr>
              <w:jc w:val="center"/>
            </w:pPr>
            <w:r>
              <w:rPr>
                <w:rFonts w:ascii="Arial" w:hAnsi="Arial"/>
                <w:b w:val="0"/>
                <w:i w:val="0"/>
                <w:sz w:val="19"/>
              </w:rPr>
              <w:t>Target: &lt;8%</w:t>
            </w:r>
          </w:p>
        </w:tc>
      </w:tr>
      <w:tr>
        <w:tc>
          <w:tcPr>
            <w:tcW w:type="dxa" w:w="3744"/>
            <w:shd w:fill="FFFFFF" w:val="clear"/>
          </w:tcPr>
          <w:p>
            <w:pPr>
              <w:jc w:val="center"/>
            </w:pPr>
            <w:r>
              <w:rPr>
                <w:rFonts w:ascii="Arial" w:hAnsi="Arial"/>
                <w:b w:val="0"/>
                <w:i w:val="0"/>
                <w:sz w:val="19"/>
              </w:rPr>
              <w:t>Average Portfolio Yield</w:t>
            </w:r>
          </w:p>
        </w:tc>
        <w:tc>
          <w:tcPr>
            <w:tcW w:type="dxa" w:w="2880"/>
            <w:shd w:fill="FFFFFF" w:val="clear"/>
          </w:tcPr>
          <w:p>
            <w:pPr>
              <w:jc w:val="center"/>
            </w:pPr>
            <w:r>
              <w:rPr>
                <w:rFonts w:ascii="Arial" w:hAnsi="Arial"/>
                <w:b w:val="0"/>
                <w:i w:val="0"/>
                <w:sz w:val="19"/>
              </w:rPr>
              <w:t>18.75%</w:t>
            </w:r>
          </w:p>
        </w:tc>
        <w:tc>
          <w:tcPr>
            <w:tcW w:type="dxa" w:w="2880"/>
            <w:shd w:fill="FFFFFF" w:val="clear"/>
          </w:tcPr>
          <w:p>
            <w:pPr>
              <w:jc w:val="center"/>
            </w:pPr>
            <w:r>
              <w:rPr>
                <w:rFonts w:ascii="Arial" w:hAnsi="Arial"/>
                <w:b w:val="0"/>
                <w:i w:val="0"/>
                <w:sz w:val="19"/>
              </w:rPr>
              <w:t>Healthy</w:t>
            </w:r>
          </w:p>
        </w:tc>
      </w:tr>
      <w:tr>
        <w:tc>
          <w:tcPr>
            <w:tcW w:type="dxa" w:w="3744"/>
            <w:shd w:fill="EFF6FF" w:val="clear"/>
          </w:tcPr>
          <w:p>
            <w:pPr>
              <w:jc w:val="center"/>
            </w:pPr>
            <w:r>
              <w:rPr>
                <w:rFonts w:ascii="Arial" w:hAnsi="Arial"/>
                <w:b w:val="0"/>
                <w:i w:val="0"/>
                <w:sz w:val="19"/>
              </w:rPr>
              <w:t>Total Interest Revenue</w:t>
            </w:r>
          </w:p>
        </w:tc>
        <w:tc>
          <w:tcPr>
            <w:tcW w:type="dxa" w:w="2880"/>
            <w:shd w:fill="EFF6FF" w:val="clear"/>
          </w:tcPr>
          <w:p>
            <w:pPr>
              <w:jc w:val="center"/>
            </w:pPr>
            <w:r>
              <w:rPr>
                <w:rFonts w:ascii="Arial" w:hAnsi="Arial"/>
                <w:b w:val="0"/>
                <w:i w:val="0"/>
                <w:sz w:val="19"/>
              </w:rPr>
              <w:t>₹20.84 Crore</w:t>
            </w:r>
          </w:p>
        </w:tc>
        <w:tc>
          <w:tcPr>
            <w:tcW w:type="dxa" w:w="2880"/>
            <w:shd w:fill="EFF6FF" w:val="clear"/>
          </w:tcPr>
          <w:p>
            <w:pPr>
              <w:jc w:val="center"/>
            </w:pPr>
            <w:r>
              <w:rPr>
                <w:rFonts w:ascii="Arial" w:hAnsi="Arial"/>
                <w:b w:val="0"/>
                <w:i w:val="0"/>
                <w:sz w:val="19"/>
              </w:rPr>
              <w:t>Annualised</w:t>
            </w:r>
          </w:p>
        </w:tc>
      </w:tr>
      <w:tr>
        <w:tc>
          <w:tcPr>
            <w:tcW w:type="dxa" w:w="3744"/>
            <w:shd w:fill="FFFFFF" w:val="clear"/>
          </w:tcPr>
          <w:p>
            <w:pPr>
              <w:jc w:val="center"/>
            </w:pPr>
            <w:r>
              <w:rPr>
                <w:rFonts w:ascii="Arial" w:hAnsi="Arial"/>
                <w:b w:val="0"/>
                <w:i w:val="0"/>
                <w:sz w:val="19"/>
              </w:rPr>
              <w:t>Watch List Customers</w:t>
            </w:r>
          </w:p>
        </w:tc>
        <w:tc>
          <w:tcPr>
            <w:tcW w:type="dxa" w:w="2880"/>
            <w:shd w:fill="FFFFFF" w:val="clear"/>
          </w:tcPr>
          <w:p>
            <w:pPr>
              <w:jc w:val="center"/>
            </w:pPr>
            <w:r>
              <w:rPr>
                <w:rFonts w:ascii="Arial" w:hAnsi="Arial"/>
                <w:b w:val="0"/>
                <w:i w:val="0"/>
                <w:sz w:val="19"/>
              </w:rPr>
              <w:t>81 (2.7%)</w:t>
            </w:r>
          </w:p>
        </w:tc>
        <w:tc>
          <w:tcPr>
            <w:tcW w:type="dxa" w:w="2880"/>
            <w:shd w:fill="FFFFFF" w:val="clear"/>
          </w:tcPr>
          <w:p>
            <w:pPr>
              <w:jc w:val="center"/>
            </w:pPr>
            <w:r>
              <w:rPr>
                <w:rFonts w:ascii="Arial" w:hAnsi="Arial"/>
                <w:b w:val="0"/>
                <w:i w:val="0"/>
                <w:sz w:val="19"/>
              </w:rPr>
              <w:t>Immediate action required</w:t>
            </w:r>
          </w:p>
        </w:tc>
      </w:tr>
      <w:tr>
        <w:tc>
          <w:tcPr>
            <w:tcW w:type="dxa" w:w="3744"/>
            <w:shd w:fill="EFF6FF" w:val="clear"/>
          </w:tcPr>
          <w:p>
            <w:pPr>
              <w:jc w:val="center"/>
            </w:pPr>
            <w:r>
              <w:rPr>
                <w:rFonts w:ascii="Arial" w:hAnsi="Arial"/>
                <w:b w:val="0"/>
                <w:i w:val="0"/>
                <w:sz w:val="19"/>
              </w:rPr>
              <w:t>Avg Risk-Adj CLV per Loan</w:t>
            </w:r>
          </w:p>
        </w:tc>
        <w:tc>
          <w:tcPr>
            <w:tcW w:type="dxa" w:w="2880"/>
            <w:shd w:fill="EFF6FF" w:val="clear"/>
          </w:tcPr>
          <w:p>
            <w:pPr>
              <w:jc w:val="center"/>
            </w:pPr>
            <w:r>
              <w:rPr>
                <w:rFonts w:ascii="Arial" w:hAnsi="Arial"/>
                <w:b w:val="0"/>
                <w:i w:val="0"/>
                <w:sz w:val="19"/>
              </w:rPr>
              <w:t>₹52,407</w:t>
            </w:r>
          </w:p>
        </w:tc>
        <w:tc>
          <w:tcPr>
            <w:tcW w:type="dxa" w:w="2880"/>
            <w:shd w:fill="EFF6FF" w:val="clear"/>
          </w:tcPr>
          <w:p>
            <w:pPr>
              <w:jc w:val="center"/>
            </w:pPr>
            <w:r>
              <w:rPr>
                <w:rFonts w:ascii="Arial" w:hAnsi="Arial"/>
                <w:b w:val="0"/>
                <w:i w:val="0"/>
                <w:sz w:val="19"/>
              </w:rPr>
              <w:t>Across all products</w:t>
            </w:r>
          </w:p>
        </w:tc>
      </w:tr>
    </w:tbl>
    <w:p>
      <w:pPr>
        <w:spacing w:after="80"/>
      </w:pPr>
    </w:p>
    <w:p>
      <w:pPr>
        <w:spacing w:before="280" w:after="80"/>
        <w:pBdr>
          <w:bottom w:val="single" w:sz="6" w:space="1" w:color="1E3A8A"/>
        </w:pBdr>
      </w:pPr>
      <w:r>
        <w:rPr>
          <w:rFonts w:ascii="Arial" w:hAnsi="Arial"/>
          <w:b/>
          <w:i w:val="0"/>
          <w:color w:val="1E3A8A"/>
          <w:sz w:val="26"/>
        </w:rPr>
        <w:t>2. Analytical Methodology &amp; Risk Framework</w:t>
      </w:r>
    </w:p>
    <w:p>
      <w:pPr>
        <w:spacing w:after="100" w:before="0"/>
      </w:pPr>
      <w:r>
        <w:rPr>
          <w:rFonts w:ascii="Arial" w:hAnsi="Arial"/>
          <w:b w:val="0"/>
          <w:i w:val="0"/>
          <w:sz w:val="21"/>
        </w:rPr>
        <w:t>All portfolio profitability metrics were calculated using expected loss (EL) methodology to evaluate whether portfolio yield sufficiently compensates for acquisition and credit costs across customer segments. This ensures recommendations are grounded in risk-adjusted economics rather than gross revenue.</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E3A8A" w:val="clear"/>
          </w:tcPr>
          <w:p>
            <w:pPr>
              <w:jc w:val="center"/>
            </w:pPr>
            <w:r>
              <w:rPr>
                <w:rFonts w:ascii="Arial" w:hAnsi="Arial"/>
                <w:b/>
                <w:i w:val="0"/>
                <w:color w:val="FFFFFF"/>
                <w:sz w:val="19"/>
              </w:rPr>
              <w:t>Metric</w:t>
            </w:r>
          </w:p>
        </w:tc>
        <w:tc>
          <w:tcPr>
            <w:tcW w:type="dxa" w:w="4032"/>
            <w:shd w:fill="1E3A8A" w:val="clear"/>
          </w:tcPr>
          <w:p>
            <w:pPr>
              <w:jc w:val="center"/>
            </w:pPr>
            <w:r>
              <w:rPr>
                <w:rFonts w:ascii="Arial" w:hAnsi="Arial"/>
                <w:b/>
                <w:i w:val="0"/>
                <w:color w:val="FFFFFF"/>
                <w:sz w:val="19"/>
              </w:rPr>
              <w:t>Formula / Approach</w:t>
            </w:r>
          </w:p>
        </w:tc>
        <w:tc>
          <w:tcPr>
            <w:tcW w:type="dxa" w:w="2880"/>
            <w:shd w:fill="1E3A8A" w:val="clear"/>
          </w:tcPr>
          <w:p>
            <w:pPr>
              <w:jc w:val="center"/>
            </w:pPr>
            <w:r>
              <w:rPr>
                <w:rFonts w:ascii="Arial" w:hAnsi="Arial"/>
                <w:b/>
                <w:i w:val="0"/>
                <w:color w:val="FFFFFF"/>
                <w:sz w:val="19"/>
              </w:rPr>
              <w:t>Application in This Report</w:t>
            </w:r>
          </w:p>
        </w:tc>
      </w:tr>
      <w:tr>
        <w:tc>
          <w:tcPr>
            <w:tcW w:type="dxa" w:w="2592"/>
            <w:shd w:fill="EFF6FF" w:val="clear"/>
          </w:tcPr>
          <w:p>
            <w:pPr>
              <w:jc w:val="center"/>
            </w:pPr>
            <w:r>
              <w:rPr>
                <w:rFonts w:ascii="Arial" w:hAnsi="Arial"/>
                <w:b w:val="0"/>
                <w:i w:val="0"/>
                <w:sz w:val="19"/>
              </w:rPr>
              <w:t>Probability of Default (PD)</w:t>
            </w:r>
          </w:p>
        </w:tc>
        <w:tc>
          <w:tcPr>
            <w:tcW w:type="dxa" w:w="4032"/>
            <w:shd w:fill="EFF6FF" w:val="clear"/>
          </w:tcPr>
          <w:p>
            <w:pPr>
              <w:jc w:val="center"/>
            </w:pPr>
            <w:r>
              <w:rPr>
                <w:rFonts w:ascii="Arial" w:hAnsi="Arial"/>
                <w:b w:val="0"/>
                <w:i w:val="0"/>
                <w:sz w:val="19"/>
              </w:rPr>
              <w:t>Historical default rate by segment</w:t>
            </w:r>
          </w:p>
        </w:tc>
        <w:tc>
          <w:tcPr>
            <w:tcW w:type="dxa" w:w="2880"/>
            <w:shd w:fill="EFF6FF" w:val="clear"/>
          </w:tcPr>
          <w:p>
            <w:pPr>
              <w:jc w:val="center"/>
            </w:pPr>
            <w:r>
              <w:rPr>
                <w:rFonts w:ascii="Arial" w:hAnsi="Arial"/>
                <w:b w:val="0"/>
                <w:i w:val="0"/>
                <w:sz w:val="19"/>
              </w:rPr>
              <w:t>Tier-level and channel-level PD</w:t>
            </w:r>
          </w:p>
        </w:tc>
      </w:tr>
      <w:tr>
        <w:tc>
          <w:tcPr>
            <w:tcW w:type="dxa" w:w="2592"/>
            <w:shd w:fill="FFFFFF" w:val="clear"/>
          </w:tcPr>
          <w:p>
            <w:pPr>
              <w:jc w:val="center"/>
            </w:pPr>
            <w:r>
              <w:rPr>
                <w:rFonts w:ascii="Arial" w:hAnsi="Arial"/>
                <w:b w:val="0"/>
                <w:i w:val="0"/>
                <w:sz w:val="19"/>
              </w:rPr>
              <w:t>Exposure at Default (EAD)</w:t>
            </w:r>
          </w:p>
        </w:tc>
        <w:tc>
          <w:tcPr>
            <w:tcW w:type="dxa" w:w="4032"/>
            <w:shd w:fill="FFFFFF" w:val="clear"/>
          </w:tcPr>
          <w:p>
            <w:pPr>
              <w:jc w:val="center"/>
            </w:pPr>
            <w:r>
              <w:rPr>
                <w:rFonts w:ascii="Arial" w:hAnsi="Arial"/>
                <w:b w:val="0"/>
                <w:i w:val="0"/>
                <w:sz w:val="19"/>
              </w:rPr>
              <w:t>Outstanding loan balance</w:t>
            </w:r>
          </w:p>
        </w:tc>
        <w:tc>
          <w:tcPr>
            <w:tcW w:type="dxa" w:w="2880"/>
            <w:shd w:fill="FFFFFF" w:val="clear"/>
          </w:tcPr>
          <w:p>
            <w:pPr>
              <w:jc w:val="center"/>
            </w:pPr>
            <w:r>
              <w:rPr>
                <w:rFonts w:ascii="Arial" w:hAnsi="Arial"/>
                <w:b w:val="0"/>
                <w:i w:val="0"/>
                <w:sz w:val="19"/>
              </w:rPr>
              <w:t>Per-customer loan amount</w:t>
            </w:r>
          </w:p>
        </w:tc>
      </w:tr>
      <w:tr>
        <w:tc>
          <w:tcPr>
            <w:tcW w:type="dxa" w:w="2592"/>
            <w:shd w:fill="EFF6FF" w:val="clear"/>
          </w:tcPr>
          <w:p>
            <w:pPr>
              <w:jc w:val="center"/>
            </w:pPr>
            <w:r>
              <w:rPr>
                <w:rFonts w:ascii="Arial" w:hAnsi="Arial"/>
                <w:b w:val="0"/>
                <w:i w:val="0"/>
                <w:sz w:val="19"/>
              </w:rPr>
              <w:t>Loss Given Default (LGD)</w:t>
            </w:r>
          </w:p>
        </w:tc>
        <w:tc>
          <w:tcPr>
            <w:tcW w:type="dxa" w:w="4032"/>
            <w:shd w:fill="EFF6FF" w:val="clear"/>
          </w:tcPr>
          <w:p>
            <w:pPr>
              <w:jc w:val="center"/>
            </w:pPr>
            <w:r>
              <w:rPr>
                <w:rFonts w:ascii="Arial" w:hAnsi="Arial"/>
                <w:b w:val="0"/>
                <w:i w:val="0"/>
                <w:sz w:val="19"/>
              </w:rPr>
              <w:t>Assumed 65% (35% recovery rate)</w:t>
            </w:r>
          </w:p>
        </w:tc>
        <w:tc>
          <w:tcPr>
            <w:tcW w:type="dxa" w:w="2880"/>
            <w:shd w:fill="EFF6FF" w:val="clear"/>
          </w:tcPr>
          <w:p>
            <w:pPr>
              <w:jc w:val="center"/>
            </w:pPr>
            <w:r>
              <w:rPr>
                <w:rFonts w:ascii="Arial" w:hAnsi="Arial"/>
                <w:b w:val="0"/>
                <w:i w:val="0"/>
                <w:sz w:val="19"/>
              </w:rPr>
              <w:t>Standard fintech benchmark</w:t>
            </w:r>
          </w:p>
        </w:tc>
      </w:tr>
      <w:tr>
        <w:tc>
          <w:tcPr>
            <w:tcW w:type="dxa" w:w="2592"/>
            <w:shd w:fill="FFFFFF" w:val="clear"/>
          </w:tcPr>
          <w:p>
            <w:pPr>
              <w:jc w:val="center"/>
            </w:pPr>
            <w:r>
              <w:rPr>
                <w:rFonts w:ascii="Arial" w:hAnsi="Arial"/>
                <w:b w:val="0"/>
                <w:i w:val="0"/>
                <w:sz w:val="19"/>
              </w:rPr>
              <w:t>Expected Loss (EL)</w:t>
            </w:r>
          </w:p>
        </w:tc>
        <w:tc>
          <w:tcPr>
            <w:tcW w:type="dxa" w:w="4032"/>
            <w:shd w:fill="FFFFFF" w:val="clear"/>
          </w:tcPr>
          <w:p>
            <w:pPr>
              <w:jc w:val="center"/>
            </w:pPr>
            <w:r>
              <w:rPr>
                <w:rFonts w:ascii="Arial" w:hAnsi="Arial"/>
                <w:b w:val="0"/>
                <w:i w:val="0"/>
                <w:sz w:val="19"/>
              </w:rPr>
              <w:t>PD × LGD × EAD</w:t>
            </w:r>
          </w:p>
        </w:tc>
        <w:tc>
          <w:tcPr>
            <w:tcW w:type="dxa" w:w="2880"/>
            <w:shd w:fill="FFFFFF" w:val="clear"/>
          </w:tcPr>
          <w:p>
            <w:pPr>
              <w:jc w:val="center"/>
            </w:pPr>
            <w:r>
              <w:rPr>
                <w:rFonts w:ascii="Arial" w:hAnsi="Arial"/>
                <w:b w:val="0"/>
                <w:i w:val="0"/>
                <w:sz w:val="19"/>
              </w:rPr>
              <w:t>Per-segment loss quantification</w:t>
            </w:r>
          </w:p>
        </w:tc>
      </w:tr>
      <w:tr>
        <w:tc>
          <w:tcPr>
            <w:tcW w:type="dxa" w:w="2592"/>
            <w:shd w:fill="EFF6FF" w:val="clear"/>
          </w:tcPr>
          <w:p>
            <w:pPr>
              <w:jc w:val="center"/>
            </w:pPr>
            <w:r>
              <w:rPr>
                <w:rFonts w:ascii="Arial" w:hAnsi="Arial"/>
                <w:b w:val="0"/>
                <w:i w:val="0"/>
                <w:sz w:val="19"/>
              </w:rPr>
              <w:t>Risk-Adjusted Return</w:t>
            </w:r>
          </w:p>
        </w:tc>
        <w:tc>
          <w:tcPr>
            <w:tcW w:type="dxa" w:w="4032"/>
            <w:shd w:fill="EFF6FF" w:val="clear"/>
          </w:tcPr>
          <w:p>
            <w:pPr>
              <w:jc w:val="center"/>
            </w:pPr>
            <w:r>
              <w:rPr>
                <w:rFonts w:ascii="Arial" w:hAnsi="Arial"/>
                <w:b w:val="0"/>
                <w:i w:val="0"/>
                <w:sz w:val="19"/>
              </w:rPr>
              <w:t>Interest Yield − EL − CAC</w:t>
            </w:r>
          </w:p>
        </w:tc>
        <w:tc>
          <w:tcPr>
            <w:tcW w:type="dxa" w:w="2880"/>
            <w:shd w:fill="EFF6FF" w:val="clear"/>
          </w:tcPr>
          <w:p>
            <w:pPr>
              <w:jc w:val="center"/>
            </w:pPr>
            <w:r>
              <w:rPr>
                <w:rFonts w:ascii="Arial" w:hAnsi="Arial"/>
                <w:b w:val="0"/>
                <w:i w:val="0"/>
                <w:sz w:val="19"/>
              </w:rPr>
              <w:t>True profitability per customer</w:t>
            </w:r>
          </w:p>
        </w:tc>
      </w:tr>
    </w:tbl>
    <w:p>
      <w:pPr>
        <w:spacing w:after="80"/>
      </w:pPr>
    </w:p>
    <w:p>
      <w:pPr>
        <w:spacing w:after="100" w:before="0"/>
      </w:pPr>
      <w:r>
        <w:rPr>
          <w:rFonts w:ascii="Arial" w:hAnsi="Arial"/>
          <w:b w:val="0"/>
          <w:i w:val="0"/>
          <w:sz w:val="21"/>
        </w:rPr>
        <w:t>Behavioral variables demonstrated stronger predictive power than static demographic variables, reinforcing the importance of dynamic monitoring frameworks over point-in-time credit bureau checks alone.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fill="1E3A8A" w:val="clear"/>
          </w:tcPr>
          <w:p>
            <w:pPr>
              <w:jc w:val="center"/>
            </w:pPr>
            <w:r>
              <w:rPr>
                <w:rFonts w:ascii="Arial" w:hAnsi="Arial"/>
                <w:b/>
                <w:i w:val="0"/>
                <w:color w:val="FFFFFF"/>
                <w:sz w:val="19"/>
              </w:rPr>
              <w:t>Variable</w:t>
            </w:r>
          </w:p>
        </w:tc>
        <w:tc>
          <w:tcPr>
            <w:tcW w:type="dxa" w:w="1728"/>
            <w:shd w:fill="1E3A8A" w:val="clear"/>
          </w:tcPr>
          <w:p>
            <w:pPr>
              <w:jc w:val="center"/>
            </w:pPr>
            <w:r>
              <w:rPr>
                <w:rFonts w:ascii="Arial" w:hAnsi="Arial"/>
                <w:b/>
                <w:i w:val="0"/>
                <w:color w:val="FFFFFF"/>
                <w:sz w:val="19"/>
              </w:rPr>
              <w:t>Correlation with Default</w:t>
            </w:r>
          </w:p>
        </w:tc>
        <w:tc>
          <w:tcPr>
            <w:tcW w:type="dxa" w:w="1440"/>
            <w:shd w:fill="1E3A8A" w:val="clear"/>
          </w:tcPr>
          <w:p>
            <w:pPr>
              <w:jc w:val="center"/>
            </w:pPr>
            <w:r>
              <w:rPr>
                <w:rFonts w:ascii="Arial" w:hAnsi="Arial"/>
                <w:b/>
                <w:i w:val="0"/>
                <w:color w:val="FFFFFF"/>
                <w:sz w:val="19"/>
              </w:rPr>
              <w:t>Strength</w:t>
            </w:r>
          </w:p>
        </w:tc>
        <w:tc>
          <w:tcPr>
            <w:tcW w:type="dxa" w:w="3888"/>
            <w:shd w:fill="1E3A8A" w:val="clear"/>
          </w:tcPr>
          <w:p>
            <w:pPr>
              <w:jc w:val="center"/>
            </w:pPr>
            <w:r>
              <w:rPr>
                <w:rFonts w:ascii="Arial" w:hAnsi="Arial"/>
                <w:b/>
                <w:i w:val="0"/>
                <w:color w:val="FFFFFF"/>
                <w:sz w:val="19"/>
              </w:rPr>
              <w:t>Direction</w:t>
            </w:r>
          </w:p>
        </w:tc>
      </w:tr>
      <w:tr>
        <w:tc>
          <w:tcPr>
            <w:tcW w:type="dxa" w:w="2448"/>
            <w:shd w:fill="EFF6FF" w:val="clear"/>
          </w:tcPr>
          <w:p>
            <w:pPr>
              <w:jc w:val="center"/>
            </w:pPr>
            <w:r>
              <w:rPr>
                <w:rFonts w:ascii="Arial" w:hAnsi="Arial"/>
                <w:b w:val="0"/>
                <w:i w:val="0"/>
                <w:sz w:val="19"/>
              </w:rPr>
              <w:t>Repayment Ratio</w:t>
            </w:r>
          </w:p>
        </w:tc>
        <w:tc>
          <w:tcPr>
            <w:tcW w:type="dxa" w:w="1728"/>
            <w:shd w:fill="EFF6FF" w:val="clear"/>
          </w:tcPr>
          <w:p>
            <w:pPr>
              <w:jc w:val="center"/>
            </w:pPr>
            <w:r>
              <w:rPr>
                <w:rFonts w:ascii="Arial" w:hAnsi="Arial"/>
                <w:b w:val="0"/>
                <w:i w:val="0"/>
                <w:sz w:val="19"/>
              </w:rPr>
              <w:t>r = −0.890</w:t>
            </w:r>
          </w:p>
        </w:tc>
        <w:tc>
          <w:tcPr>
            <w:tcW w:type="dxa" w:w="1440"/>
            <w:shd w:fill="EFF6FF" w:val="clear"/>
          </w:tcPr>
          <w:p>
            <w:pPr>
              <w:jc w:val="center"/>
            </w:pPr>
            <w:r>
              <w:rPr>
                <w:rFonts w:ascii="Arial" w:hAnsi="Arial"/>
                <w:b w:val="0"/>
                <w:i w:val="0"/>
                <w:sz w:val="19"/>
              </w:rPr>
              <w:t>Very Strong</w:t>
            </w:r>
          </w:p>
        </w:tc>
        <w:tc>
          <w:tcPr>
            <w:tcW w:type="dxa" w:w="3888"/>
            <w:shd w:fill="EFF6FF" w:val="clear"/>
          </w:tcPr>
          <w:p>
            <w:pPr>
              <w:jc w:val="center"/>
            </w:pPr>
            <w:r>
              <w:rPr>
                <w:rFonts w:ascii="Arial" w:hAnsi="Arial"/>
                <w:b w:val="0"/>
                <w:i w:val="0"/>
                <w:sz w:val="19"/>
              </w:rPr>
              <w:t>Negative — lower repayment = higher default</w:t>
            </w:r>
          </w:p>
        </w:tc>
      </w:tr>
      <w:tr>
        <w:tc>
          <w:tcPr>
            <w:tcW w:type="dxa" w:w="2448"/>
            <w:shd w:fill="FFFFFF" w:val="clear"/>
          </w:tcPr>
          <w:p>
            <w:pPr>
              <w:jc w:val="center"/>
            </w:pPr>
            <w:r>
              <w:rPr>
                <w:rFonts w:ascii="Arial" w:hAnsi="Arial"/>
                <w:b w:val="0"/>
                <w:i w:val="0"/>
                <w:sz w:val="19"/>
              </w:rPr>
              <w:t>Balance Volatility</w:t>
            </w:r>
          </w:p>
        </w:tc>
        <w:tc>
          <w:tcPr>
            <w:tcW w:type="dxa" w:w="1728"/>
            <w:shd w:fill="FFFFFF" w:val="clear"/>
          </w:tcPr>
          <w:p>
            <w:pPr>
              <w:jc w:val="center"/>
            </w:pPr>
            <w:r>
              <w:rPr>
                <w:rFonts w:ascii="Arial" w:hAnsi="Arial"/>
                <w:b w:val="0"/>
                <w:i w:val="0"/>
                <w:sz w:val="19"/>
              </w:rPr>
              <w:t>r = +0.113</w:t>
            </w:r>
          </w:p>
        </w:tc>
        <w:tc>
          <w:tcPr>
            <w:tcW w:type="dxa" w:w="1440"/>
            <w:shd w:fill="FFFFFF" w:val="clear"/>
          </w:tcPr>
          <w:p>
            <w:pPr>
              <w:jc w:val="center"/>
            </w:pPr>
            <w:r>
              <w:rPr>
                <w:rFonts w:ascii="Arial" w:hAnsi="Arial"/>
                <w:b w:val="0"/>
                <w:i w:val="0"/>
                <w:sz w:val="19"/>
              </w:rPr>
              <w:t>Moderate</w:t>
            </w:r>
          </w:p>
        </w:tc>
        <w:tc>
          <w:tcPr>
            <w:tcW w:type="dxa" w:w="3888"/>
            <w:shd w:fill="FFFFFF" w:val="clear"/>
          </w:tcPr>
          <w:p>
            <w:pPr>
              <w:jc w:val="center"/>
            </w:pPr>
            <w:r>
              <w:rPr>
                <w:rFonts w:ascii="Arial" w:hAnsi="Arial"/>
                <w:b w:val="0"/>
                <w:i w:val="0"/>
                <w:sz w:val="19"/>
              </w:rPr>
              <w:t>Positive — volatile balance = higher default</w:t>
            </w:r>
          </w:p>
        </w:tc>
      </w:tr>
      <w:tr>
        <w:tc>
          <w:tcPr>
            <w:tcW w:type="dxa" w:w="2448"/>
            <w:shd w:fill="EFF6FF" w:val="clear"/>
          </w:tcPr>
          <w:p>
            <w:pPr>
              <w:jc w:val="center"/>
            </w:pPr>
            <w:r>
              <w:rPr>
                <w:rFonts w:ascii="Arial" w:hAnsi="Arial"/>
                <w:b w:val="0"/>
                <w:i w:val="0"/>
                <w:sz w:val="19"/>
              </w:rPr>
              <w:t>Spending Shock</w:t>
            </w:r>
          </w:p>
        </w:tc>
        <w:tc>
          <w:tcPr>
            <w:tcW w:type="dxa" w:w="1728"/>
            <w:shd w:fill="EFF6FF" w:val="clear"/>
          </w:tcPr>
          <w:p>
            <w:pPr>
              <w:jc w:val="center"/>
            </w:pPr>
            <w:r>
              <w:rPr>
                <w:rFonts w:ascii="Arial" w:hAnsi="Arial"/>
                <w:b w:val="0"/>
                <w:i w:val="0"/>
                <w:sz w:val="19"/>
              </w:rPr>
              <w:t>r = +0.085</w:t>
            </w:r>
          </w:p>
        </w:tc>
        <w:tc>
          <w:tcPr>
            <w:tcW w:type="dxa" w:w="1440"/>
            <w:shd w:fill="EFF6FF" w:val="clear"/>
          </w:tcPr>
          <w:p>
            <w:pPr>
              <w:jc w:val="center"/>
            </w:pPr>
            <w:r>
              <w:rPr>
                <w:rFonts w:ascii="Arial" w:hAnsi="Arial"/>
                <w:b w:val="0"/>
                <w:i w:val="0"/>
                <w:sz w:val="19"/>
              </w:rPr>
              <w:t>Moderate</w:t>
            </w:r>
          </w:p>
        </w:tc>
        <w:tc>
          <w:tcPr>
            <w:tcW w:type="dxa" w:w="3888"/>
            <w:shd w:fill="EFF6FF" w:val="clear"/>
          </w:tcPr>
          <w:p>
            <w:pPr>
              <w:jc w:val="center"/>
            </w:pPr>
            <w:r>
              <w:rPr>
                <w:rFonts w:ascii="Arial" w:hAnsi="Arial"/>
                <w:b w:val="0"/>
                <w:i w:val="0"/>
                <w:sz w:val="19"/>
              </w:rPr>
              <w:t>Positive — shock event = higher default</w:t>
            </w:r>
          </w:p>
        </w:tc>
      </w:tr>
      <w:tr>
        <w:tc>
          <w:tcPr>
            <w:tcW w:type="dxa" w:w="2448"/>
            <w:shd w:fill="FFFFFF" w:val="clear"/>
          </w:tcPr>
          <w:p>
            <w:pPr>
              <w:jc w:val="center"/>
            </w:pPr>
            <w:r>
              <w:rPr>
                <w:rFonts w:ascii="Arial" w:hAnsi="Arial"/>
                <w:b w:val="0"/>
                <w:i w:val="0"/>
                <w:sz w:val="19"/>
              </w:rPr>
              <w:t>Monthly Income</w:t>
            </w:r>
          </w:p>
        </w:tc>
        <w:tc>
          <w:tcPr>
            <w:tcW w:type="dxa" w:w="1728"/>
            <w:shd w:fill="FFFFFF" w:val="clear"/>
          </w:tcPr>
          <w:p>
            <w:pPr>
              <w:jc w:val="center"/>
            </w:pPr>
            <w:r>
              <w:rPr>
                <w:rFonts w:ascii="Arial" w:hAnsi="Arial"/>
                <w:b w:val="0"/>
                <w:i w:val="0"/>
                <w:sz w:val="19"/>
              </w:rPr>
              <w:t>r = −0.062</w:t>
            </w:r>
          </w:p>
        </w:tc>
        <w:tc>
          <w:tcPr>
            <w:tcW w:type="dxa" w:w="1440"/>
            <w:shd w:fill="FFFFFF" w:val="clear"/>
          </w:tcPr>
          <w:p>
            <w:pPr>
              <w:jc w:val="center"/>
            </w:pPr>
            <w:r>
              <w:rPr>
                <w:rFonts w:ascii="Arial" w:hAnsi="Arial"/>
                <w:b w:val="0"/>
                <w:i w:val="0"/>
                <w:sz w:val="19"/>
              </w:rPr>
              <w:t>Weak</w:t>
            </w:r>
          </w:p>
        </w:tc>
        <w:tc>
          <w:tcPr>
            <w:tcW w:type="dxa" w:w="3888"/>
            <w:shd w:fill="FFFFFF" w:val="clear"/>
          </w:tcPr>
          <w:p>
            <w:pPr>
              <w:jc w:val="center"/>
            </w:pPr>
            <w:r>
              <w:rPr>
                <w:rFonts w:ascii="Arial" w:hAnsi="Arial"/>
                <w:b w:val="0"/>
                <w:i w:val="0"/>
                <w:sz w:val="19"/>
              </w:rPr>
              <w:t>Negative — higher income = lower default</w:t>
            </w:r>
          </w:p>
        </w:tc>
      </w:tr>
      <w:tr>
        <w:tc>
          <w:tcPr>
            <w:tcW w:type="dxa" w:w="2448"/>
            <w:shd w:fill="EFF6FF" w:val="clear"/>
          </w:tcPr>
          <w:p>
            <w:pPr>
              <w:jc w:val="center"/>
            </w:pPr>
            <w:r>
              <w:rPr>
                <w:rFonts w:ascii="Arial" w:hAnsi="Arial"/>
                <w:b w:val="0"/>
                <w:i w:val="0"/>
                <w:sz w:val="19"/>
              </w:rPr>
              <w:t>EMI-to-Income Ratio</w:t>
            </w:r>
          </w:p>
        </w:tc>
        <w:tc>
          <w:tcPr>
            <w:tcW w:type="dxa" w:w="1728"/>
            <w:shd w:fill="EFF6FF" w:val="clear"/>
          </w:tcPr>
          <w:p>
            <w:pPr>
              <w:jc w:val="center"/>
            </w:pPr>
            <w:r>
              <w:rPr>
                <w:rFonts w:ascii="Arial" w:hAnsi="Arial"/>
                <w:b w:val="0"/>
                <w:i w:val="0"/>
                <w:sz w:val="19"/>
              </w:rPr>
              <w:t>r = +0.022</w:t>
            </w:r>
          </w:p>
        </w:tc>
        <w:tc>
          <w:tcPr>
            <w:tcW w:type="dxa" w:w="1440"/>
            <w:shd w:fill="EFF6FF" w:val="clear"/>
          </w:tcPr>
          <w:p>
            <w:pPr>
              <w:jc w:val="center"/>
            </w:pPr>
            <w:r>
              <w:rPr>
                <w:rFonts w:ascii="Arial" w:hAnsi="Arial"/>
                <w:b w:val="0"/>
                <w:i w:val="0"/>
                <w:sz w:val="19"/>
              </w:rPr>
              <w:t>Weak</w:t>
            </w:r>
          </w:p>
        </w:tc>
        <w:tc>
          <w:tcPr>
            <w:tcW w:type="dxa" w:w="3888"/>
            <w:shd w:fill="EFF6FF" w:val="clear"/>
          </w:tcPr>
          <w:p>
            <w:pPr>
              <w:jc w:val="center"/>
            </w:pPr>
            <w:r>
              <w:rPr>
                <w:rFonts w:ascii="Arial" w:hAnsi="Arial"/>
                <w:b w:val="0"/>
                <w:i w:val="0"/>
                <w:sz w:val="19"/>
              </w:rPr>
              <w:t>Positive — over-leverage signals stress</w:t>
            </w:r>
          </w:p>
        </w:tc>
      </w:tr>
      <w:tr>
        <w:tc>
          <w:tcPr>
            <w:tcW w:type="dxa" w:w="2448"/>
            <w:shd w:fill="FFFFFF" w:val="clear"/>
          </w:tcPr>
          <w:p>
            <w:pPr>
              <w:jc w:val="center"/>
            </w:pPr>
            <w:r>
              <w:rPr>
                <w:rFonts w:ascii="Arial" w:hAnsi="Arial"/>
                <w:b w:val="0"/>
                <w:i w:val="0"/>
                <w:sz w:val="19"/>
              </w:rPr>
              <w:t>Previous Loans</w:t>
            </w:r>
          </w:p>
        </w:tc>
        <w:tc>
          <w:tcPr>
            <w:tcW w:type="dxa" w:w="1728"/>
            <w:shd w:fill="FFFFFF" w:val="clear"/>
          </w:tcPr>
          <w:p>
            <w:pPr>
              <w:jc w:val="center"/>
            </w:pPr>
            <w:r>
              <w:rPr>
                <w:rFonts w:ascii="Arial" w:hAnsi="Arial"/>
                <w:b w:val="0"/>
                <w:i w:val="0"/>
                <w:sz w:val="19"/>
              </w:rPr>
              <w:t>r = +0.001</w:t>
            </w:r>
          </w:p>
        </w:tc>
        <w:tc>
          <w:tcPr>
            <w:tcW w:type="dxa" w:w="1440"/>
            <w:shd w:fill="FFFFFF" w:val="clear"/>
          </w:tcPr>
          <w:p>
            <w:pPr>
              <w:jc w:val="center"/>
            </w:pPr>
            <w:r>
              <w:rPr>
                <w:rFonts w:ascii="Arial" w:hAnsi="Arial"/>
                <w:b w:val="0"/>
                <w:i w:val="0"/>
                <w:sz w:val="19"/>
              </w:rPr>
              <w:t>Negligible</w:t>
            </w:r>
          </w:p>
        </w:tc>
        <w:tc>
          <w:tcPr>
            <w:tcW w:type="dxa" w:w="3888"/>
            <w:shd w:fill="FFFFFF" w:val="clear"/>
          </w:tcPr>
          <w:p>
            <w:pPr>
              <w:jc w:val="center"/>
            </w:pPr>
            <w:r>
              <w:rPr>
                <w:rFonts w:ascii="Arial" w:hAnsi="Arial"/>
                <w:b w:val="0"/>
                <w:i w:val="0"/>
                <w:sz w:val="19"/>
              </w:rPr>
              <w:t>No meaningful relationship observed</w:t>
            </w:r>
          </w:p>
        </w:tc>
      </w:tr>
    </w:tbl>
    <w:p>
      <w:pPr>
        <w:spacing w:after="80"/>
      </w:pPr>
    </w:p>
    <w:p>
      <w:pPr>
        <w:spacing w:before="120" w:after="120"/>
        <w:ind w:left="360" w:right="360"/>
        <w:shd w:fill="EFF6FF" w:val="clear"/>
      </w:pPr>
      <w:r>
        <w:rPr>
          <w:rFonts w:ascii="Arial" w:hAnsi="Arial"/>
          <w:b w:val="0"/>
          <w:i/>
          <w:color w:val="1E3A8A"/>
          <w:sz w:val="21"/>
        </w:rPr>
        <w:t>Key Insight: Repayment ratio (a behavioral signal) is by far the strongest predictor of default — far exceeding static variables like income or previous loan count. This validates the case for dynamic behavioral monitoring as a core underwriting and early-warning tool.</w:t>
      </w:r>
    </w:p>
    <w:p>
      <w:pPr>
        <w:spacing w:before="280" w:after="80"/>
        <w:pBdr>
          <w:bottom w:val="single" w:sz="6" w:space="1" w:color="1E3A8A"/>
        </w:pBdr>
      </w:pPr>
      <w:r>
        <w:rPr>
          <w:rFonts w:ascii="Arial" w:hAnsi="Arial"/>
          <w:b/>
          <w:i w:val="0"/>
          <w:color w:val="1E3A8A"/>
          <w:sz w:val="26"/>
        </w:rPr>
        <w:t>3. Risk Segmentation Findings</w:t>
      </w:r>
    </w:p>
    <w:p>
      <w:pPr>
        <w:spacing w:after="100" w:before="0"/>
      </w:pPr>
      <w:r>
        <w:rPr>
          <w:rFonts w:ascii="Arial" w:hAnsi="Arial"/>
          <w:b w:val="0"/>
          <w:i w:val="0"/>
          <w:sz w:val="21"/>
        </w:rPr>
        <w:t>The portfolio was segmented into three risk tiers based on credit score band and employment type. The segmentation reveals materially different risk-adjusted economics — not just default rates — across tiers.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592"/>
            <w:shd w:fill="1E3A8A" w:val="clear"/>
          </w:tcPr>
          <w:p>
            <w:pPr>
              <w:jc w:val="center"/>
            </w:pPr>
            <w:r>
              <w:rPr>
                <w:rFonts w:ascii="Arial" w:hAnsi="Arial"/>
                <w:b/>
                <w:i w:val="0"/>
                <w:color w:val="FFFFFF"/>
                <w:sz w:val="19"/>
              </w:rPr>
              <w:t>Segment</w:t>
            </w:r>
          </w:p>
        </w:tc>
        <w:tc>
          <w:tcPr>
            <w:tcW w:type="dxa" w:w="1296"/>
            <w:shd w:fill="1E3A8A" w:val="clear"/>
          </w:tcPr>
          <w:p>
            <w:pPr>
              <w:jc w:val="center"/>
            </w:pPr>
            <w:r>
              <w:rPr>
                <w:rFonts w:ascii="Arial" w:hAnsi="Arial"/>
                <w:b/>
                <w:i w:val="0"/>
                <w:color w:val="FFFFFF"/>
                <w:sz w:val="19"/>
              </w:rPr>
              <w:t>Customers</w:t>
            </w:r>
          </w:p>
        </w:tc>
        <w:tc>
          <w:tcPr>
            <w:tcW w:type="dxa" w:w="1440"/>
            <w:shd w:fill="1E3A8A" w:val="clear"/>
          </w:tcPr>
          <w:p>
            <w:pPr>
              <w:jc w:val="center"/>
            </w:pPr>
            <w:r>
              <w:rPr>
                <w:rFonts w:ascii="Arial" w:hAnsi="Arial"/>
                <w:b/>
                <w:i w:val="0"/>
                <w:color w:val="FFFFFF"/>
                <w:sz w:val="19"/>
              </w:rPr>
              <w:t>Default Rate</w:t>
            </w:r>
          </w:p>
        </w:tc>
        <w:tc>
          <w:tcPr>
            <w:tcW w:type="dxa" w:w="1584"/>
            <w:shd w:fill="1E3A8A" w:val="clear"/>
          </w:tcPr>
          <w:p>
            <w:pPr>
              <w:jc w:val="center"/>
            </w:pPr>
            <w:r>
              <w:rPr>
                <w:rFonts w:ascii="Arial" w:hAnsi="Arial"/>
                <w:b/>
                <w:i w:val="0"/>
                <w:color w:val="FFFFFF"/>
                <w:sz w:val="19"/>
              </w:rPr>
              <w:t>Avg EL per Loan</w:t>
            </w:r>
          </w:p>
        </w:tc>
        <w:tc>
          <w:tcPr>
            <w:tcW w:type="dxa" w:w="1440"/>
            <w:shd w:fill="1E3A8A" w:val="clear"/>
          </w:tcPr>
          <w:p>
            <w:pPr>
              <w:jc w:val="center"/>
            </w:pPr>
            <w:r>
              <w:rPr>
                <w:rFonts w:ascii="Arial" w:hAnsi="Arial"/>
                <w:b/>
                <w:i w:val="0"/>
                <w:color w:val="FFFFFF"/>
                <w:sz w:val="19"/>
              </w:rPr>
              <w:t>Avg Yield</w:t>
            </w:r>
          </w:p>
        </w:tc>
        <w:tc>
          <w:tcPr>
            <w:tcW w:type="dxa" w:w="1872"/>
            <w:shd w:fill="1E3A8A" w:val="clear"/>
          </w:tcPr>
          <w:p>
            <w:pPr>
              <w:jc w:val="center"/>
            </w:pPr>
            <w:r>
              <w:rPr>
                <w:rFonts w:ascii="Arial" w:hAnsi="Arial"/>
                <w:b/>
                <w:i w:val="0"/>
                <w:color w:val="FFFFFF"/>
                <w:sz w:val="19"/>
              </w:rPr>
              <w:t>Risk-Adj Return</w:t>
            </w:r>
          </w:p>
        </w:tc>
        <w:tc>
          <w:tcPr>
            <w:tcW w:type="dxa" w:w="1296"/>
            <w:shd w:fill="1E3A8A" w:val="clear"/>
          </w:tcPr>
          <w:p>
            <w:pPr>
              <w:jc w:val="center"/>
            </w:pPr>
            <w:r>
              <w:rPr>
                <w:rFonts w:ascii="Arial" w:hAnsi="Arial"/>
                <w:b/>
                <w:i w:val="0"/>
                <w:color w:val="FFFFFF"/>
                <w:sz w:val="19"/>
              </w:rPr>
              <w:t>Book Share</w:t>
            </w:r>
          </w:p>
        </w:tc>
      </w:tr>
      <w:tr>
        <w:tc>
          <w:tcPr>
            <w:tcW w:type="dxa" w:w="2592"/>
            <w:shd w:fill="EFF6FF" w:val="clear"/>
          </w:tcPr>
          <w:p>
            <w:pPr>
              <w:jc w:val="center"/>
            </w:pPr>
            <w:r>
              <w:rPr>
                <w:rFonts w:ascii="Arial" w:hAnsi="Arial"/>
                <w:b w:val="0"/>
                <w:i w:val="0"/>
                <w:sz w:val="19"/>
              </w:rPr>
              <w:t>Tier 1 — Prime</w:t>
            </w:r>
          </w:p>
        </w:tc>
        <w:tc>
          <w:tcPr>
            <w:tcW w:type="dxa" w:w="1296"/>
            <w:shd w:fill="EFF6FF" w:val="clear"/>
          </w:tcPr>
          <w:p>
            <w:pPr>
              <w:jc w:val="center"/>
            </w:pPr>
            <w:r>
              <w:rPr>
                <w:rFonts w:ascii="Arial" w:hAnsi="Arial"/>
                <w:b w:val="0"/>
                <w:i w:val="0"/>
                <w:sz w:val="19"/>
              </w:rPr>
              <w:t>911</w:t>
            </w:r>
          </w:p>
        </w:tc>
        <w:tc>
          <w:tcPr>
            <w:tcW w:type="dxa" w:w="1440"/>
            <w:shd w:fill="EFF6FF" w:val="clear"/>
          </w:tcPr>
          <w:p>
            <w:pPr>
              <w:jc w:val="center"/>
            </w:pPr>
            <w:r>
              <w:rPr>
                <w:rFonts w:ascii="Arial" w:hAnsi="Arial"/>
                <w:b w:val="0"/>
                <w:i w:val="0"/>
                <w:sz w:val="19"/>
              </w:rPr>
              <w:t>7.7%</w:t>
            </w:r>
          </w:p>
        </w:tc>
        <w:tc>
          <w:tcPr>
            <w:tcW w:type="dxa" w:w="1584"/>
            <w:shd w:fill="EFF6FF" w:val="clear"/>
          </w:tcPr>
          <w:p>
            <w:pPr>
              <w:jc w:val="center"/>
            </w:pPr>
            <w:r>
              <w:rPr>
                <w:rFonts w:ascii="Arial" w:hAnsi="Arial"/>
                <w:b w:val="0"/>
                <w:i w:val="0"/>
                <w:sz w:val="19"/>
              </w:rPr>
              <w:t>₹18,447</w:t>
            </w:r>
          </w:p>
        </w:tc>
        <w:tc>
          <w:tcPr>
            <w:tcW w:type="dxa" w:w="1440"/>
            <w:shd w:fill="EFF6FF" w:val="clear"/>
          </w:tcPr>
          <w:p>
            <w:pPr>
              <w:jc w:val="center"/>
            </w:pPr>
            <w:r>
              <w:rPr>
                <w:rFonts w:ascii="Arial" w:hAnsi="Arial"/>
                <w:b w:val="0"/>
                <w:i w:val="0"/>
                <w:sz w:val="19"/>
              </w:rPr>
              <w:t>₹50,577</w:t>
            </w:r>
          </w:p>
        </w:tc>
        <w:tc>
          <w:tcPr>
            <w:tcW w:type="dxa" w:w="1872"/>
            <w:shd w:fill="EFF6FF" w:val="clear"/>
          </w:tcPr>
          <w:p>
            <w:pPr>
              <w:jc w:val="center"/>
            </w:pPr>
            <w:r>
              <w:rPr>
                <w:rFonts w:ascii="Arial" w:hAnsi="Arial"/>
                <w:b w:val="0"/>
                <w:i w:val="0"/>
                <w:sz w:val="19"/>
              </w:rPr>
              <w:t>₹30,461</w:t>
            </w:r>
          </w:p>
        </w:tc>
        <w:tc>
          <w:tcPr>
            <w:tcW w:type="dxa" w:w="1296"/>
            <w:shd w:fill="EFF6FF" w:val="clear"/>
          </w:tcPr>
          <w:p>
            <w:pPr>
              <w:jc w:val="center"/>
            </w:pPr>
            <w:r>
              <w:rPr>
                <w:rFonts w:ascii="Arial" w:hAnsi="Arial"/>
                <w:b w:val="0"/>
                <w:i w:val="0"/>
                <w:sz w:val="19"/>
              </w:rPr>
              <w:t>32.5%</w:t>
            </w:r>
          </w:p>
        </w:tc>
      </w:tr>
      <w:tr>
        <w:tc>
          <w:tcPr>
            <w:tcW w:type="dxa" w:w="2592"/>
            <w:shd w:fill="FFFFFF" w:val="clear"/>
          </w:tcPr>
          <w:p>
            <w:pPr>
              <w:jc w:val="center"/>
            </w:pPr>
            <w:r>
              <w:rPr>
                <w:rFonts w:ascii="Arial" w:hAnsi="Arial"/>
                <w:b w:val="0"/>
                <w:i w:val="0"/>
                <w:sz w:val="19"/>
              </w:rPr>
              <w:t>Tier 2 — Standard</w:t>
            </w:r>
          </w:p>
        </w:tc>
        <w:tc>
          <w:tcPr>
            <w:tcW w:type="dxa" w:w="1296"/>
            <w:shd w:fill="FFFFFF" w:val="clear"/>
          </w:tcPr>
          <w:p>
            <w:pPr>
              <w:jc w:val="center"/>
            </w:pPr>
            <w:r>
              <w:rPr>
                <w:rFonts w:ascii="Arial" w:hAnsi="Arial"/>
                <w:b w:val="0"/>
                <w:i w:val="0"/>
                <w:sz w:val="19"/>
              </w:rPr>
              <w:t>1,168</w:t>
            </w:r>
          </w:p>
        </w:tc>
        <w:tc>
          <w:tcPr>
            <w:tcW w:type="dxa" w:w="1440"/>
            <w:shd w:fill="FFFFFF" w:val="clear"/>
          </w:tcPr>
          <w:p>
            <w:pPr>
              <w:jc w:val="center"/>
            </w:pPr>
            <w:r>
              <w:rPr>
                <w:rFonts w:ascii="Arial" w:hAnsi="Arial"/>
                <w:b w:val="0"/>
                <w:i w:val="0"/>
                <w:sz w:val="19"/>
              </w:rPr>
              <w:t>14.4%</w:t>
            </w:r>
          </w:p>
        </w:tc>
        <w:tc>
          <w:tcPr>
            <w:tcW w:type="dxa" w:w="1584"/>
            <w:shd w:fill="FFFFFF" w:val="clear"/>
          </w:tcPr>
          <w:p>
            <w:pPr>
              <w:jc w:val="center"/>
            </w:pPr>
            <w:r>
              <w:rPr>
                <w:rFonts w:ascii="Arial" w:hAnsi="Arial"/>
                <w:b w:val="0"/>
                <w:i w:val="0"/>
                <w:sz w:val="19"/>
              </w:rPr>
              <w:t>₹37,680</w:t>
            </w:r>
          </w:p>
        </w:tc>
        <w:tc>
          <w:tcPr>
            <w:tcW w:type="dxa" w:w="1440"/>
            <w:shd w:fill="FFFFFF" w:val="clear"/>
          </w:tcPr>
          <w:p>
            <w:pPr>
              <w:jc w:val="center"/>
            </w:pPr>
            <w:r>
              <w:rPr>
                <w:rFonts w:ascii="Arial" w:hAnsi="Arial"/>
                <w:b w:val="0"/>
                <w:i w:val="0"/>
                <w:sz w:val="19"/>
              </w:rPr>
              <w:t>₹61,992</w:t>
            </w:r>
          </w:p>
        </w:tc>
        <w:tc>
          <w:tcPr>
            <w:tcW w:type="dxa" w:w="1872"/>
            <w:shd w:fill="FFFFFF" w:val="clear"/>
          </w:tcPr>
          <w:p>
            <w:pPr>
              <w:jc w:val="center"/>
            </w:pPr>
            <w:r>
              <w:rPr>
                <w:rFonts w:ascii="Arial" w:hAnsi="Arial"/>
                <w:b w:val="0"/>
                <w:i w:val="0"/>
                <w:sz w:val="19"/>
              </w:rPr>
              <w:t>₹22,671</w:t>
            </w:r>
          </w:p>
        </w:tc>
        <w:tc>
          <w:tcPr>
            <w:tcW w:type="dxa" w:w="1296"/>
            <w:shd w:fill="FFFFFF" w:val="clear"/>
          </w:tcPr>
          <w:p>
            <w:pPr>
              <w:jc w:val="center"/>
            </w:pPr>
            <w:r>
              <w:rPr>
                <w:rFonts w:ascii="Arial" w:hAnsi="Arial"/>
                <w:b w:val="0"/>
                <w:i w:val="0"/>
                <w:sz w:val="19"/>
              </w:rPr>
              <w:t>37.9%</w:t>
            </w:r>
          </w:p>
        </w:tc>
      </w:tr>
      <w:tr>
        <w:tc>
          <w:tcPr>
            <w:tcW w:type="dxa" w:w="2592"/>
            <w:shd w:fill="EFF6FF" w:val="clear"/>
          </w:tcPr>
          <w:p>
            <w:pPr>
              <w:jc w:val="center"/>
            </w:pPr>
            <w:r>
              <w:rPr>
                <w:rFonts w:ascii="Arial" w:hAnsi="Arial"/>
                <w:b w:val="0"/>
                <w:i w:val="0"/>
                <w:sz w:val="19"/>
              </w:rPr>
              <w:t>Tier 3 — High Risk</w:t>
            </w:r>
          </w:p>
        </w:tc>
        <w:tc>
          <w:tcPr>
            <w:tcW w:type="dxa" w:w="1296"/>
            <w:shd w:fill="EFF6FF" w:val="clear"/>
          </w:tcPr>
          <w:p>
            <w:pPr>
              <w:jc w:val="center"/>
            </w:pPr>
            <w:r>
              <w:rPr>
                <w:rFonts w:ascii="Arial" w:hAnsi="Arial"/>
                <w:b w:val="0"/>
                <w:i w:val="0"/>
                <w:sz w:val="19"/>
              </w:rPr>
              <w:t>921</w:t>
            </w:r>
          </w:p>
        </w:tc>
        <w:tc>
          <w:tcPr>
            <w:tcW w:type="dxa" w:w="1440"/>
            <w:shd w:fill="EFF6FF" w:val="clear"/>
          </w:tcPr>
          <w:p>
            <w:pPr>
              <w:jc w:val="center"/>
            </w:pPr>
            <w:r>
              <w:rPr>
                <w:rFonts w:ascii="Arial" w:hAnsi="Arial"/>
                <w:b w:val="0"/>
                <w:i w:val="0"/>
                <w:sz w:val="19"/>
              </w:rPr>
              <w:t>24.4%</w:t>
            </w:r>
          </w:p>
        </w:tc>
        <w:tc>
          <w:tcPr>
            <w:tcW w:type="dxa" w:w="1584"/>
            <w:shd w:fill="EFF6FF" w:val="clear"/>
          </w:tcPr>
          <w:p>
            <w:pPr>
              <w:jc w:val="center"/>
            </w:pPr>
            <w:r>
              <w:rPr>
                <w:rFonts w:ascii="Arial" w:hAnsi="Arial"/>
                <w:b w:val="0"/>
                <w:i w:val="0"/>
                <w:sz w:val="19"/>
              </w:rPr>
              <w:t>₹61,433</w:t>
            </w:r>
          </w:p>
        </w:tc>
        <w:tc>
          <w:tcPr>
            <w:tcW w:type="dxa" w:w="1440"/>
            <w:shd w:fill="EFF6FF" w:val="clear"/>
          </w:tcPr>
          <w:p>
            <w:pPr>
              <w:jc w:val="center"/>
            </w:pPr>
            <w:r>
              <w:rPr>
                <w:rFonts w:ascii="Arial" w:hAnsi="Arial"/>
                <w:b w:val="0"/>
                <w:i w:val="0"/>
                <w:sz w:val="19"/>
              </w:rPr>
              <w:t>₹97,676</w:t>
            </w:r>
          </w:p>
        </w:tc>
        <w:tc>
          <w:tcPr>
            <w:tcW w:type="dxa" w:w="1872"/>
            <w:shd w:fill="EFF6FF" w:val="clear"/>
          </w:tcPr>
          <w:p>
            <w:pPr>
              <w:jc w:val="center"/>
            </w:pPr>
            <w:r>
              <w:rPr>
                <w:rFonts w:ascii="Arial" w:hAnsi="Arial"/>
                <w:b w:val="0"/>
                <w:i w:val="0"/>
                <w:sz w:val="19"/>
              </w:rPr>
              <w:t>₹34,600</w:t>
            </w:r>
          </w:p>
        </w:tc>
        <w:tc>
          <w:tcPr>
            <w:tcW w:type="dxa" w:w="1296"/>
            <w:shd w:fill="EFF6FF" w:val="clear"/>
          </w:tcPr>
          <w:p>
            <w:pPr>
              <w:jc w:val="center"/>
            </w:pPr>
            <w:r>
              <w:rPr>
                <w:rFonts w:ascii="Arial" w:hAnsi="Arial"/>
                <w:b w:val="0"/>
                <w:i w:val="0"/>
                <w:sz w:val="19"/>
              </w:rPr>
              <w:t>29.7%</w:t>
            </w:r>
          </w:p>
        </w:tc>
      </w:tr>
    </w:tbl>
    <w:p>
      <w:pPr>
        <w:spacing w:after="80"/>
      </w:pPr>
    </w:p>
    <w:p>
      <w:pPr>
        <w:spacing w:before="120" w:after="120"/>
        <w:ind w:left="360" w:right="360"/>
        <w:shd w:fill="ECFDF5" w:val="clear"/>
      </w:pPr>
      <w:r>
        <w:rPr>
          <w:rFonts w:ascii="Arial" w:hAnsi="Arial"/>
          <w:b w:val="0"/>
          <w:i/>
          <w:color w:val="064E3B"/>
          <w:sz w:val="21"/>
        </w:rPr>
        <w:t>Contrarian Insight: Despite carrying the highest default rate, Tier 3 customers generate the highest risk-adjusted return per loan (₹34,600) due to significantly higher interest yields on larger SME loans. This means outright Tier 3 contraction is not optimal — rather, risk-adjusted optimization through tighter underwriting and selective pricing is the correct strategic lever.</w:t>
      </w:r>
    </w:p>
    <w:p>
      <w:pPr>
        <w:jc w:val="center"/>
      </w:pPr>
      <w:r>
        <w:drawing>
          <wp:inline xmlns:a="http://schemas.openxmlformats.org/drawingml/2006/main" xmlns:pic="http://schemas.openxmlformats.org/drawingml/2006/picture">
            <wp:extent cx="5669280" cy="2301096"/>
            <wp:docPr id="1" name="Picture 1"/>
            <wp:cNvGraphicFramePr>
              <a:graphicFrameLocks noChangeAspect="1"/>
            </wp:cNvGraphicFramePr>
            <a:graphic>
              <a:graphicData uri="http://schemas.openxmlformats.org/drawingml/2006/picture">
                <pic:pic>
                  <pic:nvPicPr>
                    <pic:cNvPr id="0" name="chart1_risk_segmentation.png"/>
                    <pic:cNvPicPr/>
                  </pic:nvPicPr>
                  <pic:blipFill>
                    <a:blip r:embed="rId9"/>
                    <a:stretch>
                      <a:fillRect/>
                    </a:stretch>
                  </pic:blipFill>
                  <pic:spPr>
                    <a:xfrm>
                      <a:off x="0" y="0"/>
                      <a:ext cx="5669280" cy="2301096"/>
                    </a:xfrm>
                    <a:prstGeom prst="rect"/>
                  </pic:spPr>
                </pic:pic>
              </a:graphicData>
            </a:graphic>
          </wp:inline>
        </w:drawing>
      </w:r>
    </w:p>
    <w:p>
      <w:pPr>
        <w:spacing w:after="160"/>
        <w:jc w:val="center"/>
      </w:pPr>
      <w:r>
        <w:rPr>
          <w:rFonts w:ascii="Arial" w:hAnsi="Arial"/>
          <w:b w:val="0"/>
          <w:i/>
          <w:color w:val="646464"/>
          <w:sz w:val="18"/>
        </w:rPr>
        <w:t>Figure 1: Risk Segmentation — Default Rate by Tier and Credit Band × Employment Heatmap</w:t>
      </w:r>
    </w:p>
    <w:p>
      <w:pPr>
        <w:spacing w:before="280" w:after="80"/>
        <w:pBdr>
          <w:bottom w:val="single" w:sz="6" w:space="1" w:color="1E3A8A"/>
        </w:pBdr>
      </w:pPr>
      <w:r>
        <w:rPr>
          <w:rFonts w:ascii="Arial" w:hAnsi="Arial"/>
          <w:b/>
          <w:i w:val="0"/>
          <w:color w:val="1E3A8A"/>
          <w:sz w:val="26"/>
        </w:rPr>
        <w:t>4. Acquisition Channel Analysis</w:t>
      </w:r>
    </w:p>
    <w:p>
      <w:pPr>
        <w:spacing w:after="100" w:before="0"/>
      </w:pPr>
      <w:r>
        <w:rPr>
          <w:rFonts w:ascii="Arial" w:hAnsi="Arial"/>
          <w:b w:val="0"/>
          <w:i w:val="0"/>
          <w:sz w:val="21"/>
        </w:rPr>
        <w:t>Channel quality varies across five acquisition sources. Each channel is evaluated on default rate, CAC, net revenue per customer, and approval turnaround.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E3A8A" w:val="clear"/>
          </w:tcPr>
          <w:p>
            <w:pPr>
              <w:jc w:val="center"/>
            </w:pPr>
            <w:r>
              <w:rPr>
                <w:rFonts w:ascii="Arial" w:hAnsi="Arial"/>
                <w:b/>
                <w:i w:val="0"/>
                <w:color w:val="FFFFFF"/>
                <w:sz w:val="19"/>
              </w:rPr>
              <w:t>Channel</w:t>
            </w:r>
          </w:p>
        </w:tc>
        <w:tc>
          <w:tcPr>
            <w:tcW w:type="dxa" w:w="1584"/>
            <w:shd w:fill="1E3A8A" w:val="clear"/>
          </w:tcPr>
          <w:p>
            <w:pPr>
              <w:jc w:val="center"/>
            </w:pPr>
            <w:r>
              <w:rPr>
                <w:rFonts w:ascii="Arial" w:hAnsi="Arial"/>
                <w:b/>
                <w:i w:val="0"/>
                <w:color w:val="FFFFFF"/>
                <w:sz w:val="19"/>
              </w:rPr>
              <w:t>Default Rate</w:t>
            </w:r>
          </w:p>
        </w:tc>
        <w:tc>
          <w:tcPr>
            <w:tcW w:type="dxa" w:w="1440"/>
            <w:shd w:fill="1E3A8A" w:val="clear"/>
          </w:tcPr>
          <w:p>
            <w:pPr>
              <w:jc w:val="center"/>
            </w:pPr>
            <w:r>
              <w:rPr>
                <w:rFonts w:ascii="Arial" w:hAnsi="Arial"/>
                <w:b/>
                <w:i w:val="0"/>
                <w:color w:val="FFFFFF"/>
                <w:sz w:val="19"/>
              </w:rPr>
              <w:t>Avg CAC</w:t>
            </w:r>
          </w:p>
        </w:tc>
        <w:tc>
          <w:tcPr>
            <w:tcW w:type="dxa" w:w="2160"/>
            <w:shd w:fill="1E3A8A" w:val="clear"/>
          </w:tcPr>
          <w:p>
            <w:pPr>
              <w:jc w:val="center"/>
            </w:pPr>
            <w:r>
              <w:rPr>
                <w:rFonts w:ascii="Arial" w:hAnsi="Arial"/>
                <w:b/>
                <w:i w:val="0"/>
                <w:color w:val="FFFFFF"/>
                <w:sz w:val="19"/>
              </w:rPr>
              <w:t>Avg Gross Revenue</w:t>
            </w:r>
          </w:p>
        </w:tc>
        <w:tc>
          <w:tcPr>
            <w:tcW w:type="dxa" w:w="2160"/>
            <w:shd w:fill="1E3A8A" w:val="clear"/>
          </w:tcPr>
          <w:p>
            <w:pPr>
              <w:jc w:val="center"/>
            </w:pPr>
            <w:r>
              <w:rPr>
                <w:rFonts w:ascii="Arial" w:hAnsi="Arial"/>
                <w:b/>
                <w:i w:val="0"/>
                <w:color w:val="FFFFFF"/>
                <w:sz w:val="19"/>
              </w:rPr>
              <w:t>Net Rev/Customer</w:t>
            </w:r>
          </w:p>
        </w:tc>
        <w:tc>
          <w:tcPr>
            <w:tcW w:type="dxa" w:w="1296"/>
            <w:shd w:fill="1E3A8A" w:val="clear"/>
          </w:tcPr>
          <w:p>
            <w:pPr>
              <w:jc w:val="center"/>
            </w:pPr>
            <w:r>
              <w:rPr>
                <w:rFonts w:ascii="Arial" w:hAnsi="Arial"/>
                <w:b/>
                <w:i w:val="0"/>
                <w:color w:val="FFFFFF"/>
                <w:sz w:val="19"/>
              </w:rPr>
              <w:t>TAT</w:t>
            </w:r>
          </w:p>
        </w:tc>
      </w:tr>
      <w:tr>
        <w:tc>
          <w:tcPr>
            <w:tcW w:type="dxa" w:w="2160"/>
            <w:shd w:fill="EFF6FF" w:val="clear"/>
          </w:tcPr>
          <w:p>
            <w:pPr>
              <w:jc w:val="center"/>
            </w:pPr>
            <w:r>
              <w:rPr>
                <w:rFonts w:ascii="Arial" w:hAnsi="Arial"/>
                <w:b w:val="0"/>
                <w:i w:val="0"/>
                <w:sz w:val="19"/>
              </w:rPr>
              <w:t>Bank Referral</w:t>
            </w:r>
          </w:p>
        </w:tc>
        <w:tc>
          <w:tcPr>
            <w:tcW w:type="dxa" w:w="1584"/>
            <w:shd w:fill="EFF6FF" w:val="clear"/>
          </w:tcPr>
          <w:p>
            <w:pPr>
              <w:jc w:val="center"/>
            </w:pPr>
            <w:r>
              <w:rPr>
                <w:rFonts w:ascii="Arial" w:hAnsi="Arial"/>
                <w:b w:val="0"/>
                <w:i w:val="0"/>
                <w:sz w:val="19"/>
              </w:rPr>
              <w:t>10.0%</w:t>
            </w:r>
          </w:p>
        </w:tc>
        <w:tc>
          <w:tcPr>
            <w:tcW w:type="dxa" w:w="1440"/>
            <w:shd w:fill="EFF6FF" w:val="clear"/>
          </w:tcPr>
          <w:p>
            <w:pPr>
              <w:jc w:val="center"/>
            </w:pPr>
            <w:r>
              <w:rPr>
                <w:rFonts w:ascii="Arial" w:hAnsi="Arial"/>
                <w:b w:val="0"/>
                <w:i w:val="0"/>
                <w:sz w:val="19"/>
              </w:rPr>
              <w:t>₹650</w:t>
            </w:r>
          </w:p>
        </w:tc>
        <w:tc>
          <w:tcPr>
            <w:tcW w:type="dxa" w:w="2160"/>
            <w:shd w:fill="EFF6FF" w:val="clear"/>
          </w:tcPr>
          <w:p>
            <w:pPr>
              <w:jc w:val="center"/>
            </w:pPr>
            <w:r>
              <w:rPr>
                <w:rFonts w:ascii="Arial" w:hAnsi="Arial"/>
                <w:b w:val="0"/>
                <w:i w:val="0"/>
                <w:sz w:val="19"/>
              </w:rPr>
              <w:t>₹66,694</w:t>
            </w:r>
          </w:p>
        </w:tc>
        <w:tc>
          <w:tcPr>
            <w:tcW w:type="dxa" w:w="2160"/>
            <w:shd w:fill="EFF6FF" w:val="clear"/>
          </w:tcPr>
          <w:p>
            <w:pPr>
              <w:jc w:val="center"/>
            </w:pPr>
            <w:r>
              <w:rPr>
                <w:rFonts w:ascii="Arial" w:hAnsi="Arial"/>
                <w:b w:val="0"/>
                <w:i w:val="0"/>
                <w:sz w:val="19"/>
              </w:rPr>
              <w:t>₹52,353</w:t>
            </w:r>
          </w:p>
        </w:tc>
        <w:tc>
          <w:tcPr>
            <w:tcW w:type="dxa" w:w="1296"/>
            <w:shd w:fill="EFF6FF" w:val="clear"/>
          </w:tcPr>
          <w:p>
            <w:pPr>
              <w:jc w:val="center"/>
            </w:pPr>
            <w:r>
              <w:rPr>
                <w:rFonts w:ascii="Arial" w:hAnsi="Arial"/>
                <w:b w:val="0"/>
                <w:i w:val="0"/>
                <w:sz w:val="19"/>
              </w:rPr>
              <w:t>14.9 hrs</w:t>
            </w:r>
          </w:p>
        </w:tc>
      </w:tr>
      <w:tr>
        <w:tc>
          <w:tcPr>
            <w:tcW w:type="dxa" w:w="2160"/>
            <w:shd w:fill="FFFFFF" w:val="clear"/>
          </w:tcPr>
          <w:p>
            <w:pPr>
              <w:jc w:val="center"/>
            </w:pPr>
            <w:r>
              <w:rPr>
                <w:rFonts w:ascii="Arial" w:hAnsi="Arial"/>
                <w:b w:val="0"/>
                <w:i w:val="0"/>
                <w:sz w:val="19"/>
              </w:rPr>
              <w:t>Organic / Direct</w:t>
            </w:r>
          </w:p>
        </w:tc>
        <w:tc>
          <w:tcPr>
            <w:tcW w:type="dxa" w:w="1584"/>
            <w:shd w:fill="FFFFFF" w:val="clear"/>
          </w:tcPr>
          <w:p>
            <w:pPr>
              <w:jc w:val="center"/>
            </w:pPr>
            <w:r>
              <w:rPr>
                <w:rFonts w:ascii="Arial" w:hAnsi="Arial"/>
                <w:b w:val="0"/>
                <w:i w:val="0"/>
                <w:sz w:val="19"/>
              </w:rPr>
              <w:t>13.0%</w:t>
            </w:r>
          </w:p>
        </w:tc>
        <w:tc>
          <w:tcPr>
            <w:tcW w:type="dxa" w:w="1440"/>
            <w:shd w:fill="FFFFFF" w:val="clear"/>
          </w:tcPr>
          <w:p>
            <w:pPr>
              <w:jc w:val="center"/>
            </w:pPr>
            <w:r>
              <w:rPr>
                <w:rFonts w:ascii="Arial" w:hAnsi="Arial"/>
                <w:b w:val="0"/>
                <w:i w:val="0"/>
                <w:sz w:val="19"/>
              </w:rPr>
              <w:t>₹494</w:t>
            </w:r>
          </w:p>
        </w:tc>
        <w:tc>
          <w:tcPr>
            <w:tcW w:type="dxa" w:w="2160"/>
            <w:shd w:fill="FFFFFF" w:val="clear"/>
          </w:tcPr>
          <w:p>
            <w:pPr>
              <w:jc w:val="center"/>
            </w:pPr>
            <w:r>
              <w:rPr>
                <w:rFonts w:ascii="Arial" w:hAnsi="Arial"/>
                <w:b w:val="0"/>
                <w:i w:val="0"/>
                <w:sz w:val="19"/>
              </w:rPr>
              <w:t>₹68,180</w:t>
            </w:r>
          </w:p>
        </w:tc>
        <w:tc>
          <w:tcPr>
            <w:tcW w:type="dxa" w:w="2160"/>
            <w:shd w:fill="FFFFFF" w:val="clear"/>
          </w:tcPr>
          <w:p>
            <w:pPr>
              <w:jc w:val="center"/>
            </w:pPr>
            <w:r>
              <w:rPr>
                <w:rFonts w:ascii="Arial" w:hAnsi="Arial"/>
                <w:b w:val="0"/>
                <w:i w:val="0"/>
                <w:sz w:val="19"/>
              </w:rPr>
              <w:t>₹52,790</w:t>
            </w:r>
          </w:p>
        </w:tc>
        <w:tc>
          <w:tcPr>
            <w:tcW w:type="dxa" w:w="1296"/>
            <w:shd w:fill="FFFFFF" w:val="clear"/>
          </w:tcPr>
          <w:p>
            <w:pPr>
              <w:jc w:val="center"/>
            </w:pPr>
            <w:r>
              <w:rPr>
                <w:rFonts w:ascii="Arial" w:hAnsi="Arial"/>
                <w:b w:val="0"/>
                <w:i w:val="0"/>
                <w:sz w:val="19"/>
              </w:rPr>
              <w:t>6.5 hrs</w:t>
            </w:r>
          </w:p>
        </w:tc>
      </w:tr>
      <w:tr>
        <w:tc>
          <w:tcPr>
            <w:tcW w:type="dxa" w:w="2160"/>
            <w:shd w:fill="EFF6FF" w:val="clear"/>
          </w:tcPr>
          <w:p>
            <w:pPr>
              <w:jc w:val="center"/>
            </w:pPr>
            <w:r>
              <w:rPr>
                <w:rFonts w:ascii="Arial" w:hAnsi="Arial"/>
                <w:b w:val="0"/>
                <w:i w:val="0"/>
                <w:sz w:val="19"/>
              </w:rPr>
              <w:t>Fintech Partner</w:t>
            </w:r>
          </w:p>
        </w:tc>
        <w:tc>
          <w:tcPr>
            <w:tcW w:type="dxa" w:w="1584"/>
            <w:shd w:fill="EFF6FF" w:val="clear"/>
          </w:tcPr>
          <w:p>
            <w:pPr>
              <w:jc w:val="center"/>
            </w:pPr>
            <w:r>
              <w:rPr>
                <w:rFonts w:ascii="Arial" w:hAnsi="Arial"/>
                <w:b w:val="0"/>
                <w:i w:val="0"/>
                <w:sz w:val="19"/>
              </w:rPr>
              <w:t>14.0%</w:t>
            </w:r>
          </w:p>
        </w:tc>
        <w:tc>
          <w:tcPr>
            <w:tcW w:type="dxa" w:w="1440"/>
            <w:shd w:fill="EFF6FF" w:val="clear"/>
          </w:tcPr>
          <w:p>
            <w:pPr>
              <w:jc w:val="center"/>
            </w:pPr>
            <w:r>
              <w:rPr>
                <w:rFonts w:ascii="Arial" w:hAnsi="Arial"/>
                <w:b w:val="0"/>
                <w:i w:val="0"/>
                <w:sz w:val="19"/>
              </w:rPr>
              <w:t>₹1,649</w:t>
            </w:r>
          </w:p>
        </w:tc>
        <w:tc>
          <w:tcPr>
            <w:tcW w:type="dxa" w:w="2160"/>
            <w:shd w:fill="EFF6FF" w:val="clear"/>
          </w:tcPr>
          <w:p>
            <w:pPr>
              <w:jc w:val="center"/>
            </w:pPr>
            <w:r>
              <w:rPr>
                <w:rFonts w:ascii="Arial" w:hAnsi="Arial"/>
                <w:b w:val="0"/>
                <w:i w:val="0"/>
                <w:sz w:val="19"/>
              </w:rPr>
              <w:t>₹67,957</w:t>
            </w:r>
          </w:p>
        </w:tc>
        <w:tc>
          <w:tcPr>
            <w:tcW w:type="dxa" w:w="2160"/>
            <w:shd w:fill="EFF6FF" w:val="clear"/>
          </w:tcPr>
          <w:p>
            <w:pPr>
              <w:jc w:val="center"/>
            </w:pPr>
            <w:r>
              <w:rPr>
                <w:rFonts w:ascii="Arial" w:hAnsi="Arial"/>
                <w:b w:val="0"/>
                <w:i w:val="0"/>
                <w:sz w:val="19"/>
              </w:rPr>
              <w:t>₹51,621</w:t>
            </w:r>
          </w:p>
        </w:tc>
        <w:tc>
          <w:tcPr>
            <w:tcW w:type="dxa" w:w="1296"/>
            <w:shd w:fill="EFF6FF" w:val="clear"/>
          </w:tcPr>
          <w:p>
            <w:pPr>
              <w:jc w:val="center"/>
            </w:pPr>
            <w:r>
              <w:rPr>
                <w:rFonts w:ascii="Arial" w:hAnsi="Arial"/>
                <w:b w:val="0"/>
                <w:i w:val="0"/>
                <w:sz w:val="19"/>
              </w:rPr>
              <w:t>2.9 hrs</w:t>
            </w:r>
          </w:p>
        </w:tc>
      </w:tr>
      <w:tr>
        <w:tc>
          <w:tcPr>
            <w:tcW w:type="dxa" w:w="2160"/>
            <w:shd w:fill="FFFFFF" w:val="clear"/>
          </w:tcPr>
          <w:p>
            <w:pPr>
              <w:jc w:val="center"/>
            </w:pPr>
            <w:r>
              <w:rPr>
                <w:rFonts w:ascii="Arial" w:hAnsi="Arial"/>
                <w:b w:val="0"/>
                <w:i w:val="0"/>
                <w:sz w:val="19"/>
              </w:rPr>
              <w:t>Digital Ads</w:t>
            </w:r>
          </w:p>
        </w:tc>
        <w:tc>
          <w:tcPr>
            <w:tcW w:type="dxa" w:w="1584"/>
            <w:shd w:fill="FFFFFF" w:val="clear"/>
          </w:tcPr>
          <w:p>
            <w:pPr>
              <w:jc w:val="center"/>
            </w:pPr>
            <w:r>
              <w:rPr>
                <w:rFonts w:ascii="Arial" w:hAnsi="Arial"/>
                <w:b w:val="0"/>
                <w:i w:val="0"/>
                <w:sz w:val="19"/>
              </w:rPr>
              <w:t>18.0%</w:t>
            </w:r>
          </w:p>
        </w:tc>
        <w:tc>
          <w:tcPr>
            <w:tcW w:type="dxa" w:w="1440"/>
            <w:shd w:fill="FFFFFF" w:val="clear"/>
          </w:tcPr>
          <w:p>
            <w:pPr>
              <w:jc w:val="center"/>
            </w:pPr>
            <w:r>
              <w:rPr>
                <w:rFonts w:ascii="Arial" w:hAnsi="Arial"/>
                <w:b w:val="0"/>
                <w:i w:val="0"/>
                <w:sz w:val="19"/>
              </w:rPr>
              <w:t>₹2,012</w:t>
            </w:r>
          </w:p>
        </w:tc>
        <w:tc>
          <w:tcPr>
            <w:tcW w:type="dxa" w:w="2160"/>
            <w:shd w:fill="FFFFFF" w:val="clear"/>
          </w:tcPr>
          <w:p>
            <w:pPr>
              <w:jc w:val="center"/>
            </w:pPr>
            <w:r>
              <w:rPr>
                <w:rFonts w:ascii="Arial" w:hAnsi="Arial"/>
                <w:b w:val="0"/>
                <w:i w:val="0"/>
                <w:sz w:val="19"/>
              </w:rPr>
              <w:t>₹75,897</w:t>
            </w:r>
          </w:p>
        </w:tc>
        <w:tc>
          <w:tcPr>
            <w:tcW w:type="dxa" w:w="2160"/>
            <w:shd w:fill="FFFFFF" w:val="clear"/>
          </w:tcPr>
          <w:p>
            <w:pPr>
              <w:jc w:val="center"/>
            </w:pPr>
            <w:r>
              <w:rPr>
                <w:rFonts w:ascii="Arial" w:hAnsi="Arial"/>
                <w:b w:val="0"/>
                <w:i w:val="0"/>
                <w:sz w:val="19"/>
              </w:rPr>
              <w:t>₹56,220</w:t>
            </w:r>
          </w:p>
        </w:tc>
        <w:tc>
          <w:tcPr>
            <w:tcW w:type="dxa" w:w="1296"/>
            <w:shd w:fill="FFFFFF" w:val="clear"/>
          </w:tcPr>
          <w:p>
            <w:pPr>
              <w:jc w:val="center"/>
            </w:pPr>
            <w:r>
              <w:rPr>
                <w:rFonts w:ascii="Arial" w:hAnsi="Arial"/>
                <w:b w:val="0"/>
                <w:i w:val="0"/>
                <w:sz w:val="19"/>
              </w:rPr>
              <w:t>13.4 hrs</w:t>
            </w:r>
          </w:p>
        </w:tc>
      </w:tr>
      <w:tr>
        <w:tc>
          <w:tcPr>
            <w:tcW w:type="dxa" w:w="2160"/>
            <w:shd w:fill="EFF6FF" w:val="clear"/>
          </w:tcPr>
          <w:p>
            <w:pPr>
              <w:jc w:val="center"/>
            </w:pPr>
            <w:r>
              <w:rPr>
                <w:rFonts w:ascii="Arial" w:hAnsi="Arial"/>
                <w:b w:val="0"/>
                <w:i w:val="0"/>
                <w:sz w:val="19"/>
              </w:rPr>
              <w:t>DSA / Agent</w:t>
            </w:r>
          </w:p>
        </w:tc>
        <w:tc>
          <w:tcPr>
            <w:tcW w:type="dxa" w:w="1584"/>
            <w:shd w:fill="EFF6FF" w:val="clear"/>
          </w:tcPr>
          <w:p>
            <w:pPr>
              <w:jc w:val="center"/>
            </w:pPr>
            <w:r>
              <w:rPr>
                <w:rFonts w:ascii="Arial" w:hAnsi="Arial"/>
                <w:b w:val="0"/>
                <w:i w:val="0"/>
                <w:sz w:val="19"/>
              </w:rPr>
              <w:t>19.0%</w:t>
            </w:r>
          </w:p>
        </w:tc>
        <w:tc>
          <w:tcPr>
            <w:tcW w:type="dxa" w:w="1440"/>
            <w:shd w:fill="EFF6FF" w:val="clear"/>
          </w:tcPr>
          <w:p>
            <w:pPr>
              <w:jc w:val="center"/>
            </w:pPr>
            <w:r>
              <w:rPr>
                <w:rFonts w:ascii="Arial" w:hAnsi="Arial"/>
                <w:b w:val="0"/>
                <w:i w:val="0"/>
                <w:sz w:val="19"/>
              </w:rPr>
              <w:t>₹2,791</w:t>
            </w:r>
          </w:p>
        </w:tc>
        <w:tc>
          <w:tcPr>
            <w:tcW w:type="dxa" w:w="2160"/>
            <w:shd w:fill="EFF6FF" w:val="clear"/>
          </w:tcPr>
          <w:p>
            <w:pPr>
              <w:jc w:val="center"/>
            </w:pPr>
            <w:r>
              <w:rPr>
                <w:rFonts w:ascii="Arial" w:hAnsi="Arial"/>
                <w:b w:val="0"/>
                <w:i w:val="0"/>
                <w:sz w:val="19"/>
              </w:rPr>
              <w:t>₹66,236</w:t>
            </w:r>
          </w:p>
        </w:tc>
        <w:tc>
          <w:tcPr>
            <w:tcW w:type="dxa" w:w="2160"/>
            <w:shd w:fill="EFF6FF" w:val="clear"/>
          </w:tcPr>
          <w:p>
            <w:pPr>
              <w:jc w:val="center"/>
            </w:pPr>
            <w:r>
              <w:rPr>
                <w:rFonts w:ascii="Arial" w:hAnsi="Arial"/>
                <w:b w:val="0"/>
                <w:i w:val="0"/>
                <w:sz w:val="19"/>
              </w:rPr>
              <w:t>₹48,515</w:t>
            </w:r>
          </w:p>
        </w:tc>
        <w:tc>
          <w:tcPr>
            <w:tcW w:type="dxa" w:w="1296"/>
            <w:shd w:fill="EFF6FF" w:val="clear"/>
          </w:tcPr>
          <w:p>
            <w:pPr>
              <w:jc w:val="center"/>
            </w:pPr>
            <w:r>
              <w:rPr>
                <w:rFonts w:ascii="Arial" w:hAnsi="Arial"/>
                <w:b w:val="0"/>
                <w:i w:val="0"/>
                <w:sz w:val="19"/>
              </w:rPr>
              <w:t>29.6 hrs</w:t>
            </w:r>
          </w:p>
        </w:tc>
      </w:tr>
    </w:tbl>
    <w:p>
      <w:pPr>
        <w:spacing w:after="80"/>
      </w:pPr>
    </w:p>
    <w:p>
      <w:pPr>
        <w:spacing w:before="120" w:after="120"/>
        <w:ind w:left="360" w:right="360"/>
        <w:shd w:fill="ECFDF5" w:val="clear"/>
      </w:pPr>
      <w:r>
        <w:rPr>
          <w:rFonts w:ascii="Arial" w:hAnsi="Arial"/>
          <w:b w:val="0"/>
          <w:i/>
          <w:color w:val="064E3B"/>
          <w:sz w:val="21"/>
        </w:rPr>
        <w:t>Contrarian Insight: Digital Ads, despite a high 18% default rate, generates the highest gross revenue per customer (₹75,897) and strongest net revenue (₹56,220) — exceeding even Bank Referral. This indicates that risk-adjusted optimization rather than outright Digital Ads contraction is likely to maximize long-term portfolio profitability. The correct action is tighter underwriting criteria within the channel, not volume reduction.</w:t>
      </w:r>
    </w:p>
    <w:p>
      <w:pPr>
        <w:jc w:val="center"/>
      </w:pPr>
      <w:r>
        <w:drawing>
          <wp:inline xmlns:a="http://schemas.openxmlformats.org/drawingml/2006/main" xmlns:pic="http://schemas.openxmlformats.org/drawingml/2006/picture">
            <wp:extent cx="5669280" cy="4030760"/>
            <wp:docPr id="2" name="Picture 2"/>
            <wp:cNvGraphicFramePr>
              <a:graphicFrameLocks noChangeAspect="1"/>
            </wp:cNvGraphicFramePr>
            <a:graphic>
              <a:graphicData uri="http://schemas.openxmlformats.org/drawingml/2006/picture">
                <pic:pic>
                  <pic:nvPicPr>
                    <pic:cNvPr id="0" name="chart2_channel_analysis.png"/>
                    <pic:cNvPicPr/>
                  </pic:nvPicPr>
                  <pic:blipFill>
                    <a:blip r:embed="rId10"/>
                    <a:stretch>
                      <a:fillRect/>
                    </a:stretch>
                  </pic:blipFill>
                  <pic:spPr>
                    <a:xfrm>
                      <a:off x="0" y="0"/>
                      <a:ext cx="5669280" cy="4030760"/>
                    </a:xfrm>
                    <a:prstGeom prst="rect"/>
                  </pic:spPr>
                </pic:pic>
              </a:graphicData>
            </a:graphic>
          </wp:inline>
        </w:drawing>
      </w:r>
    </w:p>
    <w:p>
      <w:pPr>
        <w:spacing w:after="160"/>
        <w:jc w:val="center"/>
      </w:pPr>
      <w:r>
        <w:rPr>
          <w:rFonts w:ascii="Arial" w:hAnsi="Arial"/>
          <w:b w:val="0"/>
          <w:i/>
          <w:color w:val="646464"/>
          <w:sz w:val="18"/>
        </w:rPr>
        <w:t>Figure 2: Channel Analysis — Default Rate, CAC, Net Revenue, and CAC vs Default Scatter</w:t>
      </w:r>
    </w:p>
    <w:p>
      <w:pPr>
        <w:spacing w:before="280" w:after="80"/>
        <w:pBdr>
          <w:bottom w:val="single" w:sz="6" w:space="1" w:color="1E3A8A"/>
        </w:pBdr>
      </w:pPr>
      <w:r>
        <w:rPr>
          <w:rFonts w:ascii="Arial" w:hAnsi="Arial"/>
          <w:b/>
          <w:i w:val="0"/>
          <w:color w:val="1E3A8A"/>
          <w:sz w:val="26"/>
        </w:rPr>
        <w:t>5. Vintage Cohort Analysis</w:t>
      </w:r>
    </w:p>
    <w:p>
      <w:pPr>
        <w:spacing w:after="100" w:before="0"/>
      </w:pPr>
      <w:r>
        <w:rPr>
          <w:rFonts w:ascii="Arial" w:hAnsi="Arial"/>
          <w:b w:val="0"/>
          <w:i w:val="0"/>
          <w:sz w:val="21"/>
        </w:rPr>
        <w:t>Cohort analysis tracks the 90+ DPD rate and overall default rate by loan origination quarter. This view is essential for identifying whether portfolio quality is improving or deteriorating over time, and for attributing performance changes to specific origination periods.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E3A8A" w:val="clear"/>
          </w:tcPr>
          <w:p>
            <w:pPr>
              <w:jc w:val="center"/>
            </w:pPr>
            <w:r>
              <w:rPr>
                <w:rFonts w:ascii="Arial" w:hAnsi="Arial"/>
                <w:b/>
                <w:i w:val="0"/>
                <w:color w:val="FFFFFF"/>
                <w:sz w:val="19"/>
              </w:rPr>
              <w:t>Origination Quarter</w:t>
            </w:r>
          </w:p>
        </w:tc>
        <w:tc>
          <w:tcPr>
            <w:tcW w:type="dxa" w:w="2016"/>
            <w:shd w:fill="1E3A8A" w:val="clear"/>
          </w:tcPr>
          <w:p>
            <w:pPr>
              <w:jc w:val="center"/>
            </w:pPr>
            <w:r>
              <w:rPr>
                <w:rFonts w:ascii="Arial" w:hAnsi="Arial"/>
                <w:b/>
                <w:i w:val="0"/>
                <w:color w:val="FFFFFF"/>
                <w:sz w:val="19"/>
              </w:rPr>
              <w:t>Loans Originated</w:t>
            </w:r>
          </w:p>
        </w:tc>
        <w:tc>
          <w:tcPr>
            <w:tcW w:type="dxa" w:w="1728"/>
            <w:shd w:fill="1E3A8A" w:val="clear"/>
          </w:tcPr>
          <w:p>
            <w:pPr>
              <w:jc w:val="center"/>
            </w:pPr>
            <w:r>
              <w:rPr>
                <w:rFonts w:ascii="Arial" w:hAnsi="Arial"/>
                <w:b/>
                <w:i w:val="0"/>
                <w:color w:val="FFFFFF"/>
                <w:sz w:val="19"/>
              </w:rPr>
              <w:t>90+ DPD Rate</w:t>
            </w:r>
          </w:p>
        </w:tc>
        <w:tc>
          <w:tcPr>
            <w:tcW w:type="dxa" w:w="2304"/>
            <w:shd w:fill="1E3A8A" w:val="clear"/>
          </w:tcPr>
          <w:p>
            <w:pPr>
              <w:jc w:val="center"/>
            </w:pPr>
            <w:r>
              <w:rPr>
                <w:rFonts w:ascii="Arial" w:hAnsi="Arial"/>
                <w:b/>
                <w:i w:val="0"/>
                <w:color w:val="FFFFFF"/>
                <w:sz w:val="19"/>
              </w:rPr>
              <w:t>Overall Default Rate</w:t>
            </w:r>
          </w:p>
        </w:tc>
        <w:tc>
          <w:tcPr>
            <w:tcW w:type="dxa" w:w="2736"/>
            <w:shd w:fill="1E3A8A" w:val="clear"/>
          </w:tcPr>
          <w:p>
            <w:pPr>
              <w:jc w:val="center"/>
            </w:pPr>
            <w:r>
              <w:rPr>
                <w:rFonts w:ascii="Arial" w:hAnsi="Arial"/>
                <w:b/>
                <w:i w:val="0"/>
                <w:color w:val="FFFFFF"/>
                <w:sz w:val="19"/>
              </w:rPr>
              <w:t>Avg Balance Volatility</w:t>
            </w:r>
          </w:p>
        </w:tc>
      </w:tr>
      <w:tr>
        <w:tc>
          <w:tcPr>
            <w:tcW w:type="dxa" w:w="2160"/>
            <w:shd w:fill="EFF6FF" w:val="clear"/>
          </w:tcPr>
          <w:p>
            <w:pPr>
              <w:jc w:val="center"/>
            </w:pPr>
            <w:r>
              <w:rPr>
                <w:rFonts w:ascii="Arial" w:hAnsi="Arial"/>
                <w:b w:val="0"/>
                <w:i w:val="0"/>
                <w:sz w:val="19"/>
              </w:rPr>
              <w:t>2022 Q1</w:t>
            </w:r>
          </w:p>
        </w:tc>
        <w:tc>
          <w:tcPr>
            <w:tcW w:type="dxa" w:w="2016"/>
            <w:shd w:fill="EFF6FF" w:val="clear"/>
          </w:tcPr>
          <w:p>
            <w:pPr>
              <w:jc w:val="center"/>
            </w:pPr>
            <w:r>
              <w:rPr>
                <w:rFonts w:ascii="Arial" w:hAnsi="Arial"/>
                <w:b w:val="0"/>
                <w:i w:val="0"/>
                <w:sz w:val="19"/>
              </w:rPr>
              <w:t>257</w:t>
            </w:r>
          </w:p>
        </w:tc>
        <w:tc>
          <w:tcPr>
            <w:tcW w:type="dxa" w:w="1728"/>
            <w:shd w:fill="EFF6FF" w:val="clear"/>
          </w:tcPr>
          <w:p>
            <w:pPr>
              <w:jc w:val="center"/>
            </w:pPr>
            <w:r>
              <w:rPr>
                <w:rFonts w:ascii="Arial" w:hAnsi="Arial"/>
                <w:b w:val="0"/>
                <w:i w:val="0"/>
                <w:sz w:val="19"/>
              </w:rPr>
              <w:t>13.6%</w:t>
            </w:r>
          </w:p>
        </w:tc>
        <w:tc>
          <w:tcPr>
            <w:tcW w:type="dxa" w:w="2304"/>
            <w:shd w:fill="EFF6FF" w:val="clear"/>
          </w:tcPr>
          <w:p>
            <w:pPr>
              <w:jc w:val="center"/>
            </w:pPr>
            <w:r>
              <w:rPr>
                <w:rFonts w:ascii="Arial" w:hAnsi="Arial"/>
                <w:b w:val="0"/>
                <w:i w:val="0"/>
                <w:sz w:val="19"/>
              </w:rPr>
              <w:t>17.1%</w:t>
            </w:r>
          </w:p>
        </w:tc>
        <w:tc>
          <w:tcPr>
            <w:tcW w:type="dxa" w:w="2736"/>
            <w:shd w:fill="EFF6FF" w:val="clear"/>
          </w:tcPr>
          <w:p>
            <w:pPr>
              <w:jc w:val="center"/>
            </w:pPr>
            <w:r>
              <w:rPr>
                <w:rFonts w:ascii="Arial" w:hAnsi="Arial"/>
                <w:b w:val="0"/>
                <w:i w:val="0"/>
                <w:sz w:val="19"/>
              </w:rPr>
              <w:t>0.337</w:t>
            </w:r>
          </w:p>
        </w:tc>
      </w:tr>
      <w:tr>
        <w:tc>
          <w:tcPr>
            <w:tcW w:type="dxa" w:w="2160"/>
            <w:shd w:fill="FFFFFF" w:val="clear"/>
          </w:tcPr>
          <w:p>
            <w:pPr>
              <w:jc w:val="center"/>
            </w:pPr>
            <w:r>
              <w:rPr>
                <w:rFonts w:ascii="Arial" w:hAnsi="Arial"/>
                <w:b w:val="0"/>
                <w:i w:val="0"/>
                <w:sz w:val="19"/>
              </w:rPr>
              <w:t>2022 Q2</w:t>
            </w:r>
          </w:p>
        </w:tc>
        <w:tc>
          <w:tcPr>
            <w:tcW w:type="dxa" w:w="2016"/>
            <w:shd w:fill="FFFFFF" w:val="clear"/>
          </w:tcPr>
          <w:p>
            <w:pPr>
              <w:jc w:val="center"/>
            </w:pPr>
            <w:r>
              <w:rPr>
                <w:rFonts w:ascii="Arial" w:hAnsi="Arial"/>
                <w:b w:val="0"/>
                <w:i w:val="0"/>
                <w:sz w:val="19"/>
              </w:rPr>
              <w:t>235</w:t>
            </w:r>
          </w:p>
        </w:tc>
        <w:tc>
          <w:tcPr>
            <w:tcW w:type="dxa" w:w="1728"/>
            <w:shd w:fill="FFFFFF" w:val="clear"/>
          </w:tcPr>
          <w:p>
            <w:pPr>
              <w:jc w:val="center"/>
            </w:pPr>
            <w:r>
              <w:rPr>
                <w:rFonts w:ascii="Arial" w:hAnsi="Arial"/>
                <w:b w:val="0"/>
                <w:i w:val="0"/>
                <w:sz w:val="19"/>
              </w:rPr>
              <w:t>10.6%</w:t>
            </w:r>
          </w:p>
        </w:tc>
        <w:tc>
          <w:tcPr>
            <w:tcW w:type="dxa" w:w="2304"/>
            <w:shd w:fill="FFFFFF" w:val="clear"/>
          </w:tcPr>
          <w:p>
            <w:pPr>
              <w:jc w:val="center"/>
            </w:pPr>
            <w:r>
              <w:rPr>
                <w:rFonts w:ascii="Arial" w:hAnsi="Arial"/>
                <w:b w:val="0"/>
                <w:i w:val="0"/>
                <w:sz w:val="19"/>
              </w:rPr>
              <w:t>13.6%</w:t>
            </w:r>
          </w:p>
        </w:tc>
        <w:tc>
          <w:tcPr>
            <w:tcW w:type="dxa" w:w="2736"/>
            <w:shd w:fill="FFFFFF" w:val="clear"/>
          </w:tcPr>
          <w:p>
            <w:pPr>
              <w:jc w:val="center"/>
            </w:pPr>
            <w:r>
              <w:rPr>
                <w:rFonts w:ascii="Arial" w:hAnsi="Arial"/>
                <w:b w:val="0"/>
                <w:i w:val="0"/>
                <w:sz w:val="19"/>
              </w:rPr>
              <w:t>0.352</w:t>
            </w:r>
          </w:p>
        </w:tc>
      </w:tr>
      <w:tr>
        <w:tc>
          <w:tcPr>
            <w:tcW w:type="dxa" w:w="2160"/>
            <w:shd w:fill="EFF6FF" w:val="clear"/>
          </w:tcPr>
          <w:p>
            <w:pPr>
              <w:jc w:val="center"/>
            </w:pPr>
            <w:r>
              <w:rPr>
                <w:rFonts w:ascii="Arial" w:hAnsi="Arial"/>
                <w:b w:val="0"/>
                <w:i w:val="0"/>
                <w:sz w:val="19"/>
              </w:rPr>
              <w:t>2022 Q3</w:t>
            </w:r>
          </w:p>
        </w:tc>
        <w:tc>
          <w:tcPr>
            <w:tcW w:type="dxa" w:w="2016"/>
            <w:shd w:fill="EFF6FF" w:val="clear"/>
          </w:tcPr>
          <w:p>
            <w:pPr>
              <w:jc w:val="center"/>
            </w:pPr>
            <w:r>
              <w:rPr>
                <w:rFonts w:ascii="Arial" w:hAnsi="Arial"/>
                <w:b w:val="0"/>
                <w:i w:val="0"/>
                <w:sz w:val="19"/>
              </w:rPr>
              <w:t>251</w:t>
            </w:r>
          </w:p>
        </w:tc>
        <w:tc>
          <w:tcPr>
            <w:tcW w:type="dxa" w:w="1728"/>
            <w:shd w:fill="EFF6FF" w:val="clear"/>
          </w:tcPr>
          <w:p>
            <w:pPr>
              <w:jc w:val="center"/>
            </w:pPr>
            <w:r>
              <w:rPr>
                <w:rFonts w:ascii="Arial" w:hAnsi="Arial"/>
                <w:b w:val="0"/>
                <w:i w:val="0"/>
                <w:sz w:val="19"/>
              </w:rPr>
              <w:t>13.9%</w:t>
            </w:r>
          </w:p>
        </w:tc>
        <w:tc>
          <w:tcPr>
            <w:tcW w:type="dxa" w:w="2304"/>
            <w:shd w:fill="EFF6FF" w:val="clear"/>
          </w:tcPr>
          <w:p>
            <w:pPr>
              <w:jc w:val="center"/>
            </w:pPr>
            <w:r>
              <w:rPr>
                <w:rFonts w:ascii="Arial" w:hAnsi="Arial"/>
                <w:b w:val="0"/>
                <w:i w:val="0"/>
                <w:sz w:val="19"/>
              </w:rPr>
              <w:t>17.1%</w:t>
            </w:r>
          </w:p>
        </w:tc>
        <w:tc>
          <w:tcPr>
            <w:tcW w:type="dxa" w:w="2736"/>
            <w:shd w:fill="EFF6FF" w:val="clear"/>
          </w:tcPr>
          <w:p>
            <w:pPr>
              <w:jc w:val="center"/>
            </w:pPr>
            <w:r>
              <w:rPr>
                <w:rFonts w:ascii="Arial" w:hAnsi="Arial"/>
                <w:b w:val="0"/>
                <w:i w:val="0"/>
                <w:sz w:val="19"/>
              </w:rPr>
              <w:t>0.325</w:t>
            </w:r>
          </w:p>
        </w:tc>
      </w:tr>
      <w:tr>
        <w:tc>
          <w:tcPr>
            <w:tcW w:type="dxa" w:w="2160"/>
            <w:shd w:fill="FFFFFF" w:val="clear"/>
          </w:tcPr>
          <w:p>
            <w:pPr>
              <w:jc w:val="center"/>
            </w:pPr>
            <w:r>
              <w:rPr>
                <w:rFonts w:ascii="Arial" w:hAnsi="Arial"/>
                <w:b w:val="0"/>
                <w:i w:val="0"/>
                <w:sz w:val="19"/>
              </w:rPr>
              <w:t>2022 Q4</w:t>
            </w:r>
          </w:p>
        </w:tc>
        <w:tc>
          <w:tcPr>
            <w:tcW w:type="dxa" w:w="2016"/>
            <w:shd w:fill="FFFFFF" w:val="clear"/>
          </w:tcPr>
          <w:p>
            <w:pPr>
              <w:jc w:val="center"/>
            </w:pPr>
            <w:r>
              <w:rPr>
                <w:rFonts w:ascii="Arial" w:hAnsi="Arial"/>
                <w:b w:val="0"/>
                <w:i w:val="0"/>
                <w:sz w:val="19"/>
              </w:rPr>
              <w:t>280</w:t>
            </w:r>
          </w:p>
        </w:tc>
        <w:tc>
          <w:tcPr>
            <w:tcW w:type="dxa" w:w="1728"/>
            <w:shd w:fill="FFFFFF" w:val="clear"/>
          </w:tcPr>
          <w:p>
            <w:pPr>
              <w:jc w:val="center"/>
            </w:pPr>
            <w:r>
              <w:rPr>
                <w:rFonts w:ascii="Arial" w:hAnsi="Arial"/>
                <w:b w:val="0"/>
                <w:i w:val="0"/>
                <w:sz w:val="19"/>
              </w:rPr>
              <w:t>11.8%</w:t>
            </w:r>
          </w:p>
        </w:tc>
        <w:tc>
          <w:tcPr>
            <w:tcW w:type="dxa" w:w="2304"/>
            <w:shd w:fill="FFFFFF" w:val="clear"/>
          </w:tcPr>
          <w:p>
            <w:pPr>
              <w:jc w:val="center"/>
            </w:pPr>
            <w:r>
              <w:rPr>
                <w:rFonts w:ascii="Arial" w:hAnsi="Arial"/>
                <w:b w:val="0"/>
                <w:i w:val="0"/>
                <w:sz w:val="19"/>
              </w:rPr>
              <w:t>13.9%</w:t>
            </w:r>
          </w:p>
        </w:tc>
        <w:tc>
          <w:tcPr>
            <w:tcW w:type="dxa" w:w="2736"/>
            <w:shd w:fill="FFFFFF" w:val="clear"/>
          </w:tcPr>
          <w:p>
            <w:pPr>
              <w:jc w:val="center"/>
            </w:pPr>
            <w:r>
              <w:rPr>
                <w:rFonts w:ascii="Arial" w:hAnsi="Arial"/>
                <w:b w:val="0"/>
                <w:i w:val="0"/>
                <w:sz w:val="19"/>
              </w:rPr>
              <w:t>0.312</w:t>
            </w:r>
          </w:p>
        </w:tc>
      </w:tr>
      <w:tr>
        <w:tc>
          <w:tcPr>
            <w:tcW w:type="dxa" w:w="2160"/>
            <w:shd w:fill="EFF6FF" w:val="clear"/>
          </w:tcPr>
          <w:p>
            <w:pPr>
              <w:jc w:val="center"/>
            </w:pPr>
            <w:r>
              <w:rPr>
                <w:rFonts w:ascii="Arial" w:hAnsi="Arial"/>
                <w:b w:val="0"/>
                <w:i w:val="0"/>
                <w:sz w:val="19"/>
              </w:rPr>
              <w:t>2023 Q1</w:t>
            </w:r>
          </w:p>
        </w:tc>
        <w:tc>
          <w:tcPr>
            <w:tcW w:type="dxa" w:w="2016"/>
            <w:shd w:fill="EFF6FF" w:val="clear"/>
          </w:tcPr>
          <w:p>
            <w:pPr>
              <w:jc w:val="center"/>
            </w:pPr>
            <w:r>
              <w:rPr>
                <w:rFonts w:ascii="Arial" w:hAnsi="Arial"/>
                <w:b w:val="0"/>
                <w:i w:val="0"/>
                <w:sz w:val="19"/>
              </w:rPr>
              <w:t>248</w:t>
            </w:r>
          </w:p>
        </w:tc>
        <w:tc>
          <w:tcPr>
            <w:tcW w:type="dxa" w:w="1728"/>
            <w:shd w:fill="EFF6FF" w:val="clear"/>
          </w:tcPr>
          <w:p>
            <w:pPr>
              <w:jc w:val="center"/>
            </w:pPr>
            <w:r>
              <w:rPr>
                <w:rFonts w:ascii="Arial" w:hAnsi="Arial"/>
                <w:b w:val="0"/>
                <w:i w:val="0"/>
                <w:sz w:val="19"/>
              </w:rPr>
              <w:t>12.1%</w:t>
            </w:r>
          </w:p>
        </w:tc>
        <w:tc>
          <w:tcPr>
            <w:tcW w:type="dxa" w:w="2304"/>
            <w:shd w:fill="EFF6FF" w:val="clear"/>
          </w:tcPr>
          <w:p>
            <w:pPr>
              <w:jc w:val="center"/>
            </w:pPr>
            <w:r>
              <w:rPr>
                <w:rFonts w:ascii="Arial" w:hAnsi="Arial"/>
                <w:b w:val="0"/>
                <w:i w:val="0"/>
                <w:sz w:val="19"/>
              </w:rPr>
              <w:t>16.1%</w:t>
            </w:r>
          </w:p>
        </w:tc>
        <w:tc>
          <w:tcPr>
            <w:tcW w:type="dxa" w:w="2736"/>
            <w:shd w:fill="EFF6FF" w:val="clear"/>
          </w:tcPr>
          <w:p>
            <w:pPr>
              <w:jc w:val="center"/>
            </w:pPr>
            <w:r>
              <w:rPr>
                <w:rFonts w:ascii="Arial" w:hAnsi="Arial"/>
                <w:b w:val="0"/>
                <w:i w:val="0"/>
                <w:sz w:val="19"/>
              </w:rPr>
              <w:t>0.324</w:t>
            </w:r>
          </w:p>
        </w:tc>
      </w:tr>
      <w:tr>
        <w:tc>
          <w:tcPr>
            <w:tcW w:type="dxa" w:w="2160"/>
            <w:shd w:fill="FFFFFF" w:val="clear"/>
          </w:tcPr>
          <w:p>
            <w:pPr>
              <w:jc w:val="center"/>
            </w:pPr>
            <w:r>
              <w:rPr>
                <w:rFonts w:ascii="Arial" w:hAnsi="Arial"/>
                <w:b w:val="0"/>
                <w:i w:val="0"/>
                <w:sz w:val="19"/>
              </w:rPr>
              <w:t>2023 Q2</w:t>
            </w:r>
          </w:p>
        </w:tc>
        <w:tc>
          <w:tcPr>
            <w:tcW w:type="dxa" w:w="2016"/>
            <w:shd w:fill="FFFFFF" w:val="clear"/>
          </w:tcPr>
          <w:p>
            <w:pPr>
              <w:jc w:val="center"/>
            </w:pPr>
            <w:r>
              <w:rPr>
                <w:rFonts w:ascii="Arial" w:hAnsi="Arial"/>
                <w:b w:val="0"/>
                <w:i w:val="0"/>
                <w:sz w:val="19"/>
              </w:rPr>
              <w:t>221</w:t>
            </w:r>
          </w:p>
        </w:tc>
        <w:tc>
          <w:tcPr>
            <w:tcW w:type="dxa" w:w="1728"/>
            <w:shd w:fill="FFFFFF" w:val="clear"/>
          </w:tcPr>
          <w:p>
            <w:pPr>
              <w:jc w:val="center"/>
            </w:pPr>
            <w:r>
              <w:rPr>
                <w:rFonts w:ascii="Arial" w:hAnsi="Arial"/>
                <w:b w:val="0"/>
                <w:i w:val="0"/>
                <w:sz w:val="19"/>
              </w:rPr>
              <w:t>14.9%</w:t>
            </w:r>
          </w:p>
        </w:tc>
        <w:tc>
          <w:tcPr>
            <w:tcW w:type="dxa" w:w="2304"/>
            <w:shd w:fill="FFFFFF" w:val="clear"/>
          </w:tcPr>
          <w:p>
            <w:pPr>
              <w:jc w:val="center"/>
            </w:pPr>
            <w:r>
              <w:rPr>
                <w:rFonts w:ascii="Arial" w:hAnsi="Arial"/>
                <w:b w:val="0"/>
                <w:i w:val="0"/>
                <w:sz w:val="19"/>
              </w:rPr>
              <w:t>16.7%</w:t>
            </w:r>
          </w:p>
        </w:tc>
        <w:tc>
          <w:tcPr>
            <w:tcW w:type="dxa" w:w="2736"/>
            <w:shd w:fill="FFFFFF" w:val="clear"/>
          </w:tcPr>
          <w:p>
            <w:pPr>
              <w:jc w:val="center"/>
            </w:pPr>
            <w:r>
              <w:rPr>
                <w:rFonts w:ascii="Arial" w:hAnsi="Arial"/>
                <w:b w:val="0"/>
                <w:i w:val="0"/>
                <w:sz w:val="19"/>
              </w:rPr>
              <w:t>0.334</w:t>
            </w:r>
          </w:p>
        </w:tc>
      </w:tr>
      <w:tr>
        <w:tc>
          <w:tcPr>
            <w:tcW w:type="dxa" w:w="2160"/>
            <w:shd w:fill="EFF6FF" w:val="clear"/>
          </w:tcPr>
          <w:p>
            <w:pPr>
              <w:jc w:val="center"/>
            </w:pPr>
            <w:r>
              <w:rPr>
                <w:rFonts w:ascii="Arial" w:hAnsi="Arial"/>
                <w:b w:val="0"/>
                <w:i w:val="0"/>
                <w:sz w:val="19"/>
              </w:rPr>
              <w:t>2023 Q3</w:t>
            </w:r>
          </w:p>
        </w:tc>
        <w:tc>
          <w:tcPr>
            <w:tcW w:type="dxa" w:w="2016"/>
            <w:shd w:fill="EFF6FF" w:val="clear"/>
          </w:tcPr>
          <w:p>
            <w:pPr>
              <w:jc w:val="center"/>
            </w:pPr>
            <w:r>
              <w:rPr>
                <w:rFonts w:ascii="Arial" w:hAnsi="Arial"/>
                <w:b w:val="0"/>
                <w:i w:val="0"/>
                <w:sz w:val="19"/>
              </w:rPr>
              <w:t>247</w:t>
            </w:r>
          </w:p>
        </w:tc>
        <w:tc>
          <w:tcPr>
            <w:tcW w:type="dxa" w:w="1728"/>
            <w:shd w:fill="EFF6FF" w:val="clear"/>
          </w:tcPr>
          <w:p>
            <w:pPr>
              <w:jc w:val="center"/>
            </w:pPr>
            <w:r>
              <w:rPr>
                <w:rFonts w:ascii="Arial" w:hAnsi="Arial"/>
                <w:b w:val="0"/>
                <w:i w:val="0"/>
                <w:sz w:val="19"/>
              </w:rPr>
              <w:t>13.4%</w:t>
            </w:r>
          </w:p>
        </w:tc>
        <w:tc>
          <w:tcPr>
            <w:tcW w:type="dxa" w:w="2304"/>
            <w:shd w:fill="EFF6FF" w:val="clear"/>
          </w:tcPr>
          <w:p>
            <w:pPr>
              <w:jc w:val="center"/>
            </w:pPr>
            <w:r>
              <w:rPr>
                <w:rFonts w:ascii="Arial" w:hAnsi="Arial"/>
                <w:b w:val="0"/>
                <w:i w:val="0"/>
                <w:sz w:val="19"/>
              </w:rPr>
              <w:t>15.0%</w:t>
            </w:r>
          </w:p>
        </w:tc>
        <w:tc>
          <w:tcPr>
            <w:tcW w:type="dxa" w:w="2736"/>
            <w:shd w:fill="EFF6FF" w:val="clear"/>
          </w:tcPr>
          <w:p>
            <w:pPr>
              <w:jc w:val="center"/>
            </w:pPr>
            <w:r>
              <w:rPr>
                <w:rFonts w:ascii="Arial" w:hAnsi="Arial"/>
                <w:b w:val="0"/>
                <w:i w:val="0"/>
                <w:sz w:val="19"/>
              </w:rPr>
              <w:t>0.355</w:t>
            </w:r>
          </w:p>
        </w:tc>
      </w:tr>
      <w:tr>
        <w:tc>
          <w:tcPr>
            <w:tcW w:type="dxa" w:w="2160"/>
            <w:shd w:fill="FFFFFF" w:val="clear"/>
          </w:tcPr>
          <w:p>
            <w:pPr>
              <w:jc w:val="center"/>
            </w:pPr>
            <w:r>
              <w:rPr>
                <w:rFonts w:ascii="Arial" w:hAnsi="Arial"/>
                <w:b w:val="0"/>
                <w:i w:val="0"/>
                <w:sz w:val="19"/>
              </w:rPr>
              <w:t>2023 Q4</w:t>
            </w:r>
          </w:p>
        </w:tc>
        <w:tc>
          <w:tcPr>
            <w:tcW w:type="dxa" w:w="2016"/>
            <w:shd w:fill="FFFFFF" w:val="clear"/>
          </w:tcPr>
          <w:p>
            <w:pPr>
              <w:jc w:val="center"/>
            </w:pPr>
            <w:r>
              <w:rPr>
                <w:rFonts w:ascii="Arial" w:hAnsi="Arial"/>
                <w:b w:val="0"/>
                <w:i w:val="0"/>
                <w:sz w:val="19"/>
              </w:rPr>
              <w:t>266</w:t>
            </w:r>
          </w:p>
        </w:tc>
        <w:tc>
          <w:tcPr>
            <w:tcW w:type="dxa" w:w="1728"/>
            <w:shd w:fill="FFFFFF" w:val="clear"/>
          </w:tcPr>
          <w:p>
            <w:pPr>
              <w:jc w:val="center"/>
            </w:pPr>
            <w:r>
              <w:rPr>
                <w:rFonts w:ascii="Arial" w:hAnsi="Arial"/>
                <w:b w:val="0"/>
                <w:i w:val="0"/>
                <w:sz w:val="19"/>
              </w:rPr>
              <w:t>11.3%</w:t>
            </w:r>
          </w:p>
        </w:tc>
        <w:tc>
          <w:tcPr>
            <w:tcW w:type="dxa" w:w="2304"/>
            <w:shd w:fill="FFFFFF" w:val="clear"/>
          </w:tcPr>
          <w:p>
            <w:pPr>
              <w:jc w:val="center"/>
            </w:pPr>
            <w:r>
              <w:rPr>
                <w:rFonts w:ascii="Arial" w:hAnsi="Arial"/>
                <w:b w:val="0"/>
                <w:i w:val="0"/>
                <w:sz w:val="19"/>
              </w:rPr>
              <w:t>14.3%</w:t>
            </w:r>
          </w:p>
        </w:tc>
        <w:tc>
          <w:tcPr>
            <w:tcW w:type="dxa" w:w="2736"/>
            <w:shd w:fill="FFFFFF" w:val="clear"/>
          </w:tcPr>
          <w:p>
            <w:pPr>
              <w:jc w:val="center"/>
            </w:pPr>
            <w:r>
              <w:rPr>
                <w:rFonts w:ascii="Arial" w:hAnsi="Arial"/>
                <w:b w:val="0"/>
                <w:i w:val="0"/>
                <w:sz w:val="19"/>
              </w:rPr>
              <w:t>0.330</w:t>
            </w:r>
          </w:p>
        </w:tc>
      </w:tr>
      <w:tr>
        <w:tc>
          <w:tcPr>
            <w:tcW w:type="dxa" w:w="2160"/>
            <w:shd w:fill="EFF6FF" w:val="clear"/>
          </w:tcPr>
          <w:p>
            <w:pPr>
              <w:jc w:val="center"/>
            </w:pPr>
            <w:r>
              <w:rPr>
                <w:rFonts w:ascii="Arial" w:hAnsi="Arial"/>
                <w:b w:val="0"/>
                <w:i w:val="0"/>
                <w:sz w:val="19"/>
              </w:rPr>
              <w:t>2024 Q1</w:t>
            </w:r>
          </w:p>
        </w:tc>
        <w:tc>
          <w:tcPr>
            <w:tcW w:type="dxa" w:w="2016"/>
            <w:shd w:fill="EFF6FF" w:val="clear"/>
          </w:tcPr>
          <w:p>
            <w:pPr>
              <w:jc w:val="center"/>
            </w:pPr>
            <w:r>
              <w:rPr>
                <w:rFonts w:ascii="Arial" w:hAnsi="Arial"/>
                <w:b w:val="0"/>
                <w:i w:val="0"/>
                <w:sz w:val="19"/>
              </w:rPr>
              <w:t>249</w:t>
            </w:r>
          </w:p>
        </w:tc>
        <w:tc>
          <w:tcPr>
            <w:tcW w:type="dxa" w:w="1728"/>
            <w:shd w:fill="EFF6FF" w:val="clear"/>
          </w:tcPr>
          <w:p>
            <w:pPr>
              <w:jc w:val="center"/>
            </w:pPr>
            <w:r>
              <w:rPr>
                <w:rFonts w:ascii="Arial" w:hAnsi="Arial"/>
                <w:b w:val="0"/>
                <w:i w:val="0"/>
                <w:sz w:val="19"/>
              </w:rPr>
              <w:t>16.5%</w:t>
            </w:r>
          </w:p>
        </w:tc>
        <w:tc>
          <w:tcPr>
            <w:tcW w:type="dxa" w:w="2304"/>
            <w:shd w:fill="EFF6FF" w:val="clear"/>
          </w:tcPr>
          <w:p>
            <w:pPr>
              <w:jc w:val="center"/>
            </w:pPr>
            <w:r>
              <w:rPr>
                <w:rFonts w:ascii="Arial" w:hAnsi="Arial"/>
                <w:b w:val="0"/>
                <w:i w:val="0"/>
                <w:sz w:val="19"/>
              </w:rPr>
              <w:t>18.9%</w:t>
            </w:r>
          </w:p>
        </w:tc>
        <w:tc>
          <w:tcPr>
            <w:tcW w:type="dxa" w:w="2736"/>
            <w:shd w:fill="EFF6FF" w:val="clear"/>
          </w:tcPr>
          <w:p>
            <w:pPr>
              <w:jc w:val="center"/>
            </w:pPr>
            <w:r>
              <w:rPr>
                <w:rFonts w:ascii="Arial" w:hAnsi="Arial"/>
                <w:b w:val="0"/>
                <w:i w:val="0"/>
                <w:sz w:val="19"/>
              </w:rPr>
              <w:t>0.335</w:t>
            </w:r>
          </w:p>
        </w:tc>
      </w:tr>
      <w:tr>
        <w:tc>
          <w:tcPr>
            <w:tcW w:type="dxa" w:w="2160"/>
            <w:shd w:fill="FFFFFF" w:val="clear"/>
          </w:tcPr>
          <w:p>
            <w:pPr>
              <w:jc w:val="center"/>
            </w:pPr>
            <w:r>
              <w:rPr>
                <w:rFonts w:ascii="Arial" w:hAnsi="Arial"/>
                <w:b w:val="0"/>
                <w:i w:val="0"/>
                <w:sz w:val="19"/>
              </w:rPr>
              <w:t>2024 Q2</w:t>
            </w:r>
          </w:p>
        </w:tc>
        <w:tc>
          <w:tcPr>
            <w:tcW w:type="dxa" w:w="2016"/>
            <w:shd w:fill="FFFFFF" w:val="clear"/>
          </w:tcPr>
          <w:p>
            <w:pPr>
              <w:jc w:val="center"/>
            </w:pPr>
            <w:r>
              <w:rPr>
                <w:rFonts w:ascii="Arial" w:hAnsi="Arial"/>
                <w:b w:val="0"/>
                <w:i w:val="0"/>
                <w:sz w:val="19"/>
              </w:rPr>
              <w:t>245</w:t>
            </w:r>
          </w:p>
        </w:tc>
        <w:tc>
          <w:tcPr>
            <w:tcW w:type="dxa" w:w="1728"/>
            <w:shd w:fill="FFFFFF" w:val="clear"/>
          </w:tcPr>
          <w:p>
            <w:pPr>
              <w:jc w:val="center"/>
            </w:pPr>
            <w:r>
              <w:rPr>
                <w:rFonts w:ascii="Arial" w:hAnsi="Arial"/>
                <w:b w:val="0"/>
                <w:i w:val="0"/>
                <w:sz w:val="19"/>
              </w:rPr>
              <w:t>11.8%</w:t>
            </w:r>
          </w:p>
        </w:tc>
        <w:tc>
          <w:tcPr>
            <w:tcW w:type="dxa" w:w="2304"/>
            <w:shd w:fill="FFFFFF" w:val="clear"/>
          </w:tcPr>
          <w:p>
            <w:pPr>
              <w:jc w:val="center"/>
            </w:pPr>
            <w:r>
              <w:rPr>
                <w:rFonts w:ascii="Arial" w:hAnsi="Arial"/>
                <w:b w:val="0"/>
                <w:i w:val="0"/>
                <w:sz w:val="19"/>
              </w:rPr>
              <w:t>14.3%</w:t>
            </w:r>
          </w:p>
        </w:tc>
        <w:tc>
          <w:tcPr>
            <w:tcW w:type="dxa" w:w="2736"/>
            <w:shd w:fill="FFFFFF" w:val="clear"/>
          </w:tcPr>
          <w:p>
            <w:pPr>
              <w:jc w:val="center"/>
            </w:pPr>
            <w:r>
              <w:rPr>
                <w:rFonts w:ascii="Arial" w:hAnsi="Arial"/>
                <w:b w:val="0"/>
                <w:i w:val="0"/>
                <w:sz w:val="19"/>
              </w:rPr>
              <w:t>0.331</w:t>
            </w:r>
          </w:p>
        </w:tc>
      </w:tr>
      <w:tr>
        <w:tc>
          <w:tcPr>
            <w:tcW w:type="dxa" w:w="2160"/>
            <w:shd w:fill="EFF6FF" w:val="clear"/>
          </w:tcPr>
          <w:p>
            <w:pPr>
              <w:jc w:val="center"/>
            </w:pPr>
            <w:r>
              <w:rPr>
                <w:rFonts w:ascii="Arial" w:hAnsi="Arial"/>
                <w:b w:val="0"/>
                <w:i w:val="0"/>
                <w:sz w:val="19"/>
              </w:rPr>
              <w:t>2024 Q3</w:t>
            </w:r>
          </w:p>
        </w:tc>
        <w:tc>
          <w:tcPr>
            <w:tcW w:type="dxa" w:w="2016"/>
            <w:shd w:fill="EFF6FF" w:val="clear"/>
          </w:tcPr>
          <w:p>
            <w:pPr>
              <w:jc w:val="center"/>
            </w:pPr>
            <w:r>
              <w:rPr>
                <w:rFonts w:ascii="Arial" w:hAnsi="Arial"/>
                <w:b w:val="0"/>
                <w:i w:val="0"/>
                <w:sz w:val="19"/>
              </w:rPr>
              <w:t>237</w:t>
            </w:r>
          </w:p>
        </w:tc>
        <w:tc>
          <w:tcPr>
            <w:tcW w:type="dxa" w:w="1728"/>
            <w:shd w:fill="EFF6FF" w:val="clear"/>
          </w:tcPr>
          <w:p>
            <w:pPr>
              <w:jc w:val="center"/>
            </w:pPr>
            <w:r>
              <w:rPr>
                <w:rFonts w:ascii="Arial" w:hAnsi="Arial"/>
                <w:b w:val="0"/>
                <w:i w:val="0"/>
                <w:sz w:val="19"/>
              </w:rPr>
              <w:t xml:space="preserve"> 9.7%</w:t>
            </w:r>
          </w:p>
        </w:tc>
        <w:tc>
          <w:tcPr>
            <w:tcW w:type="dxa" w:w="2304"/>
            <w:shd w:fill="EFF6FF" w:val="clear"/>
          </w:tcPr>
          <w:p>
            <w:pPr>
              <w:jc w:val="center"/>
            </w:pPr>
            <w:r>
              <w:rPr>
                <w:rFonts w:ascii="Arial" w:hAnsi="Arial"/>
                <w:b w:val="0"/>
                <w:i w:val="0"/>
                <w:sz w:val="19"/>
              </w:rPr>
              <w:t>11.8%</w:t>
            </w:r>
          </w:p>
        </w:tc>
        <w:tc>
          <w:tcPr>
            <w:tcW w:type="dxa" w:w="2736"/>
            <w:shd w:fill="EFF6FF" w:val="clear"/>
          </w:tcPr>
          <w:p>
            <w:pPr>
              <w:jc w:val="center"/>
            </w:pPr>
            <w:r>
              <w:rPr>
                <w:rFonts w:ascii="Arial" w:hAnsi="Arial"/>
                <w:b w:val="0"/>
                <w:i w:val="0"/>
                <w:sz w:val="19"/>
              </w:rPr>
              <w:t>0.317</w:t>
            </w:r>
          </w:p>
        </w:tc>
      </w:tr>
      <w:tr>
        <w:tc>
          <w:tcPr>
            <w:tcW w:type="dxa" w:w="2160"/>
            <w:shd w:fill="FFFFFF" w:val="clear"/>
          </w:tcPr>
          <w:p>
            <w:pPr>
              <w:jc w:val="center"/>
            </w:pPr>
            <w:r>
              <w:rPr>
                <w:rFonts w:ascii="Arial" w:hAnsi="Arial"/>
                <w:b w:val="0"/>
                <w:i w:val="0"/>
                <w:sz w:val="19"/>
              </w:rPr>
              <w:t>2024 Q4</w:t>
            </w:r>
          </w:p>
        </w:tc>
        <w:tc>
          <w:tcPr>
            <w:tcW w:type="dxa" w:w="2016"/>
            <w:shd w:fill="FFFFFF" w:val="clear"/>
          </w:tcPr>
          <w:p>
            <w:pPr>
              <w:jc w:val="center"/>
            </w:pPr>
            <w:r>
              <w:rPr>
                <w:rFonts w:ascii="Arial" w:hAnsi="Arial"/>
                <w:b w:val="0"/>
                <w:i w:val="0"/>
                <w:sz w:val="19"/>
              </w:rPr>
              <w:t>264</w:t>
            </w:r>
          </w:p>
        </w:tc>
        <w:tc>
          <w:tcPr>
            <w:tcW w:type="dxa" w:w="1728"/>
            <w:shd w:fill="FFFFFF" w:val="clear"/>
          </w:tcPr>
          <w:p>
            <w:pPr>
              <w:jc w:val="center"/>
            </w:pPr>
            <w:r>
              <w:rPr>
                <w:rFonts w:ascii="Arial" w:hAnsi="Arial"/>
                <w:b w:val="0"/>
                <w:i w:val="0"/>
                <w:sz w:val="19"/>
              </w:rPr>
              <w:t>13.6%</w:t>
            </w:r>
          </w:p>
        </w:tc>
        <w:tc>
          <w:tcPr>
            <w:tcW w:type="dxa" w:w="2304"/>
            <w:shd w:fill="FFFFFF" w:val="clear"/>
          </w:tcPr>
          <w:p>
            <w:pPr>
              <w:jc w:val="center"/>
            </w:pPr>
            <w:r>
              <w:rPr>
                <w:rFonts w:ascii="Arial" w:hAnsi="Arial"/>
                <w:b w:val="0"/>
                <w:i w:val="0"/>
                <w:sz w:val="19"/>
              </w:rPr>
              <w:t>16.3%</w:t>
            </w:r>
          </w:p>
        </w:tc>
        <w:tc>
          <w:tcPr>
            <w:tcW w:type="dxa" w:w="2736"/>
            <w:shd w:fill="FFFFFF" w:val="clear"/>
          </w:tcPr>
          <w:p>
            <w:pPr>
              <w:jc w:val="center"/>
            </w:pPr>
            <w:r>
              <w:rPr>
                <w:rFonts w:ascii="Arial" w:hAnsi="Arial"/>
                <w:b w:val="0"/>
                <w:i w:val="0"/>
                <w:sz w:val="19"/>
              </w:rPr>
              <w:t>0.329</w:t>
            </w:r>
          </w:p>
        </w:tc>
      </w:tr>
    </w:tbl>
    <w:p>
      <w:pPr>
        <w:spacing w:after="80"/>
      </w:pPr>
    </w:p>
    <w:p>
      <w:pPr>
        <w:jc w:val="center"/>
      </w:pPr>
      <w:r>
        <w:drawing>
          <wp:inline xmlns:a="http://schemas.openxmlformats.org/drawingml/2006/main" xmlns:pic="http://schemas.openxmlformats.org/drawingml/2006/picture">
            <wp:extent cx="5669280" cy="2026230"/>
            <wp:docPr id="3" name="Picture 3"/>
            <wp:cNvGraphicFramePr>
              <a:graphicFrameLocks noChangeAspect="1"/>
            </wp:cNvGraphicFramePr>
            <a:graphic>
              <a:graphicData uri="http://schemas.openxmlformats.org/drawingml/2006/picture">
                <pic:pic>
                  <pic:nvPicPr>
                    <pic:cNvPr id="0" name="chart7_vintage_cohort.png"/>
                    <pic:cNvPicPr/>
                  </pic:nvPicPr>
                  <pic:blipFill>
                    <a:blip r:embed="rId11"/>
                    <a:stretch>
                      <a:fillRect/>
                    </a:stretch>
                  </pic:blipFill>
                  <pic:spPr>
                    <a:xfrm>
                      <a:off x="0" y="0"/>
                      <a:ext cx="5669280" cy="2026230"/>
                    </a:xfrm>
                    <a:prstGeom prst="rect"/>
                  </pic:spPr>
                </pic:pic>
              </a:graphicData>
            </a:graphic>
          </wp:inline>
        </w:drawing>
      </w:r>
    </w:p>
    <w:p>
      <w:pPr>
        <w:spacing w:after="160"/>
        <w:jc w:val="center"/>
      </w:pPr>
      <w:r>
        <w:rPr>
          <w:rFonts w:ascii="Arial" w:hAnsi="Arial"/>
          <w:b w:val="0"/>
          <w:i/>
          <w:color w:val="646464"/>
          <w:sz w:val="18"/>
        </w:rPr>
        <w:t>Figure 7: Vintage Cohort Analysis — 90+ DPD Rate and Overall Default Rate by Origination Quarter</w:t>
      </w:r>
    </w:p>
    <w:p>
      <w:pPr>
        <w:spacing w:after="100" w:before="0"/>
      </w:pPr>
      <w:r>
        <w:rPr>
          <w:rFonts w:ascii="Arial" w:hAnsi="Arial"/>
          <w:b w:val="0"/>
          <w:i w:val="0"/>
          <w:sz w:val="21"/>
        </w:rPr>
        <w:t>The 2024 Q1 cohort shows the highest NPA rate (16.5%) and default rate (18.9%) across all cohorts — coinciding with a period of elevated DSA and Digital Ads origination volume. Conversely, 2024 Q3 shows the best-performing cohort (9.7% NPA, 11.8% default), suggesting that incremental underwriting tightening applied mid-2024 produced measurable results. This validates the direction of the policy recommendations in Section 7.</w:t>
      </w:r>
    </w:p>
    <w:p>
      <w:pPr>
        <w:spacing w:before="280" w:after="80"/>
        <w:pBdr>
          <w:bottom w:val="single" w:sz="6" w:space="1" w:color="1E3A8A"/>
        </w:pBdr>
      </w:pPr>
      <w:r>
        <w:rPr>
          <w:rFonts w:ascii="Arial" w:hAnsi="Arial"/>
          <w:b/>
          <w:i w:val="0"/>
          <w:color w:val="1E3A8A"/>
          <w:sz w:val="26"/>
        </w:rPr>
        <w:t>6. Product and Ticket Size Analysis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304"/>
            <w:shd w:fill="1E3A8A" w:val="clear"/>
          </w:tcPr>
          <w:p>
            <w:pPr>
              <w:jc w:val="center"/>
            </w:pPr>
            <w:r>
              <w:rPr>
                <w:rFonts w:ascii="Arial" w:hAnsi="Arial"/>
                <w:b/>
                <w:i w:val="0"/>
                <w:color w:val="FFFFFF"/>
                <w:sz w:val="19"/>
              </w:rPr>
              <w:t>Product</w:t>
            </w:r>
          </w:p>
        </w:tc>
        <w:tc>
          <w:tcPr>
            <w:tcW w:type="dxa" w:w="936"/>
            <w:shd w:fill="1E3A8A" w:val="clear"/>
          </w:tcPr>
          <w:p>
            <w:pPr>
              <w:jc w:val="center"/>
            </w:pPr>
            <w:r>
              <w:rPr>
                <w:rFonts w:ascii="Arial" w:hAnsi="Arial"/>
                <w:b/>
                <w:i w:val="0"/>
                <w:color w:val="FFFFFF"/>
                <w:sz w:val="19"/>
              </w:rPr>
              <w:t>Count</w:t>
            </w:r>
          </w:p>
        </w:tc>
        <w:tc>
          <w:tcPr>
            <w:tcW w:type="dxa" w:w="1152"/>
            <w:shd w:fill="1E3A8A" w:val="clear"/>
          </w:tcPr>
          <w:p>
            <w:pPr>
              <w:jc w:val="center"/>
            </w:pPr>
            <w:r>
              <w:rPr>
                <w:rFonts w:ascii="Arial" w:hAnsi="Arial"/>
                <w:b/>
                <w:i w:val="0"/>
                <w:color w:val="FFFFFF"/>
                <w:sz w:val="19"/>
              </w:rPr>
              <w:t>Default</w:t>
            </w:r>
          </w:p>
        </w:tc>
        <w:tc>
          <w:tcPr>
            <w:tcW w:type="dxa" w:w="1296"/>
            <w:shd w:fill="1E3A8A" w:val="clear"/>
          </w:tcPr>
          <w:p>
            <w:pPr>
              <w:jc w:val="center"/>
            </w:pPr>
            <w:r>
              <w:rPr>
                <w:rFonts w:ascii="Arial" w:hAnsi="Arial"/>
                <w:b/>
                <w:i w:val="0"/>
                <w:color w:val="FFFFFF"/>
                <w:sz w:val="19"/>
              </w:rPr>
              <w:t>Avg Loan</w:t>
            </w:r>
          </w:p>
        </w:tc>
        <w:tc>
          <w:tcPr>
            <w:tcW w:type="dxa" w:w="1224"/>
            <w:shd w:fill="1E3A8A" w:val="clear"/>
          </w:tcPr>
          <w:p>
            <w:pPr>
              <w:jc w:val="center"/>
            </w:pPr>
            <w:r>
              <w:rPr>
                <w:rFonts w:ascii="Arial" w:hAnsi="Arial"/>
                <w:b/>
                <w:i w:val="0"/>
                <w:color w:val="FFFFFF"/>
                <w:sz w:val="19"/>
              </w:rPr>
              <w:t>Tenure</w:t>
            </w:r>
          </w:p>
        </w:tc>
        <w:tc>
          <w:tcPr>
            <w:tcW w:type="dxa" w:w="1224"/>
            <w:shd w:fill="1E3A8A" w:val="clear"/>
          </w:tcPr>
          <w:p>
            <w:pPr>
              <w:jc w:val="center"/>
            </w:pPr>
            <w:r>
              <w:rPr>
                <w:rFonts w:ascii="Arial" w:hAnsi="Arial"/>
                <w:b/>
                <w:i w:val="0"/>
                <w:color w:val="FFFFFF"/>
                <w:sz w:val="19"/>
              </w:rPr>
              <w:t>Avg Rate</w:t>
            </w:r>
          </w:p>
        </w:tc>
        <w:tc>
          <w:tcPr>
            <w:tcW w:type="dxa" w:w="1872"/>
            <w:shd w:fill="1E3A8A" w:val="clear"/>
          </w:tcPr>
          <w:p>
            <w:pPr>
              <w:jc w:val="center"/>
            </w:pPr>
            <w:r>
              <w:rPr>
                <w:rFonts w:ascii="Arial" w:hAnsi="Arial"/>
                <w:b/>
                <w:i w:val="0"/>
                <w:color w:val="FFFFFF"/>
                <w:sz w:val="19"/>
              </w:rPr>
              <w:t>Risk-Adj Return</w:t>
            </w:r>
          </w:p>
        </w:tc>
        <w:tc>
          <w:tcPr>
            <w:tcW w:type="dxa" w:w="1224"/>
            <w:shd w:fill="1E3A8A" w:val="clear"/>
          </w:tcPr>
          <w:p>
            <w:pPr>
              <w:jc w:val="center"/>
            </w:pPr>
            <w:r>
              <w:rPr>
                <w:rFonts w:ascii="Arial" w:hAnsi="Arial"/>
                <w:b/>
                <w:i w:val="0"/>
                <w:color w:val="FFFFFF"/>
                <w:sz w:val="19"/>
              </w:rPr>
              <w:t>Book Share</w:t>
            </w:r>
          </w:p>
        </w:tc>
      </w:tr>
      <w:tr>
        <w:tc>
          <w:tcPr>
            <w:tcW w:type="dxa" w:w="2304"/>
            <w:shd w:fill="EFF6FF" w:val="clear"/>
          </w:tcPr>
          <w:p>
            <w:pPr>
              <w:jc w:val="center"/>
            </w:pPr>
            <w:r>
              <w:rPr>
                <w:rFonts w:ascii="Arial" w:hAnsi="Arial"/>
                <w:b w:val="0"/>
                <w:i w:val="0"/>
                <w:sz w:val="19"/>
              </w:rPr>
              <w:t>SME Working Capital</w:t>
            </w:r>
          </w:p>
        </w:tc>
        <w:tc>
          <w:tcPr>
            <w:tcW w:type="dxa" w:w="936"/>
            <w:shd w:fill="EFF6FF" w:val="clear"/>
          </w:tcPr>
          <w:p>
            <w:pPr>
              <w:jc w:val="center"/>
            </w:pPr>
            <w:r>
              <w:rPr>
                <w:rFonts w:ascii="Arial" w:hAnsi="Arial"/>
                <w:b w:val="0"/>
                <w:i w:val="0"/>
                <w:sz w:val="19"/>
              </w:rPr>
              <w:t>762</w:t>
            </w:r>
          </w:p>
        </w:tc>
        <w:tc>
          <w:tcPr>
            <w:tcW w:type="dxa" w:w="1152"/>
            <w:shd w:fill="EFF6FF" w:val="clear"/>
          </w:tcPr>
          <w:p>
            <w:pPr>
              <w:jc w:val="center"/>
            </w:pPr>
            <w:r>
              <w:rPr>
                <w:rFonts w:ascii="Arial" w:hAnsi="Arial"/>
                <w:b w:val="0"/>
                <w:i w:val="0"/>
                <w:sz w:val="19"/>
              </w:rPr>
              <w:t>14.0%</w:t>
            </w:r>
          </w:p>
        </w:tc>
        <w:tc>
          <w:tcPr>
            <w:tcW w:type="dxa" w:w="1296"/>
            <w:shd w:fill="EFF6FF" w:val="clear"/>
          </w:tcPr>
          <w:p>
            <w:pPr>
              <w:jc w:val="center"/>
            </w:pPr>
            <w:r>
              <w:rPr>
                <w:rFonts w:ascii="Arial" w:hAnsi="Arial"/>
                <w:b w:val="0"/>
                <w:i w:val="0"/>
                <w:sz w:val="19"/>
              </w:rPr>
              <w:t>₹10.99L</w:t>
            </w:r>
          </w:p>
        </w:tc>
        <w:tc>
          <w:tcPr>
            <w:tcW w:type="dxa" w:w="1224"/>
            <w:shd w:fill="EFF6FF" w:val="clear"/>
          </w:tcPr>
          <w:p>
            <w:pPr>
              <w:jc w:val="center"/>
            </w:pPr>
            <w:r>
              <w:rPr>
                <w:rFonts w:ascii="Arial" w:hAnsi="Arial"/>
                <w:b w:val="0"/>
                <w:i w:val="0"/>
                <w:sz w:val="19"/>
              </w:rPr>
              <w:t>14.8 mo</w:t>
            </w:r>
          </w:p>
        </w:tc>
        <w:tc>
          <w:tcPr>
            <w:tcW w:type="dxa" w:w="1224"/>
            <w:shd w:fill="EFF6FF" w:val="clear"/>
          </w:tcPr>
          <w:p>
            <w:pPr>
              <w:jc w:val="center"/>
            </w:pPr>
            <w:r>
              <w:rPr>
                <w:rFonts w:ascii="Arial" w:hAnsi="Arial"/>
                <w:b w:val="0"/>
                <w:i w:val="0"/>
                <w:sz w:val="19"/>
              </w:rPr>
              <w:t>18.51%</w:t>
            </w:r>
          </w:p>
        </w:tc>
        <w:tc>
          <w:tcPr>
            <w:tcW w:type="dxa" w:w="1872"/>
            <w:shd w:fill="EFF6FF" w:val="clear"/>
          </w:tcPr>
          <w:p>
            <w:pPr>
              <w:jc w:val="center"/>
            </w:pPr>
            <w:r>
              <w:rPr>
                <w:rFonts w:ascii="Arial" w:hAnsi="Arial"/>
                <w:b w:val="0"/>
                <w:i w:val="0"/>
                <w:sz w:val="19"/>
              </w:rPr>
              <w:t>₹1,04,163</w:t>
            </w:r>
          </w:p>
        </w:tc>
        <w:tc>
          <w:tcPr>
            <w:tcW w:type="dxa" w:w="1224"/>
            <w:shd w:fill="EFF6FF" w:val="clear"/>
          </w:tcPr>
          <w:p>
            <w:pPr>
              <w:jc w:val="center"/>
            </w:pPr>
            <w:r>
              <w:rPr>
                <w:rFonts w:ascii="Arial" w:hAnsi="Arial"/>
                <w:b w:val="0"/>
                <w:i w:val="0"/>
                <w:sz w:val="19"/>
              </w:rPr>
              <w:t>66.0%</w:t>
            </w:r>
          </w:p>
        </w:tc>
      </w:tr>
      <w:tr>
        <w:tc>
          <w:tcPr>
            <w:tcW w:type="dxa" w:w="2304"/>
            <w:shd w:fill="FFFFFF" w:val="clear"/>
          </w:tcPr>
          <w:p>
            <w:pPr>
              <w:jc w:val="center"/>
            </w:pPr>
            <w:r>
              <w:rPr>
                <w:rFonts w:ascii="Arial" w:hAnsi="Arial"/>
                <w:b w:val="0"/>
                <w:i w:val="0"/>
                <w:sz w:val="19"/>
              </w:rPr>
              <w:t>Personal Loan</w:t>
            </w:r>
          </w:p>
        </w:tc>
        <w:tc>
          <w:tcPr>
            <w:tcW w:type="dxa" w:w="936"/>
            <w:shd w:fill="FFFFFF" w:val="clear"/>
          </w:tcPr>
          <w:p>
            <w:pPr>
              <w:jc w:val="center"/>
            </w:pPr>
            <w:r>
              <w:rPr>
                <w:rFonts w:ascii="Arial" w:hAnsi="Arial"/>
                <w:b w:val="0"/>
                <w:i w:val="0"/>
                <w:sz w:val="19"/>
              </w:rPr>
              <w:t>1,463</w:t>
            </w:r>
          </w:p>
        </w:tc>
        <w:tc>
          <w:tcPr>
            <w:tcW w:type="dxa" w:w="1152"/>
            <w:shd w:fill="FFFFFF" w:val="clear"/>
          </w:tcPr>
          <w:p>
            <w:pPr>
              <w:jc w:val="center"/>
            </w:pPr>
            <w:r>
              <w:rPr>
                <w:rFonts w:ascii="Arial" w:hAnsi="Arial"/>
                <w:b w:val="0"/>
                <w:i w:val="0"/>
                <w:sz w:val="19"/>
              </w:rPr>
              <w:t>15.0%</w:t>
            </w:r>
          </w:p>
        </w:tc>
        <w:tc>
          <w:tcPr>
            <w:tcW w:type="dxa" w:w="1296"/>
            <w:shd w:fill="FFFFFF" w:val="clear"/>
          </w:tcPr>
          <w:p>
            <w:pPr>
              <w:jc w:val="center"/>
            </w:pPr>
            <w:r>
              <w:rPr>
                <w:rFonts w:ascii="Arial" w:hAnsi="Arial"/>
                <w:b w:val="0"/>
                <w:i w:val="0"/>
                <w:sz w:val="19"/>
              </w:rPr>
              <w:t>₹2.81L</w:t>
            </w:r>
          </w:p>
        </w:tc>
        <w:tc>
          <w:tcPr>
            <w:tcW w:type="dxa" w:w="1224"/>
            <w:shd w:fill="FFFFFF" w:val="clear"/>
          </w:tcPr>
          <w:p>
            <w:pPr>
              <w:jc w:val="center"/>
            </w:pPr>
            <w:r>
              <w:rPr>
                <w:rFonts w:ascii="Arial" w:hAnsi="Arial"/>
                <w:b w:val="0"/>
                <w:i w:val="0"/>
                <w:sz w:val="19"/>
              </w:rPr>
              <w:t>27.7 mo</w:t>
            </w:r>
          </w:p>
        </w:tc>
        <w:tc>
          <w:tcPr>
            <w:tcW w:type="dxa" w:w="1224"/>
            <w:shd w:fill="FFFFFF" w:val="clear"/>
          </w:tcPr>
          <w:p>
            <w:pPr>
              <w:jc w:val="center"/>
            </w:pPr>
            <w:r>
              <w:rPr>
                <w:rFonts w:ascii="Arial" w:hAnsi="Arial"/>
                <w:b w:val="0"/>
                <w:i w:val="0"/>
                <w:sz w:val="19"/>
              </w:rPr>
              <w:t>18.98%</w:t>
            </w:r>
          </w:p>
        </w:tc>
        <w:tc>
          <w:tcPr>
            <w:tcW w:type="dxa" w:w="1872"/>
            <w:shd w:fill="FFFFFF" w:val="clear"/>
          </w:tcPr>
          <w:p>
            <w:pPr>
              <w:jc w:val="center"/>
            </w:pPr>
            <w:r>
              <w:rPr>
                <w:rFonts w:ascii="Arial" w:hAnsi="Arial"/>
                <w:b w:val="0"/>
                <w:i w:val="0"/>
                <w:sz w:val="19"/>
              </w:rPr>
              <w:t>₹52,865</w:t>
            </w:r>
          </w:p>
        </w:tc>
        <w:tc>
          <w:tcPr>
            <w:tcW w:type="dxa" w:w="1224"/>
            <w:shd w:fill="FFFFFF" w:val="clear"/>
          </w:tcPr>
          <w:p>
            <w:pPr>
              <w:jc w:val="center"/>
            </w:pPr>
            <w:r>
              <w:rPr>
                <w:rFonts w:ascii="Arial" w:hAnsi="Arial"/>
                <w:b w:val="0"/>
                <w:i w:val="0"/>
                <w:sz w:val="19"/>
              </w:rPr>
              <w:t>32.4%</w:t>
            </w:r>
          </w:p>
        </w:tc>
      </w:tr>
      <w:tr>
        <w:tc>
          <w:tcPr>
            <w:tcW w:type="dxa" w:w="2304"/>
            <w:shd w:fill="EFF6FF" w:val="clear"/>
          </w:tcPr>
          <w:p>
            <w:pPr>
              <w:jc w:val="center"/>
            </w:pPr>
            <w:r>
              <w:rPr>
                <w:rFonts w:ascii="Arial" w:hAnsi="Arial"/>
                <w:b w:val="0"/>
                <w:i w:val="0"/>
                <w:sz w:val="19"/>
              </w:rPr>
              <w:t>BNPL</w:t>
            </w:r>
          </w:p>
        </w:tc>
        <w:tc>
          <w:tcPr>
            <w:tcW w:type="dxa" w:w="936"/>
            <w:shd w:fill="EFF6FF" w:val="clear"/>
          </w:tcPr>
          <w:p>
            <w:pPr>
              <w:jc w:val="center"/>
            </w:pPr>
            <w:r>
              <w:rPr>
                <w:rFonts w:ascii="Arial" w:hAnsi="Arial"/>
                <w:b w:val="0"/>
                <w:i w:val="0"/>
                <w:sz w:val="19"/>
              </w:rPr>
              <w:t>775</w:t>
            </w:r>
          </w:p>
        </w:tc>
        <w:tc>
          <w:tcPr>
            <w:tcW w:type="dxa" w:w="1152"/>
            <w:shd w:fill="EFF6FF" w:val="clear"/>
          </w:tcPr>
          <w:p>
            <w:pPr>
              <w:jc w:val="center"/>
            </w:pPr>
            <w:r>
              <w:rPr>
                <w:rFonts w:ascii="Arial" w:hAnsi="Arial"/>
                <w:b w:val="0"/>
                <w:i w:val="0"/>
                <w:sz w:val="19"/>
              </w:rPr>
              <w:t>18.0%</w:t>
            </w:r>
          </w:p>
        </w:tc>
        <w:tc>
          <w:tcPr>
            <w:tcW w:type="dxa" w:w="1296"/>
            <w:shd w:fill="EFF6FF" w:val="clear"/>
          </w:tcPr>
          <w:p>
            <w:pPr>
              <w:jc w:val="center"/>
            </w:pPr>
            <w:r>
              <w:rPr>
                <w:rFonts w:ascii="Arial" w:hAnsi="Arial"/>
                <w:b w:val="0"/>
                <w:i w:val="0"/>
                <w:sz w:val="19"/>
              </w:rPr>
              <w:t>₹27,058</w:t>
            </w:r>
          </w:p>
        </w:tc>
        <w:tc>
          <w:tcPr>
            <w:tcW w:type="dxa" w:w="1224"/>
            <w:shd w:fill="EFF6FF" w:val="clear"/>
          </w:tcPr>
          <w:p>
            <w:pPr>
              <w:jc w:val="center"/>
            </w:pPr>
            <w:r>
              <w:rPr>
                <w:rFonts w:ascii="Arial" w:hAnsi="Arial"/>
                <w:b w:val="0"/>
                <w:i w:val="0"/>
                <w:sz w:val="19"/>
              </w:rPr>
              <w:t>3.3 mo</w:t>
            </w:r>
          </w:p>
        </w:tc>
        <w:tc>
          <w:tcPr>
            <w:tcW w:type="dxa" w:w="1224"/>
            <w:shd w:fill="EFF6FF" w:val="clear"/>
          </w:tcPr>
          <w:p>
            <w:pPr>
              <w:jc w:val="center"/>
            </w:pPr>
            <w:r>
              <w:rPr>
                <w:rFonts w:ascii="Arial" w:hAnsi="Arial"/>
                <w:b w:val="0"/>
                <w:i w:val="0"/>
                <w:sz w:val="19"/>
              </w:rPr>
              <w:t>18.55%</w:t>
            </w:r>
          </w:p>
        </w:tc>
        <w:tc>
          <w:tcPr>
            <w:tcW w:type="dxa" w:w="1872"/>
            <w:shd w:fill="EFF6FF" w:val="clear"/>
          </w:tcPr>
          <w:p>
            <w:pPr>
              <w:jc w:val="center"/>
            </w:pPr>
            <w:r>
              <w:rPr>
                <w:rFonts w:ascii="Arial" w:hAnsi="Arial"/>
                <w:b w:val="0"/>
                <w:i w:val="0"/>
                <w:sz w:val="19"/>
              </w:rPr>
              <w:t>₹657</w:t>
            </w:r>
          </w:p>
        </w:tc>
        <w:tc>
          <w:tcPr>
            <w:tcW w:type="dxa" w:w="1224"/>
            <w:shd w:fill="EFF6FF" w:val="clear"/>
          </w:tcPr>
          <w:p>
            <w:pPr>
              <w:jc w:val="center"/>
            </w:pPr>
            <w:r>
              <w:rPr>
                <w:rFonts w:ascii="Arial" w:hAnsi="Arial"/>
                <w:b w:val="0"/>
                <w:i w:val="0"/>
                <w:sz w:val="19"/>
              </w:rPr>
              <w:t>1.7%</w:t>
            </w:r>
          </w:p>
        </w:tc>
      </w:tr>
    </w:tbl>
    <w:p>
      <w:pPr>
        <w:spacing w:after="80"/>
      </w:pPr>
    </w:p>
    <w:p>
      <w:pPr>
        <w:jc w:val="center"/>
      </w:pPr>
      <w:r>
        <w:drawing>
          <wp:inline xmlns:a="http://schemas.openxmlformats.org/drawingml/2006/main" xmlns:pic="http://schemas.openxmlformats.org/drawingml/2006/picture">
            <wp:extent cx="5669280" cy="4058908"/>
            <wp:docPr id="4" name="Picture 4"/>
            <wp:cNvGraphicFramePr>
              <a:graphicFrameLocks noChangeAspect="1"/>
            </wp:cNvGraphicFramePr>
            <a:graphic>
              <a:graphicData uri="http://schemas.openxmlformats.org/drawingml/2006/picture">
                <pic:pic>
                  <pic:nvPicPr>
                    <pic:cNvPr id="0" name="chart3_product_analysis.png"/>
                    <pic:cNvPicPr/>
                  </pic:nvPicPr>
                  <pic:blipFill>
                    <a:blip r:embed="rId12"/>
                    <a:stretch>
                      <a:fillRect/>
                    </a:stretch>
                  </pic:blipFill>
                  <pic:spPr>
                    <a:xfrm>
                      <a:off x="0" y="0"/>
                      <a:ext cx="5669280" cy="4058908"/>
                    </a:xfrm>
                    <a:prstGeom prst="rect"/>
                  </pic:spPr>
                </pic:pic>
              </a:graphicData>
            </a:graphic>
          </wp:inline>
        </w:drawing>
      </w:r>
    </w:p>
    <w:p>
      <w:pPr>
        <w:spacing w:after="160"/>
        <w:jc w:val="center"/>
      </w:pPr>
      <w:r>
        <w:rPr>
          <w:rFonts w:ascii="Arial" w:hAnsi="Arial"/>
          <w:b w:val="0"/>
          <w:i/>
          <w:color w:val="646464"/>
          <w:sz w:val="18"/>
        </w:rPr>
        <w:t>Figure 3: Product Analysis — Default by Product, Book Share, Ticket Size, and Tenure</w:t>
      </w:r>
    </w:p>
    <w:p>
      <w:pPr>
        <w:spacing w:before="200" w:after="60"/>
      </w:pPr>
      <w:r>
        <w:rPr>
          <w:rFonts w:ascii="Arial" w:hAnsi="Arial"/>
          <w:b/>
          <w:i w:val="0"/>
          <w:color w:val="1E3A8A"/>
          <w:sz w:val="22"/>
        </w:rPr>
        <w:t>6.1 BNPL — Strategic Reframing</w:t>
      </w:r>
    </w:p>
    <w:p>
      <w:pPr>
        <w:spacing w:after="100" w:before="0"/>
      </w:pPr>
      <w:r>
        <w:rPr>
          <w:rFonts w:ascii="Arial" w:hAnsi="Arial"/>
          <w:b w:val="0"/>
          <w:i w:val="0"/>
          <w:sz w:val="21"/>
        </w:rPr>
        <w:t>While BNPL currently contributes limited standalone profitability (₹657 risk-adjusted return per loan vs ₹52,865 for Personal Loans), it may serve as an acquisition and customer activation funnel for future cross-sell into higher-margin personal loan products. Customers who perform well on BNPL demonstrate repayment discipline and provide bureau history that can support faster personal loan underwriting. However, tighter underwriting and lower exposure caps are recommended until cohort performance stabilizes above a 14% default threshold.</w:t>
      </w:r>
    </w:p>
    <w:p>
      <w:pPr>
        <w:spacing w:before="280" w:after="80"/>
        <w:pBdr>
          <w:bottom w:val="single" w:sz="6" w:space="1" w:color="1E3A8A"/>
        </w:pBdr>
      </w:pPr>
      <w:r>
        <w:rPr>
          <w:rFonts w:ascii="Arial" w:hAnsi="Arial"/>
          <w:b/>
          <w:i w:val="0"/>
          <w:color w:val="1E3A8A"/>
          <w:sz w:val="26"/>
        </w:rPr>
        <w:t>7. Early Warning Signal Framework</w:t>
      </w:r>
    </w:p>
    <w:p>
      <w:pPr>
        <w:spacing w:after="100" w:before="0"/>
      </w:pPr>
      <w:r>
        <w:rPr>
          <w:rFonts w:ascii="Arial" w:hAnsi="Arial"/>
          <w:b w:val="0"/>
          <w:i w:val="0"/>
          <w:sz w:val="21"/>
        </w:rPr>
        <w:t>The absence of a formal early warning system is a material gap in LendFast's risk infrastructure. The following framework is designed to catch customers in the SMA-0 stage (DPD 1–29) before they transition to NPA.</w:t>
      </w:r>
    </w:p>
    <w:p>
      <w:pPr>
        <w:jc w:val="center"/>
      </w:pPr>
      <w:r>
        <w:drawing>
          <wp:inline xmlns:a="http://schemas.openxmlformats.org/drawingml/2006/main" xmlns:pic="http://schemas.openxmlformats.org/drawingml/2006/picture">
            <wp:extent cx="5669280" cy="2022995"/>
            <wp:docPr id="5" name="Picture 5"/>
            <wp:cNvGraphicFramePr>
              <a:graphicFrameLocks noChangeAspect="1"/>
            </wp:cNvGraphicFramePr>
            <a:graphic>
              <a:graphicData uri="http://schemas.openxmlformats.org/drawingml/2006/picture">
                <pic:pic>
                  <pic:nvPicPr>
                    <pic:cNvPr id="0" name="chart5_early_warning.png"/>
                    <pic:cNvPicPr/>
                  </pic:nvPicPr>
                  <pic:blipFill>
                    <a:blip r:embed="rId13"/>
                    <a:stretch>
                      <a:fillRect/>
                    </a:stretch>
                  </pic:blipFill>
                  <pic:spPr>
                    <a:xfrm>
                      <a:off x="0" y="0"/>
                      <a:ext cx="5669280" cy="2022995"/>
                    </a:xfrm>
                    <a:prstGeom prst="rect"/>
                  </pic:spPr>
                </pic:pic>
              </a:graphicData>
            </a:graphic>
          </wp:inline>
        </w:drawing>
      </w:r>
    </w:p>
    <w:p>
      <w:pPr>
        <w:spacing w:after="160"/>
        <w:jc w:val="center"/>
      </w:pPr>
      <w:r>
        <w:rPr>
          <w:rFonts w:ascii="Arial" w:hAnsi="Arial"/>
          <w:b w:val="0"/>
          <w:i/>
          <w:color w:val="646464"/>
          <w:sz w:val="18"/>
        </w:rPr>
        <w:t>Figure 5: DPD Bucket Distribution and Cohort Default Rate by Origination Quarter</w:t>
      </w:r>
    </w:p>
    <w:p>
      <w:pPr>
        <w:spacing w:before="200" w:after="60"/>
      </w:pPr>
      <w:r>
        <w:rPr>
          <w:rFonts w:ascii="Arial" w:hAnsi="Arial"/>
          <w:b/>
          <w:i w:val="0"/>
          <w:color w:val="1E3A8A"/>
          <w:sz w:val="22"/>
        </w:rPr>
        <w:t>7.1 Three-Trigger Watch List</w:t>
      </w:r>
    </w:p>
    <w:p>
      <w:pPr>
        <w:spacing w:after="100" w:before="0"/>
      </w:pPr>
      <w:r>
        <w:rPr>
          <w:rFonts w:ascii="Arial" w:hAnsi="Arial"/>
          <w:b w:val="0"/>
          <w:i w:val="0"/>
          <w:sz w:val="21"/>
        </w:rPr>
        <w:t>A customer is placed on the Watch List when ALL three conditions are simultaneously met:</w:t>
      </w:r>
    </w:p>
    <w:p>
      <w:pPr>
        <w:pStyle w:val="ListBullet"/>
        <w:spacing w:after="60"/>
      </w:pPr>
      <w:r>
        <w:rPr>
          <w:rFonts w:ascii="Arial" w:hAnsi="Arial"/>
          <w:b/>
          <w:i w:val="0"/>
          <w:sz w:val="21"/>
        </w:rPr>
        <w:t xml:space="preserve">Trigger 1: </w:t>
      </w:r>
      <w:r>
        <w:rPr>
          <w:rFonts w:ascii="Arial" w:hAnsi="Arial"/>
          <w:b w:val="0"/>
          <w:i w:val="0"/>
          <w:sz w:val="21"/>
        </w:rPr>
        <w:t>DPD between 1 and 29 days on most recent EMI</w:t>
      </w:r>
    </w:p>
    <w:p>
      <w:pPr>
        <w:pStyle w:val="ListBullet"/>
        <w:spacing w:after="60"/>
      </w:pPr>
      <w:r>
        <w:rPr>
          <w:rFonts w:ascii="Arial" w:hAnsi="Arial"/>
          <w:b/>
          <w:i w:val="0"/>
          <w:sz w:val="21"/>
        </w:rPr>
        <w:t xml:space="preserve">Trigger 2: </w:t>
      </w:r>
      <w:r>
        <w:rPr>
          <w:rFonts w:ascii="Arial" w:hAnsi="Arial"/>
          <w:b w:val="0"/>
          <w:i w:val="0"/>
          <w:sz w:val="21"/>
        </w:rPr>
        <w:t>Balance volatility score above 0.50</w:t>
      </w:r>
    </w:p>
    <w:p>
      <w:pPr>
        <w:pStyle w:val="ListBullet"/>
        <w:spacing w:after="60"/>
      </w:pPr>
      <w:r>
        <w:rPr>
          <w:rFonts w:ascii="Arial" w:hAnsi="Arial"/>
          <w:b/>
          <w:i w:val="0"/>
          <w:sz w:val="21"/>
        </w:rPr>
        <w:t xml:space="preserve">Trigger 3: </w:t>
      </w:r>
      <w:r>
        <w:rPr>
          <w:rFonts w:ascii="Arial" w:hAnsi="Arial"/>
          <w:b w:val="0"/>
          <w:i w:val="0"/>
          <w:sz w:val="21"/>
        </w:rPr>
        <w:t>EMI-to-income ratio above 40%</w:t>
      </w:r>
    </w:p>
    <w:p>
      <w:pPr>
        <w:spacing w:after="100" w:before="0"/>
      </w:pPr>
      <w:r>
        <w:rPr>
          <w:rFonts w:ascii="Arial" w:hAnsi="Arial"/>
          <w:b w:val="0"/>
          <w:i w:val="0"/>
          <w:sz w:val="21"/>
        </w:rPr>
        <w:t>Under this framework, 81 customers (2.7% of portfolio) are currently flagged. Historical transition data suggests 40–50% of SMA-0 customers with high balance volatility graduate to SMA-1 within 60 days without intervention. Proactive outreach at this stage is estimated to reduce NPA transition rates by 30–40%.</w:t>
      </w:r>
    </w:p>
    <w:p>
      <w:pPr>
        <w:jc w:val="center"/>
      </w:pPr>
      <w:r>
        <w:drawing>
          <wp:inline xmlns:a="http://schemas.openxmlformats.org/drawingml/2006/main" xmlns:pic="http://schemas.openxmlformats.org/drawingml/2006/picture">
            <wp:extent cx="5669280" cy="1768530"/>
            <wp:docPr id="6" name="Picture 6"/>
            <wp:cNvGraphicFramePr>
              <a:graphicFrameLocks noChangeAspect="1"/>
            </wp:cNvGraphicFramePr>
            <a:graphic>
              <a:graphicData uri="http://schemas.openxmlformats.org/drawingml/2006/picture">
                <pic:pic>
                  <pic:nvPicPr>
                    <pic:cNvPr id="0" name="chart6_behavioral_signals.png"/>
                    <pic:cNvPicPr/>
                  </pic:nvPicPr>
                  <pic:blipFill>
                    <a:blip r:embed="rId14"/>
                    <a:stretch>
                      <a:fillRect/>
                    </a:stretch>
                  </pic:blipFill>
                  <pic:spPr>
                    <a:xfrm>
                      <a:off x="0" y="0"/>
                      <a:ext cx="5669280" cy="1768530"/>
                    </a:xfrm>
                    <a:prstGeom prst="rect"/>
                  </pic:spPr>
                </pic:pic>
              </a:graphicData>
            </a:graphic>
          </wp:inline>
        </w:drawing>
      </w:r>
    </w:p>
    <w:p>
      <w:pPr>
        <w:spacing w:after="160"/>
        <w:jc w:val="center"/>
      </w:pPr>
      <w:r>
        <w:rPr>
          <w:rFonts w:ascii="Arial" w:hAnsi="Arial"/>
          <w:b w:val="0"/>
          <w:i/>
          <w:color w:val="646464"/>
          <w:sz w:val="18"/>
        </w:rPr>
        <w:t>Figure 6: Behavioral Signals — Balance Volatility, Spending Shock, and Cash Flow Consistency vs Default</w:t>
      </w:r>
    </w:p>
    <w:p>
      <w:pPr>
        <w:spacing w:before="280" w:after="80"/>
        <w:pBdr>
          <w:bottom w:val="single" w:sz="6" w:space="1" w:color="1E3A8A"/>
        </w:pBdr>
      </w:pPr>
      <w:r>
        <w:rPr>
          <w:rFonts w:ascii="Arial" w:hAnsi="Arial"/>
          <w:b/>
          <w:i w:val="0"/>
          <w:color w:val="1E3A8A"/>
          <w:sz w:val="26"/>
        </w:rPr>
        <w:t>8. Pricing &amp; Approval Strategy</w:t>
      </w:r>
    </w:p>
    <w:p>
      <w:pPr>
        <w:spacing w:after="100" w:before="0"/>
      </w:pPr>
      <w:r>
        <w:rPr>
          <w:rFonts w:ascii="Arial" w:hAnsi="Arial"/>
          <w:b w:val="0"/>
          <w:i w:val="0"/>
          <w:sz w:val="21"/>
        </w:rPr>
        <w:t>Current pricing does not sufficiently differentiate by risk tier. Average rates across tiers are broadly similar despite a 3× difference in default rates. The following recalibration is recommended:</w:t>
      </w:r>
    </w:p>
    <w:p>
      <w:pPr>
        <w:jc w:val="center"/>
      </w:pPr>
      <w:r>
        <w:drawing>
          <wp:inline xmlns:a="http://schemas.openxmlformats.org/drawingml/2006/main" xmlns:pic="http://schemas.openxmlformats.org/drawingml/2006/picture">
            <wp:extent cx="5669280" cy="1787003"/>
            <wp:docPr id="7" name="Picture 7"/>
            <wp:cNvGraphicFramePr>
              <a:graphicFrameLocks noChangeAspect="1"/>
            </wp:cNvGraphicFramePr>
            <a:graphic>
              <a:graphicData uri="http://schemas.openxmlformats.org/drawingml/2006/picture">
                <pic:pic>
                  <pic:nvPicPr>
                    <pic:cNvPr id="0" name="chart4_pricing_strategy.png"/>
                    <pic:cNvPicPr/>
                  </pic:nvPicPr>
                  <pic:blipFill>
                    <a:blip r:embed="rId15"/>
                    <a:stretch>
                      <a:fillRect/>
                    </a:stretch>
                  </pic:blipFill>
                  <pic:spPr>
                    <a:xfrm>
                      <a:off x="0" y="0"/>
                      <a:ext cx="5669280" cy="1787003"/>
                    </a:xfrm>
                    <a:prstGeom prst="rect"/>
                  </pic:spPr>
                </pic:pic>
              </a:graphicData>
            </a:graphic>
          </wp:inline>
        </w:drawing>
      </w:r>
    </w:p>
    <w:p>
      <w:pPr>
        <w:spacing w:after="160"/>
        <w:jc w:val="center"/>
      </w:pPr>
      <w:r>
        <w:rPr>
          <w:rFonts w:ascii="Arial" w:hAnsi="Arial"/>
          <w:b w:val="0"/>
          <w:i/>
          <w:color w:val="646464"/>
          <w:sz w:val="18"/>
        </w:rPr>
        <w:t>Figure 4: Pricing Strategy — EMI Stress, Stressed Customer %, and Rate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1E3A8A" w:val="clear"/>
          </w:tcPr>
          <w:p>
            <w:pPr>
              <w:jc w:val="center"/>
            </w:pPr>
            <w:r>
              <w:rPr>
                <w:rFonts w:ascii="Arial" w:hAnsi="Arial"/>
                <w:b/>
                <w:i w:val="0"/>
                <w:color w:val="FFFFFF"/>
                <w:sz w:val="19"/>
              </w:rPr>
              <w:t>Tier</w:t>
            </w:r>
          </w:p>
        </w:tc>
        <w:tc>
          <w:tcPr>
            <w:tcW w:type="dxa" w:w="2016"/>
            <w:shd w:fill="1E3A8A" w:val="clear"/>
          </w:tcPr>
          <w:p>
            <w:pPr>
              <w:jc w:val="center"/>
            </w:pPr>
            <w:r>
              <w:rPr>
                <w:rFonts w:ascii="Arial" w:hAnsi="Arial"/>
                <w:b/>
                <w:i w:val="0"/>
                <w:color w:val="FFFFFF"/>
                <w:sz w:val="19"/>
              </w:rPr>
              <w:t>Current Avg Rate</w:t>
            </w:r>
          </w:p>
        </w:tc>
        <w:tc>
          <w:tcPr>
            <w:tcW w:type="dxa" w:w="2016"/>
            <w:shd w:fill="1E3A8A" w:val="clear"/>
          </w:tcPr>
          <w:p>
            <w:pPr>
              <w:jc w:val="center"/>
            </w:pPr>
            <w:r>
              <w:rPr>
                <w:rFonts w:ascii="Arial" w:hAnsi="Arial"/>
                <w:b/>
                <w:i w:val="0"/>
                <w:color w:val="FFFFFF"/>
                <w:sz w:val="19"/>
              </w:rPr>
              <w:t>Recommended Rate</w:t>
            </w:r>
          </w:p>
        </w:tc>
        <w:tc>
          <w:tcPr>
            <w:tcW w:type="dxa" w:w="3456"/>
            <w:shd w:fill="1E3A8A" w:val="clear"/>
          </w:tcPr>
          <w:p>
            <w:pPr>
              <w:jc w:val="center"/>
            </w:pPr>
            <w:r>
              <w:rPr>
                <w:rFonts w:ascii="Arial" w:hAnsi="Arial"/>
                <w:b/>
                <w:i w:val="0"/>
                <w:color w:val="FFFFFF"/>
                <w:sz w:val="19"/>
              </w:rPr>
              <w:t>Rationale</w:t>
            </w:r>
          </w:p>
        </w:tc>
      </w:tr>
      <w:tr>
        <w:tc>
          <w:tcPr>
            <w:tcW w:type="dxa" w:w="2592"/>
            <w:shd w:fill="EFF6FF" w:val="clear"/>
          </w:tcPr>
          <w:p>
            <w:pPr>
              <w:jc w:val="center"/>
            </w:pPr>
            <w:r>
              <w:rPr>
                <w:rFonts w:ascii="Arial" w:hAnsi="Arial"/>
                <w:b w:val="0"/>
                <w:i w:val="0"/>
                <w:sz w:val="19"/>
              </w:rPr>
              <w:t>Tier 1 — Prime</w:t>
            </w:r>
          </w:p>
        </w:tc>
        <w:tc>
          <w:tcPr>
            <w:tcW w:type="dxa" w:w="2016"/>
            <w:shd w:fill="EFF6FF" w:val="clear"/>
          </w:tcPr>
          <w:p>
            <w:pPr>
              <w:jc w:val="center"/>
            </w:pPr>
            <w:r>
              <w:rPr>
                <w:rFonts w:ascii="Arial" w:hAnsi="Arial"/>
                <w:b w:val="0"/>
                <w:i w:val="0"/>
                <w:sz w:val="19"/>
              </w:rPr>
              <w:t>~15%</w:t>
            </w:r>
          </w:p>
        </w:tc>
        <w:tc>
          <w:tcPr>
            <w:tcW w:type="dxa" w:w="2016"/>
            <w:shd w:fill="EFF6FF" w:val="clear"/>
          </w:tcPr>
          <w:p>
            <w:pPr>
              <w:jc w:val="center"/>
            </w:pPr>
            <w:r>
              <w:rPr>
                <w:rFonts w:ascii="Arial" w:hAnsi="Arial"/>
                <w:b w:val="0"/>
                <w:i w:val="0"/>
                <w:sz w:val="19"/>
              </w:rPr>
              <w:t>Reduce by 1%</w:t>
            </w:r>
          </w:p>
        </w:tc>
        <w:tc>
          <w:tcPr>
            <w:tcW w:type="dxa" w:w="3456"/>
            <w:shd w:fill="EFF6FF" w:val="clear"/>
          </w:tcPr>
          <w:p>
            <w:pPr>
              <w:jc w:val="center"/>
            </w:pPr>
            <w:r>
              <w:rPr>
                <w:rFonts w:ascii="Arial" w:hAnsi="Arial"/>
                <w:b w:val="0"/>
                <w:i w:val="0"/>
                <w:sz w:val="19"/>
              </w:rPr>
              <w:t>Reward low-risk borrowers, improve retention</w:t>
            </w:r>
          </w:p>
        </w:tc>
      </w:tr>
      <w:tr>
        <w:tc>
          <w:tcPr>
            <w:tcW w:type="dxa" w:w="2592"/>
            <w:shd w:fill="FFFFFF" w:val="clear"/>
          </w:tcPr>
          <w:p>
            <w:pPr>
              <w:jc w:val="center"/>
            </w:pPr>
            <w:r>
              <w:rPr>
                <w:rFonts w:ascii="Arial" w:hAnsi="Arial"/>
                <w:b w:val="0"/>
                <w:i w:val="0"/>
                <w:sz w:val="19"/>
              </w:rPr>
              <w:t>Tier 2 — Standard</w:t>
            </w:r>
          </w:p>
        </w:tc>
        <w:tc>
          <w:tcPr>
            <w:tcW w:type="dxa" w:w="2016"/>
            <w:shd w:fill="FFFFFF" w:val="clear"/>
          </w:tcPr>
          <w:p>
            <w:pPr>
              <w:jc w:val="center"/>
            </w:pPr>
            <w:r>
              <w:rPr>
                <w:rFonts w:ascii="Arial" w:hAnsi="Arial"/>
                <w:b w:val="0"/>
                <w:i w:val="0"/>
                <w:sz w:val="19"/>
              </w:rPr>
              <w:t>~19%</w:t>
            </w:r>
          </w:p>
        </w:tc>
        <w:tc>
          <w:tcPr>
            <w:tcW w:type="dxa" w:w="2016"/>
            <w:shd w:fill="FFFFFF" w:val="clear"/>
          </w:tcPr>
          <w:p>
            <w:pPr>
              <w:jc w:val="center"/>
            </w:pPr>
            <w:r>
              <w:rPr>
                <w:rFonts w:ascii="Arial" w:hAnsi="Arial"/>
                <w:b w:val="0"/>
                <w:i w:val="0"/>
                <w:sz w:val="19"/>
              </w:rPr>
              <w:t>Increase by 1.5%</w:t>
            </w:r>
          </w:p>
        </w:tc>
        <w:tc>
          <w:tcPr>
            <w:tcW w:type="dxa" w:w="3456"/>
            <w:shd w:fill="FFFFFF" w:val="clear"/>
          </w:tcPr>
          <w:p>
            <w:pPr>
              <w:jc w:val="center"/>
            </w:pPr>
            <w:r>
              <w:rPr>
                <w:rFonts w:ascii="Arial" w:hAnsi="Arial"/>
                <w:b w:val="0"/>
                <w:i w:val="0"/>
                <w:sz w:val="19"/>
              </w:rPr>
              <w:t>Reflect true expected loss cost</w:t>
            </w:r>
          </w:p>
        </w:tc>
      </w:tr>
      <w:tr>
        <w:tc>
          <w:tcPr>
            <w:tcW w:type="dxa" w:w="2592"/>
            <w:shd w:fill="EFF6FF" w:val="clear"/>
          </w:tcPr>
          <w:p>
            <w:pPr>
              <w:jc w:val="center"/>
            </w:pPr>
            <w:r>
              <w:rPr>
                <w:rFonts w:ascii="Arial" w:hAnsi="Arial"/>
                <w:b w:val="0"/>
                <w:i w:val="0"/>
                <w:sz w:val="19"/>
              </w:rPr>
              <w:t>Tier 3 — High Risk</w:t>
            </w:r>
          </w:p>
        </w:tc>
        <w:tc>
          <w:tcPr>
            <w:tcW w:type="dxa" w:w="2016"/>
            <w:shd w:fill="EFF6FF" w:val="clear"/>
          </w:tcPr>
          <w:p>
            <w:pPr>
              <w:jc w:val="center"/>
            </w:pPr>
            <w:r>
              <w:rPr>
                <w:rFonts w:ascii="Arial" w:hAnsi="Arial"/>
                <w:b w:val="0"/>
                <w:i w:val="0"/>
                <w:sz w:val="19"/>
              </w:rPr>
              <w:t>~22%</w:t>
            </w:r>
          </w:p>
        </w:tc>
        <w:tc>
          <w:tcPr>
            <w:tcW w:type="dxa" w:w="2016"/>
            <w:shd w:fill="EFF6FF" w:val="clear"/>
          </w:tcPr>
          <w:p>
            <w:pPr>
              <w:jc w:val="center"/>
            </w:pPr>
            <w:r>
              <w:rPr>
                <w:rFonts w:ascii="Arial" w:hAnsi="Arial"/>
                <w:b w:val="0"/>
                <w:i w:val="0"/>
                <w:sz w:val="19"/>
              </w:rPr>
              <w:t>Increase by 2.5–3%</w:t>
            </w:r>
          </w:p>
        </w:tc>
        <w:tc>
          <w:tcPr>
            <w:tcW w:type="dxa" w:w="3456"/>
            <w:shd w:fill="EFF6FF" w:val="clear"/>
          </w:tcPr>
          <w:p>
            <w:pPr>
              <w:jc w:val="center"/>
            </w:pPr>
            <w:r>
              <w:rPr>
                <w:rFonts w:ascii="Arial" w:hAnsi="Arial"/>
                <w:b w:val="0"/>
                <w:i w:val="0"/>
                <w:sz w:val="19"/>
              </w:rPr>
              <w:t>Risk-adjusted compensation for 24% default</w:t>
            </w:r>
          </w:p>
        </w:tc>
      </w:tr>
    </w:tbl>
    <w:p>
      <w:pPr>
        <w:spacing w:after="80"/>
      </w:pPr>
    </w:p>
    <w:p>
      <w:pPr>
        <w:spacing w:before="280" w:after="80"/>
        <w:pBdr>
          <w:bottom w:val="single" w:sz="6" w:space="1" w:color="1E3A8A"/>
        </w:pBdr>
      </w:pPr>
      <w:r>
        <w:rPr>
          <w:rFonts w:ascii="Arial" w:hAnsi="Arial"/>
          <w:b/>
          <w:i w:val="0"/>
          <w:color w:val="1E3A8A"/>
          <w:sz w:val="26"/>
        </w:rPr>
        <w:t>9. Policy Recommendations</w:t>
      </w:r>
    </w:p>
    <w:p>
      <w:pPr>
        <w:spacing w:after="100" w:before="0"/>
      </w:pPr>
      <w:r>
        <w:rPr>
          <w:rFonts w:ascii="Arial" w:hAnsi="Arial"/>
          <w:b w:val="0"/>
          <w:i w:val="0"/>
          <w:sz w:val="21"/>
        </w:rPr>
        <w:t>Three recommendations are sequenced by implementation ease and expected impact. Each states the action, projected impact, trade-off, and success metric.</w:t>
      </w:r>
    </w:p>
    <w:p>
      <w:pPr>
        <w:spacing w:before="200" w:after="60"/>
      </w:pPr>
      <w:r>
        <w:rPr>
          <w:rFonts w:ascii="Arial" w:hAnsi="Arial"/>
          <w:b/>
          <w:i w:val="0"/>
          <w:color w:val="1E3A8A"/>
          <w:sz w:val="22"/>
        </w:rPr>
        <w:t>Recommendation 1: DSA Channel Credit Floor</w:t>
      </w:r>
    </w:p>
    <w:tbl>
      <w:tblPr>
        <w:tblStyle w:val="TableGrid"/>
        <w:tblW w:type="auto" w:w="0"/>
        <w:jc w:val="center"/>
        <w:tblLook w:firstColumn="1" w:firstRow="1" w:lastColumn="0" w:lastRow="0" w:noHBand="0" w:noVBand="1" w:val="04A0"/>
      </w:tblPr>
      <w:tblGrid>
        <w:gridCol w:w="4680"/>
        <w:gridCol w:w="4680"/>
      </w:tblGrid>
      <w:tr>
        <w:tc>
          <w:tcPr>
            <w:tcW w:type="dxa" w:w="2016"/>
            <w:shd w:fill="1E3A8A" w:val="clear"/>
          </w:tcPr>
          <w:p>
            <w:pPr>
              <w:jc w:val="center"/>
            </w:pPr>
            <w:r>
              <w:rPr>
                <w:rFonts w:ascii="Arial" w:hAnsi="Arial"/>
                <w:b/>
                <w:i w:val="0"/>
                <w:color w:val="FFFFFF"/>
                <w:sz w:val="19"/>
              </w:rPr>
              <w:t>Dimension</w:t>
            </w:r>
          </w:p>
        </w:tc>
        <w:tc>
          <w:tcPr>
            <w:tcW w:type="dxa" w:w="7488"/>
            <w:shd w:fill="1E3A8A" w:val="clear"/>
          </w:tcPr>
          <w:p>
            <w:pPr>
              <w:jc w:val="center"/>
            </w:pPr>
            <w:r>
              <w:rPr>
                <w:rFonts w:ascii="Arial" w:hAnsi="Arial"/>
                <w:b/>
                <w:i w:val="0"/>
                <w:color w:val="FFFFFF"/>
                <w:sz w:val="19"/>
              </w:rPr>
              <w:t>Detail</w:t>
            </w:r>
          </w:p>
        </w:tc>
      </w:tr>
      <w:tr>
        <w:tc>
          <w:tcPr>
            <w:tcW w:type="dxa" w:w="2016"/>
            <w:shd w:fill="EFF6FF" w:val="clear"/>
          </w:tcPr>
          <w:p>
            <w:pPr>
              <w:jc w:val="center"/>
            </w:pPr>
            <w:r>
              <w:rPr>
                <w:rFonts w:ascii="Arial" w:hAnsi="Arial"/>
                <w:b w:val="0"/>
                <w:i w:val="0"/>
                <w:sz w:val="19"/>
              </w:rPr>
              <w:t>Action</w:t>
            </w:r>
          </w:p>
        </w:tc>
        <w:tc>
          <w:tcPr>
            <w:tcW w:type="dxa" w:w="7488"/>
            <w:shd w:fill="EFF6FF" w:val="clear"/>
          </w:tcPr>
          <w:p>
            <w:pPr>
              <w:jc w:val="center"/>
            </w:pPr>
            <w:r>
              <w:rPr>
                <w:rFonts w:ascii="Arial" w:hAnsi="Arial"/>
                <w:b w:val="0"/>
                <w:i w:val="0"/>
                <w:sz w:val="19"/>
              </w:rPr>
              <w:t>Introduce Near-Prime credit score floor for all DSA applicants. Decline Sub-Prime. Cap loan amount at ₹3L.</w:t>
            </w:r>
          </w:p>
        </w:tc>
      </w:tr>
      <w:tr>
        <w:tc>
          <w:tcPr>
            <w:tcW w:type="dxa" w:w="2016"/>
            <w:shd w:fill="FFFFFF" w:val="clear"/>
          </w:tcPr>
          <w:p>
            <w:pPr>
              <w:jc w:val="center"/>
            </w:pPr>
            <w:r>
              <w:rPr>
                <w:rFonts w:ascii="Arial" w:hAnsi="Arial"/>
                <w:b w:val="0"/>
                <w:i w:val="0"/>
                <w:sz w:val="19"/>
              </w:rPr>
              <w:t>Impact</w:t>
            </w:r>
          </w:p>
        </w:tc>
        <w:tc>
          <w:tcPr>
            <w:tcW w:type="dxa" w:w="7488"/>
            <w:shd w:fill="FFFFFF" w:val="clear"/>
          </w:tcPr>
          <w:p>
            <w:pPr>
              <w:jc w:val="center"/>
            </w:pPr>
            <w:r>
              <w:rPr>
                <w:rFonts w:ascii="Arial" w:hAnsi="Arial"/>
                <w:b w:val="0"/>
                <w:i w:val="0"/>
                <w:sz w:val="19"/>
              </w:rPr>
              <w:t>Reduce DSA default rate from 19% to ~12%. Est. ₹1.2–1.8 Cr NPA provisioning saving annually.</w:t>
            </w:r>
          </w:p>
        </w:tc>
      </w:tr>
      <w:tr>
        <w:tc>
          <w:tcPr>
            <w:tcW w:type="dxa" w:w="2016"/>
            <w:shd w:fill="EFF6FF" w:val="clear"/>
          </w:tcPr>
          <w:p>
            <w:pPr>
              <w:jc w:val="center"/>
            </w:pPr>
            <w:r>
              <w:rPr>
                <w:rFonts w:ascii="Arial" w:hAnsi="Arial"/>
                <w:b w:val="0"/>
                <w:i w:val="0"/>
                <w:sz w:val="19"/>
              </w:rPr>
              <w:t>Trade-off</w:t>
            </w:r>
          </w:p>
        </w:tc>
        <w:tc>
          <w:tcPr>
            <w:tcW w:type="dxa" w:w="7488"/>
            <w:shd w:fill="EFF6FF" w:val="clear"/>
          </w:tcPr>
          <w:p>
            <w:pPr>
              <w:jc w:val="center"/>
            </w:pPr>
            <w:r>
              <w:rPr>
                <w:rFonts w:ascii="Arial" w:hAnsi="Arial"/>
                <w:b w:val="0"/>
                <w:i w:val="0"/>
                <w:sz w:val="19"/>
              </w:rPr>
              <w:t>~15% reduction in DSA origination volume short-term. Offset by lower provisioning cost.</w:t>
            </w:r>
          </w:p>
        </w:tc>
      </w:tr>
      <w:tr>
        <w:tc>
          <w:tcPr>
            <w:tcW w:type="dxa" w:w="2016"/>
            <w:shd w:fill="FFFFFF" w:val="clear"/>
          </w:tcPr>
          <w:p>
            <w:pPr>
              <w:jc w:val="center"/>
            </w:pPr>
            <w:r>
              <w:rPr>
                <w:rFonts w:ascii="Arial" w:hAnsi="Arial"/>
                <w:b w:val="0"/>
                <w:i w:val="0"/>
                <w:sz w:val="19"/>
              </w:rPr>
              <w:t>Metric</w:t>
            </w:r>
          </w:p>
        </w:tc>
        <w:tc>
          <w:tcPr>
            <w:tcW w:type="dxa" w:w="7488"/>
            <w:shd w:fill="FFFFFF" w:val="clear"/>
          </w:tcPr>
          <w:p>
            <w:pPr>
              <w:jc w:val="center"/>
            </w:pPr>
            <w:r>
              <w:rPr>
                <w:rFonts w:ascii="Arial" w:hAnsi="Arial"/>
                <w:b w:val="0"/>
                <w:i w:val="0"/>
                <w:sz w:val="19"/>
              </w:rPr>
              <w:t>DSA channel 90-day default rate. Review at 6-month mark.</w:t>
            </w:r>
          </w:p>
        </w:tc>
      </w:tr>
    </w:tbl>
    <w:p>
      <w:pPr>
        <w:spacing w:after="80"/>
      </w:pPr>
    </w:p>
    <w:p>
      <w:pPr>
        <w:spacing w:before="200" w:after="60"/>
      </w:pPr>
      <w:r>
        <w:rPr>
          <w:rFonts w:ascii="Arial" w:hAnsi="Arial"/>
          <w:b/>
          <w:i w:val="0"/>
          <w:color w:val="1E3A8A"/>
          <w:sz w:val="22"/>
        </w:rPr>
        <w:t>Recommendation 2: Risk-Based Pricing Recalibration</w:t>
      </w:r>
    </w:p>
    <w:tbl>
      <w:tblPr>
        <w:tblStyle w:val="TableGrid"/>
        <w:tblW w:type="auto" w:w="0"/>
        <w:jc w:val="center"/>
        <w:tblLook w:firstColumn="1" w:firstRow="1" w:lastColumn="0" w:lastRow="0" w:noHBand="0" w:noVBand="1" w:val="04A0"/>
      </w:tblPr>
      <w:tblGrid>
        <w:gridCol w:w="4680"/>
        <w:gridCol w:w="4680"/>
      </w:tblGrid>
      <w:tr>
        <w:tc>
          <w:tcPr>
            <w:tcW w:type="dxa" w:w="2016"/>
            <w:shd w:fill="1E3A8A" w:val="clear"/>
          </w:tcPr>
          <w:p>
            <w:pPr>
              <w:jc w:val="center"/>
            </w:pPr>
            <w:r>
              <w:rPr>
                <w:rFonts w:ascii="Arial" w:hAnsi="Arial"/>
                <w:b/>
                <w:i w:val="0"/>
                <w:color w:val="FFFFFF"/>
                <w:sz w:val="19"/>
              </w:rPr>
              <w:t>Dimension</w:t>
            </w:r>
          </w:p>
        </w:tc>
        <w:tc>
          <w:tcPr>
            <w:tcW w:type="dxa" w:w="7488"/>
            <w:shd w:fill="1E3A8A" w:val="clear"/>
          </w:tcPr>
          <w:p>
            <w:pPr>
              <w:jc w:val="center"/>
            </w:pPr>
            <w:r>
              <w:rPr>
                <w:rFonts w:ascii="Arial" w:hAnsi="Arial"/>
                <w:b/>
                <w:i w:val="0"/>
                <w:color w:val="FFFFFF"/>
                <w:sz w:val="19"/>
              </w:rPr>
              <w:t>Detail</w:t>
            </w:r>
          </w:p>
        </w:tc>
      </w:tr>
      <w:tr>
        <w:tc>
          <w:tcPr>
            <w:tcW w:type="dxa" w:w="2016"/>
            <w:shd w:fill="EFF6FF" w:val="clear"/>
          </w:tcPr>
          <w:p>
            <w:pPr>
              <w:jc w:val="center"/>
            </w:pPr>
            <w:r>
              <w:rPr>
                <w:rFonts w:ascii="Arial" w:hAnsi="Arial"/>
                <w:b w:val="0"/>
                <w:i w:val="0"/>
                <w:sz w:val="19"/>
              </w:rPr>
              <w:t>Action</w:t>
            </w:r>
          </w:p>
        </w:tc>
        <w:tc>
          <w:tcPr>
            <w:tcW w:type="dxa" w:w="7488"/>
            <w:shd w:fill="EFF6FF" w:val="clear"/>
          </w:tcPr>
          <w:p>
            <w:pPr>
              <w:jc w:val="center"/>
            </w:pPr>
            <w:r>
              <w:rPr>
                <w:rFonts w:ascii="Arial" w:hAnsi="Arial"/>
                <w:b w:val="0"/>
                <w:i w:val="0"/>
                <w:sz w:val="19"/>
              </w:rPr>
              <w:t>Tier 1: −1%. Tier 2: +1.5%. Tier 3: +2.5–3%. Pilot on new originations first.</w:t>
            </w:r>
          </w:p>
        </w:tc>
      </w:tr>
      <w:tr>
        <w:tc>
          <w:tcPr>
            <w:tcW w:type="dxa" w:w="2016"/>
            <w:shd w:fill="FFFFFF" w:val="clear"/>
          </w:tcPr>
          <w:p>
            <w:pPr>
              <w:jc w:val="center"/>
            </w:pPr>
            <w:r>
              <w:rPr>
                <w:rFonts w:ascii="Arial" w:hAnsi="Arial"/>
                <w:b w:val="0"/>
                <w:i w:val="0"/>
                <w:sz w:val="19"/>
              </w:rPr>
              <w:t>Impact</w:t>
            </w:r>
          </w:p>
        </w:tc>
        <w:tc>
          <w:tcPr>
            <w:tcW w:type="dxa" w:w="7488"/>
            <w:shd w:fill="FFFFFF" w:val="clear"/>
          </w:tcPr>
          <w:p>
            <w:pPr>
              <w:jc w:val="center"/>
            </w:pPr>
            <w:r>
              <w:rPr>
                <w:rFonts w:ascii="Arial" w:hAnsi="Arial"/>
                <w:b w:val="0"/>
                <w:i w:val="0"/>
                <w:sz w:val="19"/>
              </w:rPr>
              <w:t>NIM improvement of ~1.2–1.8%. Tier 1 retention improves. Tier 3 demand moderates.</w:t>
            </w:r>
          </w:p>
        </w:tc>
      </w:tr>
      <w:tr>
        <w:tc>
          <w:tcPr>
            <w:tcW w:type="dxa" w:w="2016"/>
            <w:shd w:fill="EFF6FF" w:val="clear"/>
          </w:tcPr>
          <w:p>
            <w:pPr>
              <w:jc w:val="center"/>
            </w:pPr>
            <w:r>
              <w:rPr>
                <w:rFonts w:ascii="Arial" w:hAnsi="Arial"/>
                <w:b w:val="0"/>
                <w:i w:val="0"/>
                <w:sz w:val="19"/>
              </w:rPr>
              <w:t>Trade-off</w:t>
            </w:r>
          </w:p>
        </w:tc>
        <w:tc>
          <w:tcPr>
            <w:tcW w:type="dxa" w:w="7488"/>
            <w:shd w:fill="EFF6FF" w:val="clear"/>
          </w:tcPr>
          <w:p>
            <w:pPr>
              <w:jc w:val="center"/>
            </w:pPr>
            <w:r>
              <w:rPr>
                <w:rFonts w:ascii="Arial" w:hAnsi="Arial"/>
                <w:b w:val="0"/>
                <w:i w:val="0"/>
                <w:sz w:val="19"/>
              </w:rPr>
              <w:t>Tier 3 volume may decline 10–15%. Accept — margin does not justify provisioning cost at current rates.</w:t>
            </w:r>
          </w:p>
        </w:tc>
      </w:tr>
      <w:tr>
        <w:tc>
          <w:tcPr>
            <w:tcW w:type="dxa" w:w="2016"/>
            <w:shd w:fill="FFFFFF" w:val="clear"/>
          </w:tcPr>
          <w:p>
            <w:pPr>
              <w:jc w:val="center"/>
            </w:pPr>
            <w:r>
              <w:rPr>
                <w:rFonts w:ascii="Arial" w:hAnsi="Arial"/>
                <w:b w:val="0"/>
                <w:i w:val="0"/>
                <w:sz w:val="19"/>
              </w:rPr>
              <w:t>Metric</w:t>
            </w:r>
          </w:p>
        </w:tc>
        <w:tc>
          <w:tcPr>
            <w:tcW w:type="dxa" w:w="7488"/>
            <w:shd w:fill="FFFFFF" w:val="clear"/>
          </w:tcPr>
          <w:p>
            <w:pPr>
              <w:jc w:val="center"/>
            </w:pPr>
            <w:r>
              <w:rPr>
                <w:rFonts w:ascii="Arial" w:hAnsi="Arial"/>
                <w:b w:val="0"/>
                <w:i w:val="0"/>
                <w:sz w:val="19"/>
              </w:rPr>
              <w:t>NIM per tier, 3-month rolling. Tier 1 renewal rate.</w:t>
            </w:r>
          </w:p>
        </w:tc>
      </w:tr>
    </w:tbl>
    <w:p>
      <w:pPr>
        <w:spacing w:after="80"/>
      </w:pPr>
    </w:p>
    <w:p>
      <w:pPr>
        <w:spacing w:before="200" w:after="60"/>
      </w:pPr>
      <w:r>
        <w:rPr>
          <w:rFonts w:ascii="Arial" w:hAnsi="Arial"/>
          <w:b/>
          <w:i w:val="0"/>
          <w:color w:val="1E3A8A"/>
          <w:sz w:val="22"/>
        </w:rPr>
        <w:t>Recommendation 3: Early Warning Watch List Deployment</w:t>
      </w:r>
    </w:p>
    <w:tbl>
      <w:tblPr>
        <w:tblStyle w:val="TableGrid"/>
        <w:tblW w:type="auto" w:w="0"/>
        <w:jc w:val="center"/>
        <w:tblLook w:firstColumn="1" w:firstRow="1" w:lastColumn="0" w:lastRow="0" w:noHBand="0" w:noVBand="1" w:val="04A0"/>
      </w:tblPr>
      <w:tblGrid>
        <w:gridCol w:w="4680"/>
        <w:gridCol w:w="4680"/>
      </w:tblGrid>
      <w:tr>
        <w:tc>
          <w:tcPr>
            <w:tcW w:type="dxa" w:w="2016"/>
            <w:shd w:fill="1E3A8A" w:val="clear"/>
          </w:tcPr>
          <w:p>
            <w:pPr>
              <w:jc w:val="center"/>
            </w:pPr>
            <w:r>
              <w:rPr>
                <w:rFonts w:ascii="Arial" w:hAnsi="Arial"/>
                <w:b/>
                <w:i w:val="0"/>
                <w:color w:val="FFFFFF"/>
                <w:sz w:val="19"/>
              </w:rPr>
              <w:t>Dimension</w:t>
            </w:r>
          </w:p>
        </w:tc>
        <w:tc>
          <w:tcPr>
            <w:tcW w:type="dxa" w:w="7488"/>
            <w:shd w:fill="1E3A8A" w:val="clear"/>
          </w:tcPr>
          <w:p>
            <w:pPr>
              <w:jc w:val="center"/>
            </w:pPr>
            <w:r>
              <w:rPr>
                <w:rFonts w:ascii="Arial" w:hAnsi="Arial"/>
                <w:b/>
                <w:i w:val="0"/>
                <w:color w:val="FFFFFF"/>
                <w:sz w:val="19"/>
              </w:rPr>
              <w:t>Detail</w:t>
            </w:r>
          </w:p>
        </w:tc>
      </w:tr>
      <w:tr>
        <w:tc>
          <w:tcPr>
            <w:tcW w:type="dxa" w:w="2016"/>
            <w:shd w:fill="EFF6FF" w:val="clear"/>
          </w:tcPr>
          <w:p>
            <w:pPr>
              <w:jc w:val="center"/>
            </w:pPr>
            <w:r>
              <w:rPr>
                <w:rFonts w:ascii="Arial" w:hAnsi="Arial"/>
                <w:b w:val="0"/>
                <w:i w:val="0"/>
                <w:sz w:val="19"/>
              </w:rPr>
              <w:t>Action</w:t>
            </w:r>
          </w:p>
        </w:tc>
        <w:tc>
          <w:tcPr>
            <w:tcW w:type="dxa" w:w="7488"/>
            <w:shd w:fill="EFF6FF" w:val="clear"/>
          </w:tcPr>
          <w:p>
            <w:pPr>
              <w:jc w:val="center"/>
            </w:pPr>
            <w:r>
              <w:rPr>
                <w:rFonts w:ascii="Arial" w:hAnsi="Arial"/>
                <w:b w:val="0"/>
                <w:i w:val="0"/>
                <w:sz w:val="19"/>
              </w:rPr>
              <w:t>Operationalize 3-trigger watch list in LOS. Collections call within 72 hrs. Offer payment restructuring or 1-EMI deferral.</w:t>
            </w:r>
          </w:p>
        </w:tc>
      </w:tr>
      <w:tr>
        <w:tc>
          <w:tcPr>
            <w:tcW w:type="dxa" w:w="2016"/>
            <w:shd w:fill="FFFFFF" w:val="clear"/>
          </w:tcPr>
          <w:p>
            <w:pPr>
              <w:jc w:val="center"/>
            </w:pPr>
            <w:r>
              <w:rPr>
                <w:rFonts w:ascii="Arial" w:hAnsi="Arial"/>
                <w:b w:val="0"/>
                <w:i w:val="0"/>
                <w:sz w:val="19"/>
              </w:rPr>
              <w:t>Impact</w:t>
            </w:r>
          </w:p>
        </w:tc>
        <w:tc>
          <w:tcPr>
            <w:tcW w:type="dxa" w:w="7488"/>
            <w:shd w:fill="FFFFFF" w:val="clear"/>
          </w:tcPr>
          <w:p>
            <w:pPr>
              <w:jc w:val="center"/>
            </w:pPr>
            <w:r>
              <w:rPr>
                <w:rFonts w:ascii="Arial" w:hAnsi="Arial"/>
                <w:b w:val="0"/>
                <w:i w:val="0"/>
                <w:sz w:val="19"/>
              </w:rPr>
              <w:t>Prevent 30–40 of 81 watch list customers from transitioning to NPA. Est. ₹40–60L NPA avoidance in current cohort.</w:t>
            </w:r>
          </w:p>
        </w:tc>
      </w:tr>
      <w:tr>
        <w:tc>
          <w:tcPr>
            <w:tcW w:type="dxa" w:w="2016"/>
            <w:shd w:fill="EFF6FF" w:val="clear"/>
          </w:tcPr>
          <w:p>
            <w:pPr>
              <w:jc w:val="center"/>
            </w:pPr>
            <w:r>
              <w:rPr>
                <w:rFonts w:ascii="Arial" w:hAnsi="Arial"/>
                <w:b w:val="0"/>
                <w:i w:val="0"/>
                <w:sz w:val="19"/>
              </w:rPr>
              <w:t>Trade-off</w:t>
            </w:r>
          </w:p>
        </w:tc>
        <w:tc>
          <w:tcPr>
            <w:tcW w:type="dxa" w:w="7488"/>
            <w:shd w:fill="EFF6FF" w:val="clear"/>
          </w:tcPr>
          <w:p>
            <w:pPr>
              <w:jc w:val="center"/>
            </w:pPr>
            <w:r>
              <w:rPr>
                <w:rFonts w:ascii="Arial" w:hAnsi="Arial"/>
                <w:b w:val="0"/>
                <w:i w:val="0"/>
                <w:sz w:val="19"/>
              </w:rPr>
              <w:t>Requires collections bandwidth. If constrained, prioritize EMI/income &gt; 50% and balance &gt; ₹1L first.</w:t>
            </w:r>
          </w:p>
        </w:tc>
      </w:tr>
      <w:tr>
        <w:tc>
          <w:tcPr>
            <w:tcW w:type="dxa" w:w="2016"/>
            <w:shd w:fill="FFFFFF" w:val="clear"/>
          </w:tcPr>
          <w:p>
            <w:pPr>
              <w:jc w:val="center"/>
            </w:pPr>
            <w:r>
              <w:rPr>
                <w:rFonts w:ascii="Arial" w:hAnsi="Arial"/>
                <w:b w:val="0"/>
                <w:i w:val="0"/>
                <w:sz w:val="19"/>
              </w:rPr>
              <w:t>Metric</w:t>
            </w:r>
          </w:p>
        </w:tc>
        <w:tc>
          <w:tcPr>
            <w:tcW w:type="dxa" w:w="7488"/>
            <w:shd w:fill="FFFFFF" w:val="clear"/>
          </w:tcPr>
          <w:p>
            <w:pPr>
              <w:jc w:val="center"/>
            </w:pPr>
            <w:r>
              <w:rPr>
                <w:rFonts w:ascii="Arial" w:hAnsi="Arial"/>
                <w:b w:val="0"/>
                <w:i w:val="0"/>
                <w:sz w:val="19"/>
              </w:rPr>
              <w:t>% of watch list returning to Current DPD within 60 days. Target: &gt;50%.</w:t>
            </w:r>
          </w:p>
        </w:tc>
      </w:tr>
    </w:tbl>
    <w:p>
      <w:pPr>
        <w:spacing w:after="80"/>
      </w:pPr>
    </w:p>
    <w:p>
      <w:pPr>
        <w:spacing w:before="200" w:after="60"/>
      </w:pPr>
      <w:r>
        <w:rPr>
          <w:rFonts w:ascii="Arial" w:hAnsi="Arial"/>
          <w:b/>
          <w:i w:val="0"/>
          <w:color w:val="1E3A8A"/>
          <w:sz w:val="22"/>
        </w:rPr>
        <w:t>9.1 Implementation Constraints &amp; Mitigations</w:t>
      </w:r>
    </w:p>
    <w:tbl>
      <w:tblPr>
        <w:tblStyle w:val="TableGrid"/>
        <w:tblW w:type="auto" w:w="0"/>
        <w:jc w:val="center"/>
        <w:tblLook w:firstColumn="1" w:firstRow="1" w:lastColumn="0" w:lastRow="0" w:noHBand="0" w:noVBand="1" w:val="04A0"/>
      </w:tblPr>
      <w:tblGrid>
        <w:gridCol w:w="4680"/>
        <w:gridCol w:w="4680"/>
      </w:tblGrid>
      <w:tr>
        <w:tc>
          <w:tcPr>
            <w:tcW w:type="dxa" w:w="4032"/>
            <w:shd w:fill="1E3A8A" w:val="clear"/>
          </w:tcPr>
          <w:p>
            <w:pPr>
              <w:jc w:val="center"/>
            </w:pPr>
            <w:r>
              <w:rPr>
                <w:rFonts w:ascii="Arial" w:hAnsi="Arial"/>
                <w:b/>
                <w:i w:val="0"/>
                <w:color w:val="FFFFFF"/>
                <w:sz w:val="19"/>
              </w:rPr>
              <w:t>Constraint</w:t>
            </w:r>
          </w:p>
        </w:tc>
        <w:tc>
          <w:tcPr>
            <w:tcW w:type="dxa" w:w="5472"/>
            <w:shd w:fill="1E3A8A" w:val="clear"/>
          </w:tcPr>
          <w:p>
            <w:pPr>
              <w:jc w:val="center"/>
            </w:pPr>
            <w:r>
              <w:rPr>
                <w:rFonts w:ascii="Arial" w:hAnsi="Arial"/>
                <w:b/>
                <w:i w:val="0"/>
                <w:color w:val="FFFFFF"/>
                <w:sz w:val="19"/>
              </w:rPr>
              <w:t>Mitigation</w:t>
            </w:r>
          </w:p>
        </w:tc>
      </w:tr>
      <w:tr>
        <w:tc>
          <w:tcPr>
            <w:tcW w:type="dxa" w:w="4032"/>
            <w:shd w:fill="EFF6FF" w:val="clear"/>
          </w:tcPr>
          <w:p>
            <w:pPr>
              <w:jc w:val="center"/>
            </w:pPr>
            <w:r>
              <w:rPr>
                <w:rFonts w:ascii="Arial" w:hAnsi="Arial"/>
                <w:b w:val="0"/>
                <w:i w:val="0"/>
                <w:sz w:val="19"/>
              </w:rPr>
              <w:t>Collections bandwidth limitations</w:t>
            </w:r>
          </w:p>
        </w:tc>
        <w:tc>
          <w:tcPr>
            <w:tcW w:type="dxa" w:w="5472"/>
            <w:shd w:fill="EFF6FF" w:val="clear"/>
          </w:tcPr>
          <w:p>
            <w:pPr>
              <w:jc w:val="center"/>
            </w:pPr>
            <w:r>
              <w:rPr>
                <w:rFonts w:ascii="Arial" w:hAnsi="Arial"/>
                <w:b w:val="0"/>
                <w:i w:val="0"/>
                <w:sz w:val="19"/>
              </w:rPr>
              <w:t>Prioritize high-balance SMA accounts first</w:t>
            </w:r>
          </w:p>
        </w:tc>
      </w:tr>
      <w:tr>
        <w:tc>
          <w:tcPr>
            <w:tcW w:type="dxa" w:w="4032"/>
            <w:shd w:fill="FFFFFF" w:val="clear"/>
          </w:tcPr>
          <w:p>
            <w:pPr>
              <w:jc w:val="center"/>
            </w:pPr>
            <w:r>
              <w:rPr>
                <w:rFonts w:ascii="Arial" w:hAnsi="Arial"/>
                <w:b w:val="0"/>
                <w:i w:val="0"/>
                <w:sz w:val="19"/>
              </w:rPr>
              <w:t>LOS integration delays</w:t>
            </w:r>
          </w:p>
        </w:tc>
        <w:tc>
          <w:tcPr>
            <w:tcW w:type="dxa" w:w="5472"/>
            <w:shd w:fill="FFFFFF" w:val="clear"/>
          </w:tcPr>
          <w:p>
            <w:pPr>
              <w:jc w:val="center"/>
            </w:pPr>
            <w:r>
              <w:rPr>
                <w:rFonts w:ascii="Arial" w:hAnsi="Arial"/>
                <w:b w:val="0"/>
                <w:i w:val="0"/>
                <w:sz w:val="19"/>
              </w:rPr>
              <w:t>Phase-wise deployment — manual flag first, automate in Phase 2</w:t>
            </w:r>
          </w:p>
        </w:tc>
      </w:tr>
      <w:tr>
        <w:tc>
          <w:tcPr>
            <w:tcW w:type="dxa" w:w="4032"/>
            <w:shd w:fill="EFF6FF" w:val="clear"/>
          </w:tcPr>
          <w:p>
            <w:pPr>
              <w:jc w:val="center"/>
            </w:pPr>
            <w:r>
              <w:rPr>
                <w:rFonts w:ascii="Arial" w:hAnsi="Arial"/>
                <w:b w:val="0"/>
                <w:i w:val="0"/>
                <w:sz w:val="19"/>
              </w:rPr>
              <w:t>Pricing elasticity uncertainty</w:t>
            </w:r>
          </w:p>
        </w:tc>
        <w:tc>
          <w:tcPr>
            <w:tcW w:type="dxa" w:w="5472"/>
            <w:shd w:fill="EFF6FF" w:val="clear"/>
          </w:tcPr>
          <w:p>
            <w:pPr>
              <w:jc w:val="center"/>
            </w:pPr>
            <w:r>
              <w:rPr>
                <w:rFonts w:ascii="Arial" w:hAnsi="Arial"/>
                <w:b w:val="0"/>
                <w:i w:val="0"/>
                <w:sz w:val="19"/>
              </w:rPr>
              <w:t>Pilot test on 20% of new originations before full rollout</w:t>
            </w:r>
          </w:p>
        </w:tc>
      </w:tr>
      <w:tr>
        <w:tc>
          <w:tcPr>
            <w:tcW w:type="dxa" w:w="4032"/>
            <w:shd w:fill="FFFFFF" w:val="clear"/>
          </w:tcPr>
          <w:p>
            <w:pPr>
              <w:jc w:val="center"/>
            </w:pPr>
            <w:r>
              <w:rPr>
                <w:rFonts w:ascii="Arial" w:hAnsi="Arial"/>
                <w:b w:val="0"/>
                <w:i w:val="0"/>
                <w:sz w:val="19"/>
              </w:rPr>
              <w:t>DSA partner relationship risk</w:t>
            </w:r>
          </w:p>
        </w:tc>
        <w:tc>
          <w:tcPr>
            <w:tcW w:type="dxa" w:w="5472"/>
            <w:shd w:fill="FFFFFF" w:val="clear"/>
          </w:tcPr>
          <w:p>
            <w:pPr>
              <w:jc w:val="center"/>
            </w:pPr>
            <w:r>
              <w:rPr>
                <w:rFonts w:ascii="Arial" w:hAnsi="Arial"/>
                <w:b w:val="0"/>
                <w:i w:val="0"/>
                <w:sz w:val="19"/>
              </w:rPr>
              <w:t>Communicate new criteria as quality improvement, not volume reduction</w:t>
            </w:r>
          </w:p>
        </w:tc>
      </w:tr>
    </w:tbl>
    <w:p>
      <w:pPr>
        <w:spacing w:after="80"/>
      </w:pPr>
    </w:p>
    <w:p>
      <w:pPr>
        <w:spacing w:before="280" w:after="80"/>
        <w:pBdr>
          <w:bottom w:val="single" w:sz="6" w:space="1" w:color="1E3A8A"/>
        </w:pBdr>
      </w:pPr>
      <w:r>
        <w:rPr>
          <w:rFonts w:ascii="Arial" w:hAnsi="Arial"/>
          <w:b/>
          <w:i w:val="0"/>
          <w:color w:val="1E3A8A"/>
          <w:sz w:val="26"/>
        </w:rPr>
        <w:t>10. Conclusion</w:t>
      </w:r>
    </w:p>
    <w:p>
      <w:pPr>
        <w:spacing w:after="100" w:before="0"/>
      </w:pPr>
      <w:r>
        <w:rPr>
          <w:rFonts w:ascii="Arial" w:hAnsi="Arial"/>
          <w:b w:val="0"/>
          <w:i w:val="0"/>
          <w:sz w:val="21"/>
        </w:rPr>
        <w:t>LendFast's portfolio contains a structurally sound core — Tier 1 Prime customers with a 7.7% default rate — being diluted by high-risk originations without commensurate pricing compensation. The three recommendations address root causes, not symptoms.</w:t>
      </w:r>
    </w:p>
    <w:p>
      <w:pPr>
        <w:spacing w:before="120" w:after="120"/>
        <w:ind w:left="360" w:right="360"/>
        <w:shd w:fill="ECFDF5" w:val="clear"/>
      </w:pPr>
      <w:r>
        <w:rPr>
          <w:rFonts w:ascii="Arial" w:hAnsi="Arial"/>
          <w:b w:val="0"/>
          <w:i/>
          <w:color w:val="064E3B"/>
          <w:sz w:val="21"/>
        </w:rPr>
        <w:t>Projected 12-month impact (base case): Default rate toward 11–12% with strong execution. NPA provisioning reduced by est. ₹3–5 Crore. NIM improvement of 1.2–1.8%. Watch list conversion rate from ~0% (no system) to &gt;50%.</w:t>
      </w:r>
    </w:p>
    <w:p>
      <w:pPr>
        <w:spacing w:after="100" w:before="0"/>
      </w:pPr>
      <w:r>
        <w:rPr>
          <w:rFonts w:ascii="Arial" w:hAnsi="Arial"/>
          <w:b w:val="0"/>
          <w:i w:val="0"/>
          <w:sz w:val="21"/>
        </w:rPr>
        <w:t>The objective is not to reduce growth, but to redirect growth toward segments, products, and channels where risk-adjusted profitability remains sustainable. By combining tighter channel governance, behavior-driven monitoring, and differentiated pricing, LendFast can transition from volume-led expansion to disciplined portfolio compounding — where each rupee of new book generates more value than the last.</w:t>
      </w:r>
    </w:p>
    <w:p/>
    <w:p>
      <w:pPr>
        <w:pBdr>
          <w:top w:val="single" w:sz="4" w:space="1" w:color="CCCCCC"/>
        </w:pBdr>
        <w:jc w:val="center"/>
      </w:pPr>
      <w:r>
        <w:rPr>
          <w:rFonts w:ascii="Arial" w:hAnsi="Arial"/>
          <w:b w:val="0"/>
          <w:i/>
          <w:color w:val="969696"/>
          <w:sz w:val="16"/>
        </w:rPr>
        <w:t>Confidential — For Internal Use Only  |  LendFast Digital Finance Pvt. Ltd.  |  Strategy &amp; Analytics Team  |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