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Quotes and Callouts Test</w:t>
      </w:r>
    </w:p>
    <w:p>
      <w:r>
        <w:t>Standard body context prior to blockquote.</w:t>
      </w:r>
    </w:p>
    <w:p>
      <w:pPr>
        <w:pStyle w:val="Quote"/>
      </w:pPr>
      <w:r>
        <w:t>“The secret of getting ahead is getting started. The secret of getting started is breaking your complex overwhelming tasks into small manageable tasks.”</w:t>
      </w:r>
    </w:p>
    <w:p>
      <w:r>
        <w:rPr>
          <w:b/>
        </w:rPr>
        <w:t xml:space="preserve">IMPORTANT CALLOUT: </w:t>
      </w:r>
      <w:r>
        <w:t>This is a highlighted callout box section containing essential requirements and architecture instructions for the engineering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