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ict-logo-256.png"/>
                    <pic:cNvPicPr/>
                  </pic:nvPicPr>
                  <pic:blipFill>
                    <a:blip r:embed="rId11"/>
                    <a:stretch>
                      <a:fillRect/>
                    </a:stretch>
                  </pic:blipFill>
                  <pic:spPr>
                    <a:xfrm>
                      <a:off x="0" y="0"/>
                      <a:ext cx="914400" cy="914400"/>
                    </a:xfrm>
                    <a:prstGeom prst="rect"/>
                  </pic:spPr>
                </pic:pic>
              </a:graphicData>
            </a:graphic>
          </wp:inline>
        </w:drawing>
      </w:r>
    </w:p>
    <w:p>
      <w:pPr>
        <w:spacing w:before="100" w:after="40"/>
        <w:jc w:val="center"/>
      </w:pPr>
      <w:r>
        <w:rPr>
          <w:b/>
          <w:color w:val="1F7A8C"/>
          <w:sz w:val="22"/>
        </w:rPr>
        <w:t>PICT • UNIVERSITY HIGHER EDUCATION ERP</w:t>
      </w:r>
    </w:p>
    <w:p>
      <w:pPr>
        <w:pStyle w:val="Title"/>
        <w:spacing w:before="200" w:after="140"/>
        <w:jc w:val="center"/>
      </w:pPr>
      <w:r>
        <w:t>Complete Project Viva Guide</w:t>
      </w:r>
    </w:p>
    <w:p>
      <w:pPr>
        <w:spacing w:after="200"/>
        <w:jc w:val="center"/>
      </w:pPr>
      <w:r>
        <w:rPr>
          <w:color w:val="1F4E79"/>
          <w:sz w:val="28"/>
        </w:rPr>
        <w:t>Architecture • DBMS • Integration • Demonstration</w:t>
      </w:r>
    </w:p>
    <w:p>
      <w:pPr>
        <w:spacing w:after="360"/>
        <w:jc w:val="center"/>
      </w:pPr>
      <w:r>
        <w:rPr>
          <w:b/>
          <w:color w:val="17365D"/>
          <w:sz w:val="22"/>
        </w:rPr>
        <w:t>ALL MODULE GROUPS  •  COMPLETE PROJECT</w:t>
      </w:r>
    </w:p>
    <w:p>
      <w:pPr>
        <w:spacing w:after="120"/>
        <w:jc w:val="center"/>
      </w:pPr>
      <w:r>
        <w:t>Repository-grounded edition • 17 October 2026</w:t>
      </w:r>
    </w:p>
    <w:p>
      <w:pPr>
        <w:spacing w:after="80"/>
        <w:jc w:val="center"/>
      </w:pPr>
      <w:r>
        <w:t>Prepared from the checked-in project docs, SQL schema, source paths and test scripts.</w:t>
      </w:r>
    </w:p>
    <w:p>
      <w:pPr>
        <w:spacing w:after="320"/>
        <w:jc w:val="center"/>
      </w:pPr>
      <w:r>
        <w:rPr>
          <w:color w:val="5B6573"/>
          <w:sz w:val="18"/>
        </w:rPr>
        <w:t>Presenters: ______________________________________________</w:t>
      </w:r>
    </w:p>
    <w:tbl>
      <w:tblPr>
        <w:tblW w:type="auto" w:w="0"/>
        <w:tblLayout w:type="autofit"/>
        <w:tblLook w:firstColumn="1" w:firstRow="1" w:lastColumn="0" w:lastRow="0" w:noHBand="0" w:noVBand="1" w:val="04A0"/>
      </w:tblPr>
      <w:tblGrid>
        <w:gridCol w:w="9835"/>
      </w:tblGrid>
      <w:tr>
        <w:tc>
          <w:tcPr>
            <w:tcW w:type="dxa" w:w="9835"/>
            <w:shd w:fill="E7F4F3"/>
            <w:tcMar>
              <w:top w:w="120" w:type="dxa"/>
              <w:start w:w="150" w:type="dxa"/>
              <w:bottom w:w="120" w:type="dxa"/>
              <w:end w:w="150" w:type="dxa"/>
            </w:tcMar>
          </w:tcPr>
          <w:p>
            <w:pPr>
              <w:spacing w:after="60"/>
            </w:pPr>
            <w:r/>
            <w:r>
              <w:rPr>
                <w:rFonts w:ascii="Calibri" w:hAnsi="Calibri"/>
                <w:b/>
                <w:color w:val="17365D"/>
                <w:sz w:val="20"/>
              </w:rPr>
              <w:t>Defense rule</w:t>
            </w:r>
          </w:p>
          <w:p>
            <w:pPr>
              <w:spacing w:after="0"/>
            </w:pPr>
            <w:r>
              <w:rPr>
                <w:rFonts w:ascii="Calibri" w:hAnsi="Calibri"/>
                <w:color w:val="263238"/>
                <w:sz w:val="18"/>
              </w:rPr>
              <w:t>Explain what the current source and a reproducible test prove. Distinguish documented intent from verified behavior, and label seeded people/transactions as generated demo data.</w:t>
            </w:r>
          </w:p>
        </w:tc>
      </w:tr>
    </w:tbl>
    <w:p>
      <w:pPr>
        <w:spacing w:after="0"/>
      </w:pPr>
    </w:p>
    <w:p>
      <w:r>
        <w:br w:type="page"/>
      </w:r>
    </w:p>
    <w:p>
      <w:pPr>
        <w:pStyle w:val="Heading1"/>
        <w:keepNext/>
        <w:spacing w:before="200" w:after="80"/>
      </w:pPr>
      <w:r>
        <w:t>1. Project at a glance</w:t>
      </w:r>
    </w:p>
    <w:p>
      <w:pPr>
        <w:spacing w:after="100" w:line="252" w:lineRule="auto"/>
      </w:pPr>
      <w:r>
        <w:t>The University Higher Education ERP is one integrated, database-centric project for the seven module groups. Its modules share master entities and a single relational database; they are not seven independent apps or seven copies of student/faculty records.</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2008"/>
            <w:vAlign w:val="center"/>
            <w:tcMar>
              <w:top w:w="65" w:type="dxa"/>
              <w:start w:w="85" w:type="dxa"/>
              <w:bottom w:w="65" w:type="dxa"/>
              <w:end w:w="85" w:type="dxa"/>
            </w:tcMar>
            <w:shd w:fill="17365D"/>
          </w:tcPr>
          <w:p>
            <w:pPr>
              <w:spacing w:after="0" w:before="0"/>
            </w:pPr>
            <w:r/>
            <w:r>
              <w:rPr>
                <w:rFonts w:ascii="Calibri" w:hAnsi="Calibri"/>
                <w:b/>
                <w:color w:val="FFFFFF"/>
                <w:sz w:val="16"/>
              </w:rPr>
              <w:t>Item</w:t>
            </w:r>
          </w:p>
        </w:tc>
        <w:tc>
          <w:tcPr>
            <w:tcW w:type="dxa" w:w="7755"/>
            <w:vAlign w:val="center"/>
            <w:tcMar>
              <w:top w:w="65" w:type="dxa"/>
              <w:start w:w="85" w:type="dxa"/>
              <w:bottom w:w="65" w:type="dxa"/>
              <w:end w:w="85" w:type="dxa"/>
            </w:tcMar>
            <w:shd w:fill="17365D"/>
          </w:tcPr>
          <w:p>
            <w:pPr>
              <w:spacing w:after="0" w:before="0"/>
            </w:pPr>
            <w:r/>
            <w:r>
              <w:rPr>
                <w:rFonts w:ascii="Calibri" w:hAnsi="Calibri"/>
                <w:b/>
                <w:color w:val="FFFFFF"/>
                <w:sz w:val="16"/>
              </w:rPr>
              <w:t>Repository-grounded fact</w:t>
            </w:r>
          </w:p>
        </w:tc>
      </w:tr>
      <w:tr>
        <w:tc>
          <w:tcPr>
            <w:tcW w:type="dxa" w:w="2008"/>
            <w:vAlign w:val="center"/>
            <w:tcMar>
              <w:top w:w="65" w:type="dxa"/>
              <w:start w:w="85" w:type="dxa"/>
              <w:bottom w:w="65" w:type="dxa"/>
              <w:end w:w="85" w:type="dxa"/>
            </w:tcMar>
          </w:tcPr>
          <w:p>
            <w:pPr>
              <w:spacing w:after="0" w:before="0"/>
            </w:pPr>
            <w:r/>
            <w:r>
              <w:rPr>
                <w:rFonts w:ascii="Calibri" w:hAnsi="Calibri"/>
                <w:b w:val="0"/>
                <w:color w:val="263238"/>
                <w:sz w:val="16"/>
              </w:rPr>
              <w:t>Project</w:t>
            </w:r>
          </w:p>
        </w:tc>
        <w:tc>
          <w:tcPr>
            <w:tcW w:type="dxa" w:w="7755"/>
            <w:vAlign w:val="center"/>
            <w:tcMar>
              <w:top w:w="65" w:type="dxa"/>
              <w:start w:w="85" w:type="dxa"/>
              <w:bottom w:w="65" w:type="dxa"/>
              <w:end w:w="85" w:type="dxa"/>
            </w:tcMar>
          </w:tcPr>
          <w:p>
            <w:pPr>
              <w:spacing w:after="0" w:before="0"/>
            </w:pPr>
            <w:r/>
            <w:r>
              <w:rPr>
                <w:rFonts w:ascii="Calibri" w:hAnsi="Calibri"/>
                <w:b w:val="0"/>
                <w:color w:val="263238"/>
                <w:sz w:val="16"/>
              </w:rPr>
              <w:t>University Higher Education ERP System • DBMS M7 collaborative project • E&amp;TC (canonical department name).</w:t>
            </w:r>
          </w:p>
        </w:tc>
      </w:tr>
      <w:tr>
        <w:tc>
          <w:tcPr>
            <w:tcW w:type="dxa" w:w="2008"/>
            <w:vAlign w:val="center"/>
            <w:tcMar>
              <w:top w:w="65" w:type="dxa"/>
              <w:start w:w="85" w:type="dxa"/>
              <w:bottom w:w="65" w:type="dxa"/>
              <w:end w:w="85" w:type="dxa"/>
            </w:tcMar>
            <w:shd w:fill="F5F7FA"/>
          </w:tcPr>
          <w:p>
            <w:pPr>
              <w:spacing w:after="0" w:before="0"/>
            </w:pPr>
            <w:r/>
            <w:r>
              <w:rPr>
                <w:rFonts w:ascii="Calibri" w:hAnsi="Calibri"/>
                <w:b w:val="0"/>
                <w:color w:val="263238"/>
                <w:sz w:val="16"/>
              </w:rPr>
              <w:t>Frontend</w:t>
            </w:r>
          </w:p>
        </w:tc>
        <w:tc>
          <w:tcPr>
            <w:tcW w:type="dxa" w:w="7755"/>
            <w:vAlign w:val="center"/>
            <w:tcMar>
              <w:top w:w="65" w:type="dxa"/>
              <w:start w:w="85" w:type="dxa"/>
              <w:bottom w:w="65" w:type="dxa"/>
              <w:end w:w="85" w:type="dxa"/>
            </w:tcMar>
            <w:shd w:fill="F5F7FA"/>
          </w:tcPr>
          <w:p>
            <w:pPr>
              <w:spacing w:after="0" w:before="0"/>
            </w:pPr>
            <w:r/>
            <w:r>
              <w:rPr>
                <w:rFonts w:ascii="Calibri" w:hAnsi="Calibri"/>
                <w:b w:val="0"/>
                <w:color w:val="263238"/>
                <w:sz w:val="16"/>
              </w:rPr>
              <w:t>React 18, TypeScript, Tailwind CSS, Vite, React Router and Axios; one public landing/login and one shared role-aware workspace.</w:t>
            </w:r>
          </w:p>
        </w:tc>
      </w:tr>
      <w:tr>
        <w:tc>
          <w:tcPr>
            <w:tcW w:type="dxa" w:w="2008"/>
            <w:vAlign w:val="center"/>
            <w:tcMar>
              <w:top w:w="65" w:type="dxa"/>
              <w:start w:w="85" w:type="dxa"/>
              <w:bottom w:w="65" w:type="dxa"/>
              <w:end w:w="85" w:type="dxa"/>
            </w:tcMar>
          </w:tcPr>
          <w:p>
            <w:pPr>
              <w:spacing w:after="0" w:before="0"/>
            </w:pPr>
            <w:r/>
            <w:r>
              <w:rPr>
                <w:rFonts w:ascii="Calibri" w:hAnsi="Calibri"/>
                <w:b w:val="0"/>
                <w:color w:val="263238"/>
                <w:sz w:val="16"/>
              </w:rPr>
              <w:t>Backend</w:t>
            </w:r>
          </w:p>
        </w:tc>
        <w:tc>
          <w:tcPr>
            <w:tcW w:type="dxa" w:w="7755"/>
            <w:vAlign w:val="center"/>
            <w:tcMar>
              <w:top w:w="65" w:type="dxa"/>
              <w:start w:w="85" w:type="dxa"/>
              <w:bottom w:w="65" w:type="dxa"/>
              <w:end w:w="85" w:type="dxa"/>
            </w:tcMar>
          </w:tcPr>
          <w:p>
            <w:pPr>
              <w:spacing w:after="0" w:before="0"/>
            </w:pPr>
            <w:r/>
            <w:r>
              <w:rPr>
                <w:rFonts w:ascii="Calibri" w:hAnsi="Calibri"/>
                <w:b w:val="0"/>
                <w:color w:val="263238"/>
                <w:sz w:val="16"/>
              </w:rPr>
              <w:t>Node 20, Express, TypeScript, JWT authentication, bcryptjs, Zod validation, mysql2 prepared SQL and role/scoping middleware.</w:t>
            </w:r>
          </w:p>
        </w:tc>
      </w:tr>
      <w:tr>
        <w:tc>
          <w:tcPr>
            <w:tcW w:type="dxa" w:w="2008"/>
            <w:vAlign w:val="center"/>
            <w:tcMar>
              <w:top w:w="65" w:type="dxa"/>
              <w:start w:w="85" w:type="dxa"/>
              <w:bottom w:w="65" w:type="dxa"/>
              <w:end w:w="85" w:type="dxa"/>
            </w:tcMar>
            <w:shd w:fill="F5F7FA"/>
          </w:tcPr>
          <w:p>
            <w:pPr>
              <w:spacing w:after="0" w:before="0"/>
            </w:pPr>
            <w:r/>
            <w:r>
              <w:rPr>
                <w:rFonts w:ascii="Calibri" w:hAnsi="Calibri"/>
                <w:b w:val="0"/>
                <w:color w:val="263238"/>
                <w:sz w:val="16"/>
              </w:rPr>
              <w:t>DBMS</w:t>
            </w:r>
          </w:p>
        </w:tc>
        <w:tc>
          <w:tcPr>
            <w:tcW w:type="dxa" w:w="7755"/>
            <w:vAlign w:val="center"/>
            <w:tcMar>
              <w:top w:w="65" w:type="dxa"/>
              <w:start w:w="85" w:type="dxa"/>
              <w:bottom w:w="65" w:type="dxa"/>
              <w:end w:w="85" w:type="dxa"/>
            </w:tcMar>
            <w:shd w:fill="F5F7FA"/>
          </w:tcPr>
          <w:p>
            <w:pPr>
              <w:spacing w:after="0" w:before="0"/>
            </w:pPr>
            <w:r/>
            <w:r>
              <w:rPr>
                <w:rFonts w:ascii="Calibri" w:hAnsi="Calibri"/>
                <w:b w:val="0"/>
                <w:color w:val="263238"/>
                <w:sz w:val="16"/>
              </w:rPr>
              <w:t>MySQL 8 / MariaDB 10.6+; database name university_erp.</w:t>
            </w:r>
          </w:p>
        </w:tc>
      </w:tr>
      <w:tr>
        <w:tc>
          <w:tcPr>
            <w:tcW w:type="dxa" w:w="2008"/>
            <w:vAlign w:val="center"/>
            <w:tcMar>
              <w:top w:w="65" w:type="dxa"/>
              <w:start w:w="85" w:type="dxa"/>
              <w:bottom w:w="65" w:type="dxa"/>
              <w:end w:w="85" w:type="dxa"/>
            </w:tcMar>
          </w:tcPr>
          <w:p>
            <w:pPr>
              <w:spacing w:after="0" w:before="0"/>
            </w:pPr>
            <w:r/>
            <w:r>
              <w:rPr>
                <w:rFonts w:ascii="Calibri" w:hAnsi="Calibri"/>
                <w:b w:val="0"/>
                <w:color w:val="263238"/>
                <w:sz w:val="16"/>
              </w:rPr>
              <w:t>Schema artifacts</w:t>
            </w:r>
          </w:p>
        </w:tc>
        <w:tc>
          <w:tcPr>
            <w:tcW w:type="dxa" w:w="7755"/>
            <w:vAlign w:val="center"/>
            <w:tcMar>
              <w:top w:w="65" w:type="dxa"/>
              <w:start w:w="85" w:type="dxa"/>
              <w:bottom w:w="65" w:type="dxa"/>
              <w:end w:w="85" w:type="dxa"/>
            </w:tcMar>
          </w:tcPr>
          <w:p>
            <w:pPr>
              <w:spacing w:after="0" w:before="0"/>
            </w:pPr>
            <w:r/>
            <w:r>
              <w:rPr>
                <w:rFonts w:ascii="Calibri" w:hAnsi="Calibri"/>
                <w:b w:val="0"/>
                <w:color w:val="263238"/>
                <w:sz w:val="16"/>
              </w:rPr>
              <w:t>61 base tables, 677 documented columns, 138 foreign keys, 20 views, 17 stored procedures, 13 functions and 28 triggers.</w:t>
            </w:r>
          </w:p>
        </w:tc>
      </w:tr>
      <w:tr>
        <w:tc>
          <w:tcPr>
            <w:tcW w:type="dxa" w:w="2008"/>
            <w:vAlign w:val="center"/>
            <w:tcMar>
              <w:top w:w="65" w:type="dxa"/>
              <w:start w:w="85" w:type="dxa"/>
              <w:bottom w:w="65" w:type="dxa"/>
              <w:end w:w="85" w:type="dxa"/>
            </w:tcMar>
            <w:shd w:fill="F5F7FA"/>
          </w:tcPr>
          <w:p>
            <w:pPr>
              <w:spacing w:after="0" w:before="0"/>
            </w:pPr>
            <w:r/>
            <w:r>
              <w:rPr>
                <w:rFonts w:ascii="Calibri" w:hAnsi="Calibri"/>
                <w:b w:val="0"/>
                <w:color w:val="263238"/>
                <w:sz w:val="16"/>
              </w:rPr>
              <w:t>SQL learning evidence</w:t>
            </w:r>
          </w:p>
        </w:tc>
        <w:tc>
          <w:tcPr>
            <w:tcW w:type="dxa" w:w="7755"/>
            <w:vAlign w:val="center"/>
            <w:tcMar>
              <w:top w:w="65" w:type="dxa"/>
              <w:start w:w="85" w:type="dxa"/>
              <w:bottom w:w="65" w:type="dxa"/>
              <w:end w:w="85" w:type="dxa"/>
            </w:tcMar>
            <w:shd w:fill="F5F7FA"/>
          </w:tcPr>
          <w:p>
            <w:pPr>
              <w:spacing w:after="0" w:before="0"/>
            </w:pPr>
            <w:r/>
            <w:r>
              <w:rPr>
                <w:rFonts w:ascii="Calibri" w:hAnsi="Calibri"/>
                <w:b w:val="0"/>
                <w:color w:val="263238"/>
                <w:sz w:val="16"/>
              </w:rPr>
              <w:t>45 annotated analytical queries in database/09_queries.sql, including joins, grouping, subqueries, CTEs and window-function work.</w:t>
            </w:r>
          </w:p>
        </w:tc>
      </w:tr>
      <w:tr>
        <w:tc>
          <w:tcPr>
            <w:tcW w:type="dxa" w:w="2008"/>
            <w:vAlign w:val="center"/>
            <w:tcMar>
              <w:top w:w="65" w:type="dxa"/>
              <w:start w:w="85" w:type="dxa"/>
              <w:bottom w:w="65" w:type="dxa"/>
              <w:end w:w="85" w:type="dxa"/>
            </w:tcMar>
          </w:tcPr>
          <w:p>
            <w:pPr>
              <w:spacing w:after="0" w:before="0"/>
            </w:pPr>
            <w:r/>
            <w:r>
              <w:rPr>
                <w:rFonts w:ascii="Calibri" w:hAnsi="Calibri"/>
                <w:b w:val="0"/>
                <w:color w:val="263238"/>
                <w:sz w:val="16"/>
              </w:rPr>
              <w:t>Seed data</w:t>
            </w:r>
          </w:p>
        </w:tc>
        <w:tc>
          <w:tcPr>
            <w:tcW w:type="dxa" w:w="7755"/>
            <w:vAlign w:val="center"/>
            <w:tcMar>
              <w:top w:w="65" w:type="dxa"/>
              <w:start w:w="85" w:type="dxa"/>
              <w:bottom w:w="65" w:type="dxa"/>
              <w:end w:w="85" w:type="dxa"/>
            </w:tcMar>
          </w:tcPr>
          <w:p>
            <w:pPr>
              <w:spacing w:after="0" w:before="0"/>
            </w:pPr>
            <w:r/>
            <w:r>
              <w:rPr>
                <w:rFonts w:ascii="Calibri" w:hAnsi="Calibri"/>
                <w:b w:val="0"/>
                <w:color w:val="263238"/>
                <w:sz w:val="16"/>
              </w:rPr>
              <w:t>README documents generated demo data such as 141 students and 24 faculty. It is synthetic and not a real PICT student/faculty dataset.</w:t>
            </w:r>
          </w:p>
        </w:tc>
      </w:tr>
    </w:tbl>
    <w:p>
      <w:pPr>
        <w:spacing w:after="0"/>
      </w:pPr>
    </w:p>
    <w:tbl>
      <w:tblPr>
        <w:tblW w:type="auto" w:w="0"/>
        <w:tblLayout w:type="autofit"/>
        <w:tblLook w:firstColumn="1" w:firstRow="1" w:lastColumn="0" w:lastRow="0" w:noHBand="0" w:noVBand="1" w:val="04A0"/>
      </w:tblPr>
      <w:tblGrid>
        <w:gridCol w:w="9835"/>
      </w:tblGrid>
      <w:tr>
        <w:tc>
          <w:tcPr>
            <w:tcW w:type="dxa" w:w="9835"/>
            <w:shd w:fill="E7F4F3"/>
            <w:tcMar>
              <w:top w:w="120" w:type="dxa"/>
              <w:start w:w="150" w:type="dxa"/>
              <w:bottom w:w="120" w:type="dxa"/>
              <w:end w:w="150" w:type="dxa"/>
            </w:tcMar>
          </w:tcPr>
          <w:p>
            <w:pPr>
              <w:spacing w:after="60"/>
            </w:pPr>
            <w:r/>
            <w:r>
              <w:rPr>
                <w:rFonts w:ascii="Calibri" w:hAnsi="Calibri"/>
                <w:b/>
                <w:color w:val="17365D"/>
                <w:sz w:val="20"/>
              </w:rPr>
              <w:t>Opening statement</w:t>
            </w:r>
          </w:p>
          <w:p>
            <w:pPr>
              <w:spacing w:after="0"/>
            </w:pPr>
            <w:r>
              <w:rPr>
                <w:rFonts w:ascii="Calibri" w:hAnsi="Calibri"/>
                <w:color w:val="263238"/>
                <w:sz w:val="18"/>
              </w:rPr>
              <w:t>One shared ERP, one relational source of truth, seven integrated workflows. The database—not the browser—must remain the final authority for integrity-sensitive rules.</w:t>
            </w:r>
          </w:p>
        </w:tc>
      </w:tr>
    </w:tbl>
    <w:p>
      <w:pPr>
        <w:spacing w:after="0"/>
      </w:pPr>
    </w:p>
    <w:p>
      <w:pPr>
        <w:pStyle w:val="Heading1"/>
        <w:keepNext/>
        <w:spacing w:before="200" w:after="80"/>
      </w:pPr>
      <w:r>
        <w:t>2. Architecture you should be able to draw</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1593"/>
            <w:vAlign w:val="center"/>
            <w:tcMar>
              <w:top w:w="65" w:type="dxa"/>
              <w:start w:w="85" w:type="dxa"/>
              <w:bottom w:w="65" w:type="dxa"/>
              <w:end w:w="85" w:type="dxa"/>
            </w:tcMar>
            <w:shd w:fill="17365D"/>
          </w:tcPr>
          <w:p>
            <w:pPr>
              <w:spacing w:after="0" w:before="0"/>
            </w:pPr>
            <w:r/>
            <w:r>
              <w:rPr>
                <w:rFonts w:ascii="Calibri" w:hAnsi="Calibri"/>
                <w:b/>
                <w:color w:val="FFFFFF"/>
                <w:sz w:val="16"/>
              </w:rPr>
              <w:t>Layer</w:t>
            </w:r>
          </w:p>
        </w:tc>
        <w:tc>
          <w:tcPr>
            <w:tcW w:type="dxa" w:w="4155"/>
            <w:vAlign w:val="center"/>
            <w:tcMar>
              <w:top w:w="65" w:type="dxa"/>
              <w:start w:w="85" w:type="dxa"/>
              <w:bottom w:w="65" w:type="dxa"/>
              <w:end w:w="85" w:type="dxa"/>
            </w:tcMar>
            <w:shd w:fill="17365D"/>
          </w:tcPr>
          <w:p>
            <w:pPr>
              <w:spacing w:after="0" w:before="0"/>
            </w:pPr>
            <w:r/>
            <w:r>
              <w:rPr>
                <w:rFonts w:ascii="Calibri" w:hAnsi="Calibri"/>
                <w:b/>
                <w:color w:val="FFFFFF"/>
                <w:sz w:val="16"/>
              </w:rPr>
              <w:t>Responsibility</w:t>
            </w:r>
          </w:p>
        </w:tc>
        <w:tc>
          <w:tcPr>
            <w:tcW w:type="dxa" w:w="4016"/>
            <w:vAlign w:val="center"/>
            <w:tcMar>
              <w:top w:w="65" w:type="dxa"/>
              <w:start w:w="85" w:type="dxa"/>
              <w:bottom w:w="65" w:type="dxa"/>
              <w:end w:w="85" w:type="dxa"/>
            </w:tcMar>
            <w:shd w:fill="17365D"/>
          </w:tcPr>
          <w:p>
            <w:pPr>
              <w:spacing w:after="0" w:before="0"/>
            </w:pPr>
            <w:r/>
            <w:r>
              <w:rPr>
                <w:rFonts w:ascii="Calibri" w:hAnsi="Calibri"/>
                <w:b/>
                <w:color w:val="FFFFFF"/>
                <w:sz w:val="16"/>
              </w:rPr>
              <w:t>Key paths</w:t>
            </w:r>
          </w:p>
        </w:tc>
      </w:tr>
      <w:tr>
        <w:tc>
          <w:tcPr>
            <w:tcW w:type="dxa" w:w="1593"/>
            <w:vAlign w:val="center"/>
            <w:tcMar>
              <w:top w:w="65" w:type="dxa"/>
              <w:start w:w="85" w:type="dxa"/>
              <w:bottom w:w="65" w:type="dxa"/>
              <w:end w:w="85" w:type="dxa"/>
            </w:tcMar>
          </w:tcPr>
          <w:p>
            <w:pPr>
              <w:spacing w:after="0" w:before="0"/>
            </w:pPr>
            <w:r/>
            <w:r>
              <w:rPr>
                <w:rFonts w:ascii="Calibri" w:hAnsi="Calibri"/>
                <w:b w:val="0"/>
                <w:color w:val="263238"/>
                <w:sz w:val="15"/>
              </w:rPr>
              <w:t>React SPA</w:t>
            </w:r>
          </w:p>
        </w:tc>
        <w:tc>
          <w:tcPr>
            <w:tcW w:type="dxa" w:w="4155"/>
            <w:vAlign w:val="center"/>
            <w:tcMar>
              <w:top w:w="65" w:type="dxa"/>
              <w:start w:w="85" w:type="dxa"/>
              <w:bottom w:w="65" w:type="dxa"/>
              <w:end w:w="85" w:type="dxa"/>
            </w:tcMar>
          </w:tcPr>
          <w:p>
            <w:pPr>
              <w:spacing w:after="0" w:before="0"/>
            </w:pPr>
            <w:r/>
            <w:r>
              <w:rPr>
                <w:rFonts w:ascii="Calibri" w:hAnsi="Calibri"/>
                <w:b w:val="0"/>
                <w:color w:val="263238"/>
                <w:sz w:val="15"/>
              </w:rPr>
              <w:t>Public landing/login, role-aware navigation, forms, tables and reports; lazy-loaded pages.</w:t>
            </w:r>
          </w:p>
        </w:tc>
        <w:tc>
          <w:tcPr>
            <w:tcW w:type="dxa" w:w="4016"/>
            <w:vAlign w:val="center"/>
            <w:tcMar>
              <w:top w:w="65" w:type="dxa"/>
              <w:start w:w="85" w:type="dxa"/>
              <w:bottom w:w="65" w:type="dxa"/>
              <w:end w:w="85" w:type="dxa"/>
            </w:tcMar>
          </w:tcPr>
          <w:p>
            <w:pPr>
              <w:spacing w:after="0" w:before="0"/>
            </w:pPr>
            <w:r/>
            <w:r>
              <w:rPr>
                <w:rFonts w:ascii="Calibri" w:hAnsi="Calibri"/>
                <w:b w:val="0"/>
                <w:color w:val="263238"/>
                <w:sz w:val="15"/>
              </w:rPr>
              <w:t>frontend/src/App.tsx; frontend/src/pages/; frontend/src/components/AppShell.tsx; frontend/src/lib/api.ts</w:t>
            </w:r>
          </w:p>
        </w:tc>
      </w:tr>
      <w:tr>
        <w:tc>
          <w:tcPr>
            <w:tcW w:type="dxa" w:w="1593"/>
            <w:vAlign w:val="center"/>
            <w:tcMar>
              <w:top w:w="65" w:type="dxa"/>
              <w:start w:w="85" w:type="dxa"/>
              <w:bottom w:w="65" w:type="dxa"/>
              <w:end w:w="85" w:type="dxa"/>
            </w:tcMar>
            <w:shd w:fill="F5F7FA"/>
          </w:tcPr>
          <w:p>
            <w:pPr>
              <w:spacing w:after="0" w:before="0"/>
            </w:pPr>
            <w:r/>
            <w:r>
              <w:rPr>
                <w:rFonts w:ascii="Calibri" w:hAnsi="Calibri"/>
                <w:b w:val="0"/>
                <w:color w:val="263238"/>
                <w:sz w:val="15"/>
              </w:rPr>
              <w:t>Vite proxy</w:t>
            </w:r>
          </w:p>
        </w:tc>
        <w:tc>
          <w:tcPr>
            <w:tcW w:type="dxa" w:w="4155"/>
            <w:vAlign w:val="center"/>
            <w:tcMar>
              <w:top w:w="65" w:type="dxa"/>
              <w:start w:w="85" w:type="dxa"/>
              <w:bottom w:w="65" w:type="dxa"/>
              <w:end w:w="85" w:type="dxa"/>
            </w:tcMar>
            <w:shd w:fill="F5F7FA"/>
          </w:tcPr>
          <w:p>
            <w:pPr>
              <w:spacing w:after="0" w:before="0"/>
            </w:pPr>
            <w:r/>
            <w:r>
              <w:rPr>
                <w:rFonts w:ascii="Calibri" w:hAnsi="Calibri"/>
                <w:b w:val="0"/>
                <w:color w:val="263238"/>
                <w:sz w:val="15"/>
              </w:rPr>
              <w:t>Browser calls relative /api/v1; dev proxy forwards /api to Express.</w:t>
            </w:r>
          </w:p>
        </w:tc>
        <w:tc>
          <w:tcPr>
            <w:tcW w:type="dxa" w:w="4016"/>
            <w:vAlign w:val="center"/>
            <w:tcMar>
              <w:top w:w="65" w:type="dxa"/>
              <w:start w:w="85" w:type="dxa"/>
              <w:bottom w:w="65" w:type="dxa"/>
              <w:end w:w="85" w:type="dxa"/>
            </w:tcMar>
            <w:shd w:fill="F5F7FA"/>
          </w:tcPr>
          <w:p>
            <w:pPr>
              <w:spacing w:after="0" w:before="0"/>
            </w:pPr>
            <w:r/>
            <w:r>
              <w:rPr>
                <w:rFonts w:ascii="Calibri" w:hAnsi="Calibri"/>
                <w:b w:val="0"/>
                <w:color w:val="263238"/>
                <w:sz w:val="15"/>
              </w:rPr>
              <w:t>frontend/vite.config.ts</w:t>
            </w:r>
          </w:p>
        </w:tc>
      </w:tr>
      <w:tr>
        <w:tc>
          <w:tcPr>
            <w:tcW w:type="dxa" w:w="1593"/>
            <w:vAlign w:val="center"/>
            <w:tcMar>
              <w:top w:w="65" w:type="dxa"/>
              <w:start w:w="85" w:type="dxa"/>
              <w:bottom w:w="65" w:type="dxa"/>
              <w:end w:w="85" w:type="dxa"/>
            </w:tcMar>
          </w:tcPr>
          <w:p>
            <w:pPr>
              <w:spacing w:after="0" w:before="0"/>
            </w:pPr>
            <w:r/>
            <w:r>
              <w:rPr>
                <w:rFonts w:ascii="Calibri" w:hAnsi="Calibri"/>
                <w:b w:val="0"/>
                <w:color w:val="263238"/>
                <w:sz w:val="15"/>
              </w:rPr>
              <w:t>Express API</w:t>
            </w:r>
          </w:p>
        </w:tc>
        <w:tc>
          <w:tcPr>
            <w:tcW w:type="dxa" w:w="4155"/>
            <w:vAlign w:val="center"/>
            <w:tcMar>
              <w:top w:w="65" w:type="dxa"/>
              <w:start w:w="85" w:type="dxa"/>
              <w:bottom w:w="65" w:type="dxa"/>
              <w:end w:w="85" w:type="dxa"/>
            </w:tcMar>
          </w:tcPr>
          <w:p>
            <w:pPr>
              <w:spacing w:after="0" w:before="0"/>
            </w:pPr>
            <w:r/>
            <w:r>
              <w:rPr>
                <w:rFonts w:ascii="Calibri" w:hAnsi="Calibri"/>
                <w:b w:val="0"/>
                <w:color w:val="263238"/>
                <w:sz w:val="15"/>
              </w:rPr>
              <w:t>Authentication, role authorization, Zod validation, row-level scoping, business orchestration, API response envelope.</w:t>
            </w:r>
          </w:p>
        </w:tc>
        <w:tc>
          <w:tcPr>
            <w:tcW w:type="dxa" w:w="4016"/>
            <w:vAlign w:val="center"/>
            <w:tcMar>
              <w:top w:w="65" w:type="dxa"/>
              <w:start w:w="85" w:type="dxa"/>
              <w:bottom w:w="65" w:type="dxa"/>
              <w:end w:w="85" w:type="dxa"/>
            </w:tcMar>
          </w:tcPr>
          <w:p>
            <w:pPr>
              <w:spacing w:after="0" w:before="0"/>
            </w:pPr>
            <w:r/>
            <w:r>
              <w:rPr>
                <w:rFonts w:ascii="Calibri" w:hAnsi="Calibri"/>
                <w:b w:val="0"/>
                <w:color w:val="263238"/>
                <w:sz w:val="15"/>
              </w:rPr>
              <w:t>backend/src/index.ts; backend/src/routes/; backend/src/controllers/; backend/src/services/; backend/src/middleware/</w:t>
            </w:r>
          </w:p>
        </w:tc>
      </w:tr>
      <w:tr>
        <w:tc>
          <w:tcPr>
            <w:tcW w:type="dxa" w:w="1593"/>
            <w:vAlign w:val="center"/>
            <w:tcMar>
              <w:top w:w="65" w:type="dxa"/>
              <w:start w:w="85" w:type="dxa"/>
              <w:bottom w:w="65" w:type="dxa"/>
              <w:end w:w="85" w:type="dxa"/>
            </w:tcMar>
            <w:shd w:fill="F5F7FA"/>
          </w:tcPr>
          <w:p>
            <w:pPr>
              <w:spacing w:after="0" w:before="0"/>
            </w:pPr>
            <w:r/>
            <w:r>
              <w:rPr>
                <w:rFonts w:ascii="Calibri" w:hAnsi="Calibri"/>
                <w:b w:val="0"/>
                <w:color w:val="263238"/>
                <w:sz w:val="15"/>
              </w:rPr>
              <w:t>Repositories</w:t>
            </w:r>
          </w:p>
        </w:tc>
        <w:tc>
          <w:tcPr>
            <w:tcW w:type="dxa" w:w="4155"/>
            <w:vAlign w:val="center"/>
            <w:tcMar>
              <w:top w:w="65" w:type="dxa"/>
              <w:start w:w="85" w:type="dxa"/>
              <w:bottom w:w="65" w:type="dxa"/>
              <w:end w:w="85" w:type="dxa"/>
            </w:tcMar>
            <w:shd w:fill="F5F7FA"/>
          </w:tcPr>
          <w:p>
            <w:pPr>
              <w:spacing w:after="0" w:before="0"/>
            </w:pPr>
            <w:r/>
            <w:r>
              <w:rPr>
                <w:rFonts w:ascii="Calibri" w:hAnsi="Calibri"/>
                <w:b w:val="0"/>
                <w:color w:val="263238"/>
                <w:sz w:val="15"/>
              </w:rPr>
              <w:t>Parameterised mysql2 queries and stored-procedure calls; no ORM layer hides the SQL.</w:t>
            </w:r>
          </w:p>
        </w:tc>
        <w:tc>
          <w:tcPr>
            <w:tcW w:type="dxa" w:w="4016"/>
            <w:vAlign w:val="center"/>
            <w:tcMar>
              <w:top w:w="65" w:type="dxa"/>
              <w:start w:w="85" w:type="dxa"/>
              <w:bottom w:w="65" w:type="dxa"/>
              <w:end w:w="85" w:type="dxa"/>
            </w:tcMar>
            <w:shd w:fill="F5F7FA"/>
          </w:tcPr>
          <w:p>
            <w:pPr>
              <w:spacing w:after="0" w:before="0"/>
            </w:pPr>
            <w:r/>
            <w:r>
              <w:rPr>
                <w:rFonts w:ascii="Calibri" w:hAnsi="Calibri"/>
                <w:b w:val="0"/>
                <w:color w:val="263238"/>
                <w:sz w:val="15"/>
              </w:rPr>
              <w:t>backend/src/repositories/; backend/src/config/database.ts</w:t>
            </w:r>
          </w:p>
        </w:tc>
      </w:tr>
      <w:tr>
        <w:tc>
          <w:tcPr>
            <w:tcW w:type="dxa" w:w="1593"/>
            <w:vAlign w:val="center"/>
            <w:tcMar>
              <w:top w:w="65" w:type="dxa"/>
              <w:start w:w="85" w:type="dxa"/>
              <w:bottom w:w="65" w:type="dxa"/>
              <w:end w:w="85" w:type="dxa"/>
            </w:tcMar>
          </w:tcPr>
          <w:p>
            <w:pPr>
              <w:spacing w:after="0" w:before="0"/>
            </w:pPr>
            <w:r/>
            <w:r>
              <w:rPr>
                <w:rFonts w:ascii="Calibri" w:hAnsi="Calibri"/>
                <w:b w:val="0"/>
                <w:color w:val="263238"/>
                <w:sz w:val="15"/>
              </w:rPr>
              <w:t>MySQL/MariaDB</w:t>
            </w:r>
          </w:p>
        </w:tc>
        <w:tc>
          <w:tcPr>
            <w:tcW w:type="dxa" w:w="4155"/>
            <w:vAlign w:val="center"/>
            <w:tcMar>
              <w:top w:w="65" w:type="dxa"/>
              <w:start w:w="85" w:type="dxa"/>
              <w:bottom w:w="65" w:type="dxa"/>
              <w:end w:w="85" w:type="dxa"/>
            </w:tcMar>
          </w:tcPr>
          <w:p>
            <w:pPr>
              <w:spacing w:after="0" w:before="0"/>
            </w:pPr>
            <w:r/>
            <w:r>
              <w:rPr>
                <w:rFonts w:ascii="Calibri" w:hAnsi="Calibri"/>
                <w:b w:val="0"/>
                <w:color w:val="263238"/>
                <w:sz w:val="15"/>
              </w:rPr>
              <w:t>Persistent records, constraints, transactions, views, stored routines and triggers.</w:t>
            </w:r>
          </w:p>
        </w:tc>
        <w:tc>
          <w:tcPr>
            <w:tcW w:type="dxa" w:w="4016"/>
            <w:vAlign w:val="center"/>
            <w:tcMar>
              <w:top w:w="65" w:type="dxa"/>
              <w:start w:w="85" w:type="dxa"/>
              <w:bottom w:w="65" w:type="dxa"/>
              <w:end w:w="85" w:type="dxa"/>
            </w:tcMar>
          </w:tcPr>
          <w:p>
            <w:pPr>
              <w:spacing w:after="0" w:before="0"/>
            </w:pPr>
            <w:r/>
            <w:r>
              <w:rPr>
                <w:rFonts w:ascii="Calibri" w:hAnsi="Calibri"/>
                <w:b w:val="0"/>
                <w:color w:val="263238"/>
                <w:sz w:val="15"/>
              </w:rPr>
              <w:t>database/01_schema.sql–09_queries.sql; database/migrations/</w:t>
            </w:r>
          </w:p>
        </w:tc>
      </w:tr>
      <w:tr>
        <w:tc>
          <w:tcPr>
            <w:tcW w:type="dxa" w:w="1593"/>
            <w:vAlign w:val="center"/>
            <w:tcMar>
              <w:top w:w="65" w:type="dxa"/>
              <w:start w:w="85" w:type="dxa"/>
              <w:bottom w:w="65" w:type="dxa"/>
              <w:end w:w="85" w:type="dxa"/>
            </w:tcMar>
            <w:shd w:fill="F5F7FA"/>
          </w:tcPr>
          <w:p>
            <w:pPr>
              <w:spacing w:after="0" w:before="0"/>
            </w:pPr>
            <w:r/>
            <w:r>
              <w:rPr>
                <w:rFonts w:ascii="Calibri" w:hAnsi="Calibri"/>
                <w:b w:val="0"/>
                <w:color w:val="263238"/>
                <w:sz w:val="15"/>
              </w:rPr>
              <w:t>Optional event store</w:t>
            </w:r>
          </w:p>
        </w:tc>
        <w:tc>
          <w:tcPr>
            <w:tcW w:type="dxa" w:w="4155"/>
            <w:vAlign w:val="center"/>
            <w:tcMar>
              <w:top w:w="65" w:type="dxa"/>
              <w:start w:w="85" w:type="dxa"/>
              <w:bottom w:w="65" w:type="dxa"/>
              <w:end w:w="85" w:type="dxa"/>
            </w:tcMar>
            <w:shd w:fill="F5F7FA"/>
          </w:tcPr>
          <w:p>
            <w:pPr>
              <w:spacing w:after="0" w:before="0"/>
            </w:pPr>
            <w:r/>
            <w:r>
              <w:rPr>
                <w:rFonts w:ascii="Calibri" w:hAnsi="Calibri"/>
                <w:b w:val="0"/>
                <w:color w:val="263238"/>
                <w:sz w:val="15"/>
              </w:rPr>
              <w:t>MongoDB connector exists but is disabled/optional; not the transactional ERP source of truth.</w:t>
            </w:r>
          </w:p>
        </w:tc>
        <w:tc>
          <w:tcPr>
            <w:tcW w:type="dxa" w:w="4016"/>
            <w:vAlign w:val="center"/>
            <w:tcMar>
              <w:top w:w="65" w:type="dxa"/>
              <w:start w:w="85" w:type="dxa"/>
              <w:bottom w:w="65" w:type="dxa"/>
              <w:end w:w="85" w:type="dxa"/>
            </w:tcMar>
            <w:shd w:fill="F5F7FA"/>
          </w:tcPr>
          <w:p>
            <w:pPr>
              <w:spacing w:after="0" w:before="0"/>
            </w:pPr>
            <w:r/>
            <w:r>
              <w:rPr>
                <w:rFonts w:ascii="Calibri" w:hAnsi="Calibri"/>
                <w:b w:val="0"/>
                <w:color w:val="263238"/>
                <w:sz w:val="15"/>
              </w:rPr>
              <w:t>backend/src/config/mongo.ts; docker-compose.yml optional profile</w:t>
            </w:r>
          </w:p>
        </w:tc>
      </w:tr>
    </w:tbl>
    <w:p>
      <w:pPr>
        <w:spacing w:after="0"/>
      </w:pPr>
    </w:p>
    <w:tbl>
      <w:tblPr>
        <w:tblW w:type="auto" w:w="0"/>
        <w:tblLayout w:type="autofit"/>
        <w:tblLook w:firstColumn="1" w:firstRow="1" w:lastColumn="0" w:lastRow="0" w:noHBand="0" w:noVBand="1" w:val="04A0"/>
      </w:tblPr>
      <w:tblGrid>
        <w:gridCol w:w="9835"/>
      </w:tblGrid>
      <w:tr>
        <w:tc>
          <w:tcPr>
            <w:tcW w:type="dxa" w:w="9835"/>
            <w:shd w:fill="EAF1F8"/>
            <w:tcMar>
              <w:top w:w="120" w:type="dxa"/>
              <w:start w:w="150" w:type="dxa"/>
              <w:bottom w:w="120" w:type="dxa"/>
              <w:end w:w="150" w:type="dxa"/>
            </w:tcMar>
          </w:tcPr>
          <w:p>
            <w:pPr>
              <w:spacing w:after="60"/>
            </w:pPr>
            <w:r/>
            <w:r>
              <w:rPr>
                <w:rFonts w:ascii="Calibri" w:hAnsi="Calibri"/>
                <w:b/>
                <w:color w:val="17365D"/>
                <w:sz w:val="20"/>
              </w:rPr>
              <w:t>Request lifecycle example</w:t>
            </w:r>
          </w:p>
          <w:p>
            <w:pPr>
              <w:spacing w:after="0"/>
            </w:pPr>
            <w:r>
              <w:rPr>
                <w:rFonts w:ascii="Calibri" w:hAnsi="Calibri"/>
                <w:color w:val="263238"/>
                <w:sz w:val="18"/>
              </w:rPr>
              <w:t>POST /api/v1/exams/registrations → Express security middleware → authenticate JWT → requireRole → Zod validation → controller → service → repository/procedure → database checks → success/error envelope. The browser never talks directly to SQL.</w:t>
            </w:r>
          </w:p>
        </w:tc>
      </w:tr>
    </w:tbl>
    <w:p>
      <w:pPr>
        <w:spacing w:after="0"/>
      </w:pPr>
    </w:p>
    <w:p>
      <w:pPr>
        <w:pStyle w:val="Heading1"/>
        <w:keepNext/>
        <w:spacing w:before="200" w:after="80"/>
      </w:pPr>
      <w:r>
        <w:t>3. The seven groups: what to present</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2354"/>
            <w:vAlign w:val="center"/>
            <w:tcMar>
              <w:top w:w="65" w:type="dxa"/>
              <w:start w:w="85" w:type="dxa"/>
              <w:bottom w:w="65" w:type="dxa"/>
              <w:end w:w="85" w:type="dxa"/>
            </w:tcMar>
            <w:shd w:fill="17365D"/>
          </w:tcPr>
          <w:p>
            <w:pPr>
              <w:spacing w:after="0" w:before="0"/>
            </w:pPr>
            <w:r/>
            <w:r>
              <w:rPr>
                <w:rFonts w:ascii="Calibri" w:hAnsi="Calibri"/>
                <w:b/>
                <w:color w:val="FFFFFF"/>
                <w:sz w:val="16"/>
              </w:rPr>
              <w:t>Group / module</w:t>
            </w:r>
          </w:p>
        </w:tc>
        <w:tc>
          <w:tcPr>
            <w:tcW w:type="dxa" w:w="4362"/>
            <w:vAlign w:val="center"/>
            <w:tcMar>
              <w:top w:w="65" w:type="dxa"/>
              <w:start w:w="85" w:type="dxa"/>
              <w:bottom w:w="65" w:type="dxa"/>
              <w:end w:w="85" w:type="dxa"/>
            </w:tcMar>
            <w:shd w:fill="17365D"/>
          </w:tcPr>
          <w:p>
            <w:pPr>
              <w:spacing w:after="0" w:before="0"/>
            </w:pPr>
            <w:r/>
            <w:r>
              <w:rPr>
                <w:rFonts w:ascii="Calibri" w:hAnsi="Calibri"/>
                <w:b/>
                <w:color w:val="FFFFFF"/>
                <w:sz w:val="16"/>
              </w:rPr>
              <w:t>Main data model</w:t>
            </w:r>
          </w:p>
        </w:tc>
        <w:tc>
          <w:tcPr>
            <w:tcW w:type="dxa" w:w="3047"/>
            <w:vAlign w:val="center"/>
            <w:tcMar>
              <w:top w:w="65" w:type="dxa"/>
              <w:start w:w="85" w:type="dxa"/>
              <w:bottom w:w="65" w:type="dxa"/>
              <w:end w:w="85" w:type="dxa"/>
            </w:tcMar>
            <w:shd w:fill="17365D"/>
          </w:tcPr>
          <w:p>
            <w:pPr>
              <w:spacing w:after="0" w:before="0"/>
            </w:pPr>
            <w:r/>
            <w:r>
              <w:rPr>
                <w:rFonts w:ascii="Calibri" w:hAnsi="Calibri"/>
                <w:b/>
                <w:color w:val="FFFFFF"/>
                <w:sz w:val="16"/>
              </w:rPr>
              <w:t>Demo anchor</w:t>
            </w:r>
          </w:p>
        </w:tc>
      </w:tr>
      <w:tr>
        <w:tc>
          <w:tcPr>
            <w:tcW w:type="dxa" w:w="2354"/>
            <w:vAlign w:val="center"/>
            <w:tcMar>
              <w:top w:w="65" w:type="dxa"/>
              <w:start w:w="85" w:type="dxa"/>
              <w:bottom w:w="65" w:type="dxa"/>
              <w:end w:w="85" w:type="dxa"/>
            </w:tcMar>
          </w:tcPr>
          <w:p>
            <w:pPr>
              <w:spacing w:after="0" w:before="0"/>
            </w:pPr>
            <w:r/>
            <w:r>
              <w:rPr>
                <w:rFonts w:ascii="Calibri" w:hAnsi="Calibri"/>
                <w:b w:val="0"/>
                <w:color w:val="263238"/>
                <w:sz w:val="15"/>
              </w:rPr>
              <w:t>1 • Student &amp; Admission</w:t>
            </w:r>
          </w:p>
        </w:tc>
        <w:tc>
          <w:tcPr>
            <w:tcW w:type="dxa" w:w="4362"/>
            <w:vAlign w:val="center"/>
            <w:tcMar>
              <w:top w:w="65" w:type="dxa"/>
              <w:start w:w="85" w:type="dxa"/>
              <w:bottom w:w="65" w:type="dxa"/>
              <w:end w:w="85" w:type="dxa"/>
            </w:tcMar>
          </w:tcPr>
          <w:p>
            <w:pPr>
              <w:spacing w:after="0" w:before="0"/>
            </w:pPr>
            <w:r/>
            <w:r>
              <w:rPr>
                <w:rFonts w:ascii="Calibri" w:hAnsi="Calibri"/>
                <w:b w:val="0"/>
                <w:color w:val="263238"/>
                <w:sz w:val="15"/>
              </w:rPr>
              <w:t>admissions, students, addresses, guardians, documents, status history</w:t>
            </w:r>
          </w:p>
        </w:tc>
        <w:tc>
          <w:tcPr>
            <w:tcW w:type="dxa" w:w="3047"/>
            <w:vAlign w:val="center"/>
            <w:tcMar>
              <w:top w:w="65" w:type="dxa"/>
              <w:start w:w="85" w:type="dxa"/>
              <w:bottom w:w="65" w:type="dxa"/>
              <w:end w:w="85" w:type="dxa"/>
            </w:tcMar>
          </w:tcPr>
          <w:p>
            <w:pPr>
              <w:spacing w:after="0" w:before="0"/>
            </w:pPr>
            <w:r/>
            <w:r>
              <w:rPr>
                <w:rFonts w:ascii="Calibri" w:hAnsi="Calibri"/>
                <w:b w:val="0"/>
                <w:color w:val="263238"/>
                <w:sz w:val="15"/>
              </w:rPr>
              <w:t>Public application → Admin review → transactional user/student creation</w:t>
            </w:r>
          </w:p>
        </w:tc>
      </w:tr>
      <w:tr>
        <w:tc>
          <w:tcPr>
            <w:tcW w:type="dxa" w:w="2354"/>
            <w:vAlign w:val="center"/>
            <w:tcMar>
              <w:top w:w="65" w:type="dxa"/>
              <w:start w:w="85" w:type="dxa"/>
              <w:bottom w:w="65" w:type="dxa"/>
              <w:end w:w="85" w:type="dxa"/>
            </w:tcMar>
            <w:shd w:fill="F5F7FA"/>
          </w:tcPr>
          <w:p>
            <w:pPr>
              <w:spacing w:after="0" w:before="0"/>
            </w:pPr>
            <w:r/>
            <w:r>
              <w:rPr>
                <w:rFonts w:ascii="Calibri" w:hAnsi="Calibri"/>
                <w:b w:val="0"/>
                <w:color w:val="263238"/>
                <w:sz w:val="15"/>
              </w:rPr>
              <w:t>2 • Academic &amp; Course</w:t>
            </w:r>
          </w:p>
        </w:tc>
        <w:tc>
          <w:tcPr>
            <w:tcW w:type="dxa" w:w="4362"/>
            <w:vAlign w:val="center"/>
            <w:tcMar>
              <w:top w:w="65" w:type="dxa"/>
              <w:start w:w="85" w:type="dxa"/>
              <w:bottom w:w="65" w:type="dxa"/>
              <w:end w:w="85" w:type="dxa"/>
            </w:tcMar>
            <w:shd w:fill="F5F7FA"/>
          </w:tcPr>
          <w:p>
            <w:pPr>
              <w:spacing w:after="0" w:before="0"/>
            </w:pPr>
            <w:r/>
            <w:r>
              <w:rPr>
                <w:rFonts w:ascii="Calibri" w:hAnsi="Calibri"/>
                <w:b w:val="0"/>
                <w:color w:val="263238"/>
                <w:sz w:val="15"/>
              </w:rPr>
              <w:t>departments/programs/batches/subjects, curriculum map, offerings, enrollments, timetable</w:t>
            </w:r>
          </w:p>
        </w:tc>
        <w:tc>
          <w:tcPr>
            <w:tcW w:type="dxa" w:w="3047"/>
            <w:vAlign w:val="center"/>
            <w:tcMar>
              <w:top w:w="65" w:type="dxa"/>
              <w:start w:w="85" w:type="dxa"/>
              <w:bottom w:w="65" w:type="dxa"/>
              <w:end w:w="85" w:type="dxa"/>
            </w:tcMar>
            <w:shd w:fill="F5F7FA"/>
          </w:tcPr>
          <w:p>
            <w:pPr>
              <w:spacing w:after="0" w:before="0"/>
            </w:pPr>
            <w:r/>
            <w:r>
              <w:rPr>
                <w:rFonts w:ascii="Calibri" w:hAnsi="Calibri"/>
                <w:b w:val="0"/>
                <w:color w:val="263238"/>
                <w:sz w:val="15"/>
              </w:rPr>
              <w:t>Bulk enrollment idempotency; timetable conflict rejected by database</w:t>
            </w:r>
          </w:p>
        </w:tc>
      </w:tr>
      <w:tr>
        <w:tc>
          <w:tcPr>
            <w:tcW w:type="dxa" w:w="2354"/>
            <w:vAlign w:val="center"/>
            <w:tcMar>
              <w:top w:w="65" w:type="dxa"/>
              <w:start w:w="85" w:type="dxa"/>
              <w:bottom w:w="65" w:type="dxa"/>
              <w:end w:w="85" w:type="dxa"/>
            </w:tcMar>
          </w:tcPr>
          <w:p>
            <w:pPr>
              <w:spacing w:after="0" w:before="0"/>
            </w:pPr>
            <w:r/>
            <w:r>
              <w:rPr>
                <w:rFonts w:ascii="Calibri" w:hAnsi="Calibri"/>
                <w:b w:val="0"/>
                <w:color w:val="263238"/>
                <w:sz w:val="15"/>
              </w:rPr>
              <w:t>3 • Attendance</w:t>
            </w:r>
          </w:p>
        </w:tc>
        <w:tc>
          <w:tcPr>
            <w:tcW w:type="dxa" w:w="4362"/>
            <w:vAlign w:val="center"/>
            <w:tcMar>
              <w:top w:w="65" w:type="dxa"/>
              <w:start w:w="85" w:type="dxa"/>
              <w:bottom w:w="65" w:type="dxa"/>
              <w:end w:w="85" w:type="dxa"/>
            </w:tcMar>
          </w:tcPr>
          <w:p>
            <w:pPr>
              <w:spacing w:after="0" w:before="0"/>
            </w:pPr>
            <w:r/>
            <w:r>
              <w:rPr>
                <w:rFonts w:ascii="Calibri" w:hAnsi="Calibri"/>
                <w:b w:val="0"/>
                <w:color w:val="263238"/>
                <w:sz w:val="15"/>
              </w:rPr>
              <w:t>class_sessions and attendance with student/offering/semester FKs</w:t>
            </w:r>
          </w:p>
        </w:tc>
        <w:tc>
          <w:tcPr>
            <w:tcW w:type="dxa" w:w="3047"/>
            <w:vAlign w:val="center"/>
            <w:tcMar>
              <w:top w:w="65" w:type="dxa"/>
              <w:start w:w="85" w:type="dxa"/>
              <w:bottom w:w="65" w:type="dxa"/>
              <w:end w:w="85" w:type="dxa"/>
            </w:tcMar>
          </w:tcPr>
          <w:p>
            <w:pPr>
              <w:spacing w:after="0" w:before="0"/>
            </w:pPr>
            <w:r/>
            <w:r>
              <w:rPr>
                <w:rFonts w:ascii="Calibri" w:hAnsi="Calibri"/>
                <w:b w:val="0"/>
                <w:color w:val="263238"/>
                <w:sz w:val="15"/>
              </w:rPr>
              <w:t>Faculty session → roster marking → percentage/report/warning</w:t>
            </w:r>
          </w:p>
        </w:tc>
      </w:tr>
      <w:tr>
        <w:tc>
          <w:tcPr>
            <w:tcW w:type="dxa" w:w="2354"/>
            <w:vAlign w:val="center"/>
            <w:tcMar>
              <w:top w:w="65" w:type="dxa"/>
              <w:start w:w="85" w:type="dxa"/>
              <w:bottom w:w="65" w:type="dxa"/>
              <w:end w:w="85" w:type="dxa"/>
            </w:tcMar>
            <w:shd w:fill="F5F7FA"/>
          </w:tcPr>
          <w:p>
            <w:pPr>
              <w:spacing w:after="0" w:before="0"/>
            </w:pPr>
            <w:r/>
            <w:r>
              <w:rPr>
                <w:rFonts w:ascii="Calibri" w:hAnsi="Calibri"/>
                <w:b w:val="0"/>
                <w:color w:val="263238"/>
                <w:sz w:val="15"/>
              </w:rPr>
              <w:t>4 • Examination &amp; Results</w:t>
            </w:r>
          </w:p>
        </w:tc>
        <w:tc>
          <w:tcPr>
            <w:tcW w:type="dxa" w:w="4362"/>
            <w:vAlign w:val="center"/>
            <w:tcMar>
              <w:top w:w="65" w:type="dxa"/>
              <w:start w:w="85" w:type="dxa"/>
              <w:bottom w:w="65" w:type="dxa"/>
              <w:end w:w="85" w:type="dxa"/>
            </w:tcMar>
            <w:shd w:fill="F5F7FA"/>
          </w:tcPr>
          <w:p>
            <w:pPr>
              <w:spacing w:after="0" w:before="0"/>
            </w:pPr>
            <w:r/>
            <w:r>
              <w:rPr>
                <w:rFonts w:ascii="Calibri" w:hAnsi="Calibri"/>
                <w:b w:val="0"/>
                <w:color w:val="263238"/>
                <w:sz w:val="15"/>
              </w:rPr>
              <w:t>exams, schedules, registrations, marks, grades, results</w:t>
            </w:r>
          </w:p>
        </w:tc>
        <w:tc>
          <w:tcPr>
            <w:tcW w:type="dxa" w:w="3047"/>
            <w:vAlign w:val="center"/>
            <w:tcMar>
              <w:top w:w="65" w:type="dxa"/>
              <w:start w:w="85" w:type="dxa"/>
              <w:bottom w:w="65" w:type="dxa"/>
              <w:end w:w="85" w:type="dxa"/>
            </w:tcMar>
            <w:shd w:fill="F5F7FA"/>
          </w:tcPr>
          <w:p>
            <w:pPr>
              <w:spacing w:after="0" w:before="0"/>
            </w:pPr>
            <w:r/>
            <w:r>
              <w:rPr>
                <w:rFonts w:ascii="Calibri" w:hAnsi="Calibri"/>
                <w:b w:val="0"/>
                <w:color w:val="263238"/>
                <w:sz w:val="15"/>
              </w:rPr>
              <w:t>Eligibility → mark/grade → SGPA/result → publish</w:t>
            </w:r>
          </w:p>
        </w:tc>
      </w:tr>
      <w:tr>
        <w:tc>
          <w:tcPr>
            <w:tcW w:type="dxa" w:w="2354"/>
            <w:vAlign w:val="center"/>
            <w:tcMar>
              <w:top w:w="65" w:type="dxa"/>
              <w:start w:w="85" w:type="dxa"/>
              <w:bottom w:w="65" w:type="dxa"/>
              <w:end w:w="85" w:type="dxa"/>
            </w:tcMar>
          </w:tcPr>
          <w:p>
            <w:pPr>
              <w:spacing w:after="0" w:before="0"/>
            </w:pPr>
            <w:r/>
            <w:r>
              <w:rPr>
                <w:rFonts w:ascii="Calibri" w:hAnsi="Calibri"/>
                <w:b w:val="0"/>
                <w:color w:val="263238"/>
                <w:sz w:val="15"/>
              </w:rPr>
              <w:t>5 • Fees &amp; Finance</w:t>
            </w:r>
          </w:p>
        </w:tc>
        <w:tc>
          <w:tcPr>
            <w:tcW w:type="dxa" w:w="4362"/>
            <w:vAlign w:val="center"/>
            <w:tcMar>
              <w:top w:w="65" w:type="dxa"/>
              <w:start w:w="85" w:type="dxa"/>
              <w:bottom w:w="65" w:type="dxa"/>
              <w:end w:w="85" w:type="dxa"/>
            </w:tcMar>
          </w:tcPr>
          <w:p>
            <w:pPr>
              <w:spacing w:after="0" w:before="0"/>
            </w:pPr>
            <w:r/>
            <w:r>
              <w:rPr>
                <w:rFonts w:ascii="Calibri" w:hAnsi="Calibri"/>
                <w:b w:val="0"/>
                <w:color w:val="263238"/>
                <w:sz w:val="15"/>
              </w:rPr>
              <w:t>fee structures, bills, payments, scholarships, refunds, ledger</w:t>
            </w:r>
          </w:p>
        </w:tc>
        <w:tc>
          <w:tcPr>
            <w:tcW w:type="dxa" w:w="3047"/>
            <w:vAlign w:val="center"/>
            <w:tcMar>
              <w:top w:w="65" w:type="dxa"/>
              <w:start w:w="85" w:type="dxa"/>
              <w:bottom w:w="65" w:type="dxa"/>
              <w:end w:w="85" w:type="dxa"/>
            </w:tcMar>
          </w:tcPr>
          <w:p>
            <w:pPr>
              <w:spacing w:after="0" w:before="0"/>
            </w:pPr>
            <w:r/>
            <w:r>
              <w:rPr>
                <w:rFonts w:ascii="Calibri" w:hAnsi="Calibri"/>
                <w:b w:val="0"/>
                <w:color w:val="263238"/>
                <w:sz w:val="15"/>
              </w:rPr>
              <w:t>Partial payment → receipt → updated bill/ledger/audit</w:t>
            </w:r>
          </w:p>
        </w:tc>
      </w:tr>
      <w:tr>
        <w:tc>
          <w:tcPr>
            <w:tcW w:type="dxa" w:w="2354"/>
            <w:vAlign w:val="center"/>
            <w:tcMar>
              <w:top w:w="65" w:type="dxa"/>
              <w:start w:w="85" w:type="dxa"/>
              <w:bottom w:w="65" w:type="dxa"/>
              <w:end w:w="85" w:type="dxa"/>
            </w:tcMar>
            <w:shd w:fill="F5F7FA"/>
          </w:tcPr>
          <w:p>
            <w:pPr>
              <w:spacing w:after="0" w:before="0"/>
            </w:pPr>
            <w:r/>
            <w:r>
              <w:rPr>
                <w:rFonts w:ascii="Calibri" w:hAnsi="Calibri"/>
                <w:b w:val="0"/>
                <w:color w:val="263238"/>
                <w:sz w:val="15"/>
              </w:rPr>
              <w:t>6 • Hostel</w:t>
            </w:r>
          </w:p>
        </w:tc>
        <w:tc>
          <w:tcPr>
            <w:tcW w:type="dxa" w:w="4362"/>
            <w:vAlign w:val="center"/>
            <w:tcMar>
              <w:top w:w="65" w:type="dxa"/>
              <w:start w:w="85" w:type="dxa"/>
              <w:bottom w:w="65" w:type="dxa"/>
              <w:end w:w="85" w:type="dxa"/>
            </w:tcMar>
            <w:shd w:fill="F5F7FA"/>
          </w:tcPr>
          <w:p>
            <w:pPr>
              <w:spacing w:after="0" w:before="0"/>
            </w:pPr>
            <w:r/>
            <w:r>
              <w:rPr>
                <w:rFonts w:ascii="Calibri" w:hAnsi="Calibri"/>
                <w:b w:val="0"/>
                <w:color w:val="263238"/>
                <w:sz w:val="15"/>
              </w:rPr>
              <w:t>hostels, blocks, rooms, beds, applications, allocations, transfers, hostel fees</w:t>
            </w:r>
          </w:p>
        </w:tc>
        <w:tc>
          <w:tcPr>
            <w:tcW w:type="dxa" w:w="3047"/>
            <w:vAlign w:val="center"/>
            <w:tcMar>
              <w:top w:w="65" w:type="dxa"/>
              <w:start w:w="85" w:type="dxa"/>
              <w:bottom w:w="65" w:type="dxa"/>
              <w:end w:w="85" w:type="dxa"/>
            </w:tcMar>
            <w:shd w:fill="F5F7FA"/>
          </w:tcPr>
          <w:p>
            <w:pPr>
              <w:spacing w:after="0" w:before="0"/>
            </w:pPr>
            <w:r/>
            <w:r>
              <w:rPr>
                <w:rFonts w:ascii="Calibri" w:hAnsi="Calibri"/>
                <w:b w:val="0"/>
                <w:color w:val="263238"/>
                <w:sz w:val="15"/>
              </w:rPr>
              <w:t>Allocate/vacate a bed → trigger-maintained occupancy</w:t>
            </w:r>
          </w:p>
        </w:tc>
      </w:tr>
      <w:tr>
        <w:tc>
          <w:tcPr>
            <w:tcW w:type="dxa" w:w="2354"/>
            <w:vAlign w:val="center"/>
            <w:tcMar>
              <w:top w:w="65" w:type="dxa"/>
              <w:start w:w="85" w:type="dxa"/>
              <w:bottom w:w="65" w:type="dxa"/>
              <w:end w:w="85" w:type="dxa"/>
            </w:tcMar>
          </w:tcPr>
          <w:p>
            <w:pPr>
              <w:spacing w:after="0" w:before="0"/>
            </w:pPr>
            <w:r/>
            <w:r>
              <w:rPr>
                <w:rFonts w:ascii="Calibri" w:hAnsi="Calibri"/>
                <w:b w:val="0"/>
                <w:color w:val="263238"/>
                <w:sz w:val="15"/>
              </w:rPr>
              <w:t>7 • Faculty, Leave &amp; Payroll</w:t>
            </w:r>
          </w:p>
        </w:tc>
        <w:tc>
          <w:tcPr>
            <w:tcW w:type="dxa" w:w="4362"/>
            <w:vAlign w:val="center"/>
            <w:tcMar>
              <w:top w:w="65" w:type="dxa"/>
              <w:start w:w="85" w:type="dxa"/>
              <w:bottom w:w="65" w:type="dxa"/>
              <w:end w:w="85" w:type="dxa"/>
            </w:tcMar>
          </w:tcPr>
          <w:p>
            <w:pPr>
              <w:spacing w:after="0" w:before="0"/>
            </w:pPr>
            <w:r/>
            <w:r>
              <w:rPr>
                <w:rFonts w:ascii="Calibri" w:hAnsi="Calibri"/>
                <w:b w:val="0"/>
                <w:color w:val="263238"/>
                <w:sz w:val="15"/>
              </w:rPr>
              <w:t>faculty/designations, subject assignments, leave/balances, payroll/components</w:t>
            </w:r>
          </w:p>
        </w:tc>
        <w:tc>
          <w:tcPr>
            <w:tcW w:type="dxa" w:w="3047"/>
            <w:vAlign w:val="center"/>
            <w:tcMar>
              <w:top w:w="65" w:type="dxa"/>
              <w:start w:w="85" w:type="dxa"/>
              <w:bottom w:w="65" w:type="dxa"/>
              <w:end w:w="85" w:type="dxa"/>
            </w:tcMar>
          </w:tcPr>
          <w:p>
            <w:pPr>
              <w:spacing w:after="0" w:before="0"/>
            </w:pPr>
            <w:r/>
            <w:r>
              <w:rPr>
                <w:rFonts w:ascii="Calibri" w:hAnsi="Calibri"/>
                <w:b w:val="0"/>
                <w:color w:val="263238"/>
                <w:sz w:val="15"/>
              </w:rPr>
              <w:t>Leave approval changes balance; generate a demo monthly payslip</w:t>
            </w:r>
          </w:p>
        </w:tc>
      </w:tr>
    </w:tbl>
    <w:p>
      <w:pPr>
        <w:spacing w:after="0"/>
      </w:pPr>
    </w:p>
    <w:p>
      <w:pPr>
        <w:pStyle w:val="Heading1"/>
        <w:keepNext/>
        <w:spacing w:before="200" w:after="80"/>
      </w:pPr>
      <w:r>
        <w:t>4. Shared entities and cross-module relationships</w:t>
      </w:r>
    </w:p>
    <w:p>
      <w:pPr>
        <w:pStyle w:val="ListBullet"/>
        <w:spacing w:after="60"/>
        <w:ind w:left="403" w:hanging="230"/>
      </w:pPr>
      <w:r>
        <w:t>roles → users: one authentication account has one role; backend routes use this role for RBAC.</w:t>
      </w:r>
    </w:p>
    <w:p>
      <w:pPr>
        <w:pStyle w:val="ListBullet"/>
        <w:spacing w:after="60"/>
        <w:ind w:left="403" w:hanging="230"/>
      </w:pPr>
      <w:r>
        <w:t>users ↔ students/faculty: students.user_id and faculty.user_id are unique FKs, so domain modules share the same login identity.</w:t>
      </w:r>
    </w:p>
    <w:p>
      <w:pPr>
        <w:pStyle w:val="ListBullet"/>
        <w:spacing w:after="60"/>
        <w:ind w:left="403" w:hanging="230"/>
      </w:pPr>
      <w:r>
        <w:t>departments → programs/subjects/faculty/students: the academic master is reused rather than copied into each module.</w:t>
      </w:r>
    </w:p>
    <w:p>
      <w:pPr>
        <w:pStyle w:val="ListBullet"/>
        <w:spacing w:after="60"/>
        <w:ind w:left="403" w:hanging="230"/>
      </w:pPr>
      <w:r>
        <w:t>programs + subjects → program_subjects: associative table resolves the curriculum many-to-many relationship.</w:t>
      </w:r>
    </w:p>
    <w:p>
      <w:pPr>
        <w:pStyle w:val="ListBullet"/>
        <w:spacing w:after="60"/>
        <w:ind w:left="403" w:hanging="230"/>
      </w:pPr>
      <w:r>
        <w:t>students + course_offerings → enrollments: one student's academic participation, reused by attendance, exam and reporting flows.</w:t>
      </w:r>
    </w:p>
    <w:p>
      <w:pPr>
        <w:pStyle w:val="ListBullet"/>
        <w:spacing w:after="60"/>
        <w:ind w:left="403" w:hanging="230"/>
      </w:pPr>
      <w:r>
        <w:t>course_offerings → timetable/class_sessions/exam_registrations: the shared offering_id connects scheduled teaching, attendance and examinations.</w:t>
      </w:r>
    </w:p>
    <w:p>
      <w:pPr>
        <w:pStyle w:val="ListBullet"/>
        <w:spacing w:after="60"/>
        <w:ind w:left="403" w:hanging="230"/>
      </w:pPr>
      <w:r>
        <w:t>students → fees/hostel/notifications/audit-linked transactions: one student_id is referenced by the dependent business records.</w:t>
      </w:r>
    </w:p>
    <w:p>
      <w:pPr>
        <w:pStyle w:val="ListBullet"/>
        <w:spacing w:after="60"/>
        <w:ind w:left="403" w:hanging="230"/>
      </w:pPr>
      <w:r>
        <w:t>faculty → offerings/subjects/leave/payroll/warden/invigilator: faculty_id is the shared cross-module identity.</w:t>
      </w:r>
    </w:p>
    <w:p>
      <w:pPr>
        <w:pStyle w:val="Heading2"/>
        <w:keepNext/>
        <w:spacing w:before="140" w:after="80"/>
      </w:pPr>
      <w:r>
        <w:t>Four relationship examples to draw</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2269"/>
            <w:vAlign w:val="center"/>
            <w:tcMar>
              <w:top w:w="65" w:type="dxa"/>
              <w:start w:w="85" w:type="dxa"/>
              <w:bottom w:w="65" w:type="dxa"/>
              <w:end w:w="85" w:type="dxa"/>
            </w:tcMar>
            <w:shd w:fill="17365D"/>
          </w:tcPr>
          <w:p>
            <w:pPr>
              <w:spacing w:after="0" w:before="0"/>
            </w:pPr>
            <w:r/>
            <w:r>
              <w:rPr>
                <w:rFonts w:ascii="Calibri" w:hAnsi="Calibri"/>
                <w:b/>
                <w:color w:val="FFFFFF"/>
                <w:sz w:val="16"/>
              </w:rPr>
              <w:t>Relationship</w:t>
            </w:r>
          </w:p>
        </w:tc>
        <w:tc>
          <w:tcPr>
            <w:tcW w:type="dxa" w:w="2131"/>
            <w:vAlign w:val="center"/>
            <w:tcMar>
              <w:top w:w="65" w:type="dxa"/>
              <w:start w:w="85" w:type="dxa"/>
              <w:bottom w:w="65" w:type="dxa"/>
              <w:end w:w="85" w:type="dxa"/>
            </w:tcMar>
            <w:shd w:fill="17365D"/>
          </w:tcPr>
          <w:p>
            <w:pPr>
              <w:spacing w:after="0" w:before="0"/>
            </w:pPr>
            <w:r/>
            <w:r>
              <w:rPr>
                <w:rFonts w:ascii="Calibri" w:hAnsi="Calibri"/>
                <w:b/>
                <w:color w:val="FFFFFF"/>
                <w:sz w:val="16"/>
              </w:rPr>
              <w:t>Resolved by</w:t>
            </w:r>
          </w:p>
        </w:tc>
        <w:tc>
          <w:tcPr>
            <w:tcW w:type="dxa" w:w="5363"/>
            <w:vAlign w:val="center"/>
            <w:tcMar>
              <w:top w:w="65" w:type="dxa"/>
              <w:start w:w="85" w:type="dxa"/>
              <w:bottom w:w="65" w:type="dxa"/>
              <w:end w:w="85" w:type="dxa"/>
            </w:tcMar>
            <w:shd w:fill="17365D"/>
          </w:tcPr>
          <w:p>
            <w:pPr>
              <w:spacing w:after="0" w:before="0"/>
            </w:pPr>
            <w:r/>
            <w:r>
              <w:rPr>
                <w:rFonts w:ascii="Calibri" w:hAnsi="Calibri"/>
                <w:b/>
                <w:color w:val="FFFFFF"/>
                <w:sz w:val="16"/>
              </w:rPr>
              <w:t>Integrity key</w:t>
            </w:r>
          </w:p>
        </w:tc>
      </w:tr>
      <w:tr>
        <w:tc>
          <w:tcPr>
            <w:tcW w:type="dxa" w:w="2269"/>
            <w:vAlign w:val="center"/>
            <w:tcMar>
              <w:top w:w="65" w:type="dxa"/>
              <w:start w:w="85" w:type="dxa"/>
              <w:bottom w:w="65" w:type="dxa"/>
              <w:end w:w="85" w:type="dxa"/>
            </w:tcMar>
          </w:tcPr>
          <w:p>
            <w:pPr>
              <w:spacing w:after="0" w:before="0"/>
            </w:pPr>
            <w:r/>
            <w:r>
              <w:rPr>
                <w:rFonts w:ascii="Calibri" w:hAnsi="Calibri"/>
                <w:b w:val="0"/>
                <w:color w:val="263238"/>
                <w:sz w:val="16"/>
              </w:rPr>
              <w:t>Student ↔ offering</w:t>
            </w:r>
          </w:p>
        </w:tc>
        <w:tc>
          <w:tcPr>
            <w:tcW w:type="dxa" w:w="2131"/>
            <w:vAlign w:val="center"/>
            <w:tcMar>
              <w:top w:w="65" w:type="dxa"/>
              <w:start w:w="85" w:type="dxa"/>
              <w:bottom w:w="65" w:type="dxa"/>
              <w:end w:w="85" w:type="dxa"/>
            </w:tcMar>
          </w:tcPr>
          <w:p>
            <w:pPr>
              <w:spacing w:after="0" w:before="0"/>
            </w:pPr>
            <w:r/>
            <w:r>
              <w:rPr>
                <w:rFonts w:ascii="Calibri" w:hAnsi="Calibri"/>
                <w:b w:val="0"/>
                <w:color w:val="263238"/>
                <w:sz w:val="16"/>
              </w:rPr>
              <w:t>enrollments</w:t>
            </w:r>
          </w:p>
        </w:tc>
        <w:tc>
          <w:tcPr>
            <w:tcW w:type="dxa" w:w="5363"/>
            <w:vAlign w:val="center"/>
            <w:tcMar>
              <w:top w:w="65" w:type="dxa"/>
              <w:start w:w="85" w:type="dxa"/>
              <w:bottom w:w="65" w:type="dxa"/>
              <w:end w:w="85" w:type="dxa"/>
            </w:tcMar>
          </w:tcPr>
          <w:p>
            <w:pPr>
              <w:spacing w:after="0" w:before="0"/>
            </w:pPr>
            <w:r/>
            <w:r>
              <w:rPr>
                <w:rFonts w:ascii="Calibri" w:hAnsi="Calibri"/>
                <w:b w:val="0"/>
                <w:color w:val="263238"/>
                <w:sz w:val="16"/>
              </w:rPr>
              <w:t>FK student_id + offering_id; unique pair</w:t>
            </w:r>
          </w:p>
        </w:tc>
      </w:tr>
      <w:tr>
        <w:tc>
          <w:tcPr>
            <w:tcW w:type="dxa" w:w="2269"/>
            <w:vAlign w:val="center"/>
            <w:tcMar>
              <w:top w:w="65" w:type="dxa"/>
              <w:start w:w="85" w:type="dxa"/>
              <w:bottom w:w="65" w:type="dxa"/>
              <w:end w:w="85" w:type="dxa"/>
            </w:tcMar>
            <w:shd w:fill="F5F7FA"/>
          </w:tcPr>
          <w:p>
            <w:pPr>
              <w:spacing w:after="0" w:before="0"/>
            </w:pPr>
            <w:r/>
            <w:r>
              <w:rPr>
                <w:rFonts w:ascii="Calibri" w:hAnsi="Calibri"/>
                <w:b w:val="0"/>
                <w:color w:val="263238"/>
                <w:sz w:val="16"/>
              </w:rPr>
              <w:t>Student ↔ session</w:t>
            </w:r>
          </w:p>
        </w:tc>
        <w:tc>
          <w:tcPr>
            <w:tcW w:type="dxa" w:w="2131"/>
            <w:vAlign w:val="center"/>
            <w:tcMar>
              <w:top w:w="65" w:type="dxa"/>
              <w:start w:w="85" w:type="dxa"/>
              <w:bottom w:w="65" w:type="dxa"/>
              <w:end w:w="85" w:type="dxa"/>
            </w:tcMar>
            <w:shd w:fill="F5F7FA"/>
          </w:tcPr>
          <w:p>
            <w:pPr>
              <w:spacing w:after="0" w:before="0"/>
            </w:pPr>
            <w:r/>
            <w:r>
              <w:rPr>
                <w:rFonts w:ascii="Calibri" w:hAnsi="Calibri"/>
                <w:b w:val="0"/>
                <w:color w:val="263238"/>
                <w:sz w:val="16"/>
              </w:rPr>
              <w:t>attendance</w:t>
            </w:r>
          </w:p>
        </w:tc>
        <w:tc>
          <w:tcPr>
            <w:tcW w:type="dxa" w:w="5363"/>
            <w:vAlign w:val="center"/>
            <w:tcMar>
              <w:top w:w="65" w:type="dxa"/>
              <w:start w:w="85" w:type="dxa"/>
              <w:bottom w:w="65" w:type="dxa"/>
              <w:end w:w="85" w:type="dxa"/>
            </w:tcMar>
            <w:shd w:fill="F5F7FA"/>
          </w:tcPr>
          <w:p>
            <w:pPr>
              <w:spacing w:after="0" w:before="0"/>
            </w:pPr>
            <w:r/>
            <w:r>
              <w:rPr>
                <w:rFonts w:ascii="Calibri" w:hAnsi="Calibri"/>
                <w:b w:val="0"/>
                <w:color w:val="263238"/>
                <w:sz w:val="16"/>
              </w:rPr>
              <w:t>FK student_id + session_id; unique pair</w:t>
            </w:r>
          </w:p>
        </w:tc>
      </w:tr>
      <w:tr>
        <w:tc>
          <w:tcPr>
            <w:tcW w:type="dxa" w:w="2269"/>
            <w:vAlign w:val="center"/>
            <w:tcMar>
              <w:top w:w="65" w:type="dxa"/>
              <w:start w:w="85" w:type="dxa"/>
              <w:bottom w:w="65" w:type="dxa"/>
              <w:end w:w="85" w:type="dxa"/>
            </w:tcMar>
          </w:tcPr>
          <w:p>
            <w:pPr>
              <w:spacing w:after="0" w:before="0"/>
            </w:pPr>
            <w:r/>
            <w:r>
              <w:rPr>
                <w:rFonts w:ascii="Calibri" w:hAnsi="Calibri"/>
                <w:b w:val="0"/>
                <w:color w:val="263238"/>
                <w:sz w:val="16"/>
              </w:rPr>
              <w:t>Student ↔ exam/offering</w:t>
            </w:r>
          </w:p>
        </w:tc>
        <w:tc>
          <w:tcPr>
            <w:tcW w:type="dxa" w:w="2131"/>
            <w:vAlign w:val="center"/>
            <w:tcMar>
              <w:top w:w="65" w:type="dxa"/>
              <w:start w:w="85" w:type="dxa"/>
              <w:bottom w:w="65" w:type="dxa"/>
              <w:end w:w="85" w:type="dxa"/>
            </w:tcMar>
          </w:tcPr>
          <w:p>
            <w:pPr>
              <w:spacing w:after="0" w:before="0"/>
            </w:pPr>
            <w:r/>
            <w:r>
              <w:rPr>
                <w:rFonts w:ascii="Calibri" w:hAnsi="Calibri"/>
                <w:b w:val="0"/>
                <w:color w:val="263238"/>
                <w:sz w:val="16"/>
              </w:rPr>
              <w:t>exam_registrations</w:t>
            </w:r>
          </w:p>
        </w:tc>
        <w:tc>
          <w:tcPr>
            <w:tcW w:type="dxa" w:w="5363"/>
            <w:vAlign w:val="center"/>
            <w:tcMar>
              <w:top w:w="65" w:type="dxa"/>
              <w:start w:w="85" w:type="dxa"/>
              <w:bottom w:w="65" w:type="dxa"/>
              <w:end w:w="85" w:type="dxa"/>
            </w:tcMar>
          </w:tcPr>
          <w:p>
            <w:pPr>
              <w:spacing w:after="0" w:before="0"/>
            </w:pPr>
            <w:r/>
            <w:r>
              <w:rPr>
                <w:rFonts w:ascii="Calibri" w:hAnsi="Calibri"/>
                <w:b w:val="0"/>
                <w:color w:val="263238"/>
                <w:sz w:val="16"/>
              </w:rPr>
              <w:t>FK student_id, exam_id, offering_id; composite unique key</w:t>
            </w:r>
          </w:p>
        </w:tc>
      </w:tr>
      <w:tr>
        <w:tc>
          <w:tcPr>
            <w:tcW w:type="dxa" w:w="2269"/>
            <w:vAlign w:val="center"/>
            <w:tcMar>
              <w:top w:w="65" w:type="dxa"/>
              <w:start w:w="85" w:type="dxa"/>
              <w:bottom w:w="65" w:type="dxa"/>
              <w:end w:w="85" w:type="dxa"/>
            </w:tcMar>
            <w:shd w:fill="F5F7FA"/>
          </w:tcPr>
          <w:p>
            <w:pPr>
              <w:spacing w:after="0" w:before="0"/>
            </w:pPr>
            <w:r/>
            <w:r>
              <w:rPr>
                <w:rFonts w:ascii="Calibri" w:hAnsi="Calibri"/>
                <w:b w:val="0"/>
                <w:color w:val="263238"/>
                <w:sz w:val="16"/>
              </w:rPr>
              <w:t>Student ↔ bed/year</w:t>
            </w:r>
          </w:p>
        </w:tc>
        <w:tc>
          <w:tcPr>
            <w:tcW w:type="dxa" w:w="2131"/>
            <w:vAlign w:val="center"/>
            <w:tcMar>
              <w:top w:w="65" w:type="dxa"/>
              <w:start w:w="85" w:type="dxa"/>
              <w:bottom w:w="65" w:type="dxa"/>
              <w:end w:w="85" w:type="dxa"/>
            </w:tcMar>
            <w:shd w:fill="F5F7FA"/>
          </w:tcPr>
          <w:p>
            <w:pPr>
              <w:spacing w:after="0" w:before="0"/>
            </w:pPr>
            <w:r/>
            <w:r>
              <w:rPr>
                <w:rFonts w:ascii="Calibri" w:hAnsi="Calibri"/>
                <w:b w:val="0"/>
                <w:color w:val="263238"/>
                <w:sz w:val="16"/>
              </w:rPr>
              <w:t>room_allocations</w:t>
            </w:r>
          </w:p>
        </w:tc>
        <w:tc>
          <w:tcPr>
            <w:tcW w:type="dxa" w:w="5363"/>
            <w:vAlign w:val="center"/>
            <w:tcMar>
              <w:top w:w="65" w:type="dxa"/>
              <w:start w:w="85" w:type="dxa"/>
              <w:bottom w:w="65" w:type="dxa"/>
              <w:end w:w="85" w:type="dxa"/>
            </w:tcMar>
            <w:shd w:fill="F5F7FA"/>
          </w:tcPr>
          <w:p>
            <w:pPr>
              <w:spacing w:after="0" w:before="0"/>
            </w:pPr>
            <w:r/>
            <w:r>
              <w:rPr>
                <w:rFonts w:ascii="Calibri" w:hAnsi="Calibri"/>
                <w:b w:val="0"/>
                <w:color w:val="263238"/>
                <w:sz w:val="16"/>
              </w:rPr>
              <w:t>FK student/bed/room/hostel/year; active-bed uniqueness and guards</w:t>
            </w:r>
          </w:p>
        </w:tc>
      </w:tr>
      <w:tr>
        <w:tc>
          <w:tcPr>
            <w:tcW w:type="dxa" w:w="2269"/>
            <w:vAlign w:val="center"/>
            <w:tcMar>
              <w:top w:w="65" w:type="dxa"/>
              <w:start w:w="85" w:type="dxa"/>
              <w:bottom w:w="65" w:type="dxa"/>
              <w:end w:w="85" w:type="dxa"/>
            </w:tcMar>
          </w:tcPr>
          <w:p>
            <w:pPr>
              <w:spacing w:after="0" w:before="0"/>
            </w:pPr>
            <w:r/>
            <w:r>
              <w:rPr>
                <w:rFonts w:ascii="Calibri" w:hAnsi="Calibri"/>
                <w:b w:val="0"/>
                <w:color w:val="263238"/>
                <w:sz w:val="16"/>
              </w:rPr>
              <w:t>Faculty ↔ month</w:t>
            </w:r>
          </w:p>
        </w:tc>
        <w:tc>
          <w:tcPr>
            <w:tcW w:type="dxa" w:w="2131"/>
            <w:vAlign w:val="center"/>
            <w:tcMar>
              <w:top w:w="65" w:type="dxa"/>
              <w:start w:w="85" w:type="dxa"/>
              <w:bottom w:w="65" w:type="dxa"/>
              <w:end w:w="85" w:type="dxa"/>
            </w:tcMar>
          </w:tcPr>
          <w:p>
            <w:pPr>
              <w:spacing w:after="0" w:before="0"/>
            </w:pPr>
            <w:r/>
            <w:r>
              <w:rPr>
                <w:rFonts w:ascii="Calibri" w:hAnsi="Calibri"/>
                <w:b w:val="0"/>
                <w:color w:val="263238"/>
                <w:sz w:val="16"/>
              </w:rPr>
              <w:t>payrolls</w:t>
            </w:r>
          </w:p>
        </w:tc>
        <w:tc>
          <w:tcPr>
            <w:tcW w:type="dxa" w:w="5363"/>
            <w:vAlign w:val="center"/>
            <w:tcMar>
              <w:top w:w="65" w:type="dxa"/>
              <w:start w:w="85" w:type="dxa"/>
              <w:bottom w:w="65" w:type="dxa"/>
              <w:end w:w="85" w:type="dxa"/>
            </w:tcMar>
          </w:tcPr>
          <w:p>
            <w:pPr>
              <w:spacing w:after="0" w:before="0"/>
            </w:pPr>
            <w:r/>
            <w:r>
              <w:rPr>
                <w:rFonts w:ascii="Calibri" w:hAnsi="Calibri"/>
                <w:b w:val="0"/>
                <w:color w:val="263238"/>
                <w:sz w:val="16"/>
              </w:rPr>
              <w:t>FK faculty_id; unique faculty_id + month + year</w:t>
            </w:r>
          </w:p>
        </w:tc>
      </w:tr>
    </w:tbl>
    <w:p>
      <w:pPr>
        <w:spacing w:after="0"/>
      </w:pPr>
    </w:p>
    <w:p>
      <w:pPr>
        <w:pStyle w:val="Heading2"/>
        <w:keepNext/>
        <w:spacing w:before="140" w:after="80"/>
      </w:pPr>
      <w:r>
        <w:t>Compact PK/FK map for the main tables</w:t>
      </w:r>
    </w:p>
    <w:p>
      <w:pPr>
        <w:spacing w:after="100" w:line="252" w:lineRule="auto"/>
      </w:pPr>
      <w:r>
        <w:t>This summary is extracted from docs/DATA_DICTIONARY.md. It shows the principal PK and outgoing foreign keys for the shared core and each module; see the seven module guides for the fuller table set and workflow detail.</w:t>
      </w:r>
    </w:p>
    <w:tbl>
      <w:tblPr>
        <w:tblStyle w:val="TableGrid"/>
        <w:tblW w:type="auto" w:w="0"/>
        <w:tblLayout w:type="fixed"/>
        <w:tblLook w:firstColumn="1" w:firstRow="1" w:lastColumn="0" w:lastRow="0" w:noHBand="0" w:noVBand="1" w:val="04A0"/>
      </w:tblPr>
      <w:tblGrid>
        <w:gridCol w:w="2459"/>
        <w:gridCol w:w="2459"/>
        <w:gridCol w:w="2459"/>
        <w:gridCol w:w="2459"/>
      </w:tblGrid>
      <w:tr>
        <w:trPr>
          <w:tblHeader w:val="true"/>
        </w:trPr>
        <w:tc>
          <w:tcPr>
            <w:tcW w:type="dxa" w:w="2088"/>
            <w:vAlign w:val="center"/>
            <w:tcMar>
              <w:top w:w="65" w:type="dxa"/>
              <w:start w:w="85" w:type="dxa"/>
              <w:bottom w:w="65" w:type="dxa"/>
              <w:end w:w="85" w:type="dxa"/>
            </w:tcMar>
            <w:shd w:fill="17365D"/>
          </w:tcPr>
          <w:p>
            <w:pPr>
              <w:spacing w:after="0" w:before="0"/>
            </w:pPr>
            <w:r/>
            <w:r>
              <w:rPr>
                <w:rFonts w:ascii="Calibri" w:hAnsi="Calibri"/>
                <w:b/>
                <w:color w:val="FFFFFF"/>
                <w:sz w:val="16"/>
              </w:rPr>
              <w:t>Module</w:t>
            </w:r>
          </w:p>
        </w:tc>
        <w:tc>
          <w:tcPr>
            <w:tcW w:type="dxa" w:w="1987"/>
            <w:vAlign w:val="center"/>
            <w:tcMar>
              <w:top w:w="65" w:type="dxa"/>
              <w:start w:w="85" w:type="dxa"/>
              <w:bottom w:w="65" w:type="dxa"/>
              <w:end w:w="85" w:type="dxa"/>
            </w:tcMar>
            <w:shd w:fill="17365D"/>
          </w:tcPr>
          <w:p>
            <w:pPr>
              <w:spacing w:after="0" w:before="0"/>
            </w:pPr>
            <w:r/>
            <w:r>
              <w:rPr>
                <w:rFonts w:ascii="Calibri" w:hAnsi="Calibri"/>
                <w:b/>
                <w:color w:val="FFFFFF"/>
                <w:sz w:val="16"/>
              </w:rPr>
              <w:t>Table</w:t>
            </w:r>
          </w:p>
        </w:tc>
        <w:tc>
          <w:tcPr>
            <w:tcW w:type="dxa" w:w="1512"/>
            <w:vAlign w:val="center"/>
            <w:tcMar>
              <w:top w:w="65" w:type="dxa"/>
              <w:start w:w="85" w:type="dxa"/>
              <w:bottom w:w="65" w:type="dxa"/>
              <w:end w:w="85" w:type="dxa"/>
            </w:tcMar>
            <w:shd w:fill="17365D"/>
          </w:tcPr>
          <w:p>
            <w:pPr>
              <w:spacing w:after="0" w:before="0"/>
            </w:pPr>
            <w:r/>
            <w:r>
              <w:rPr>
                <w:rFonts w:ascii="Calibri" w:hAnsi="Calibri"/>
                <w:b/>
                <w:color w:val="FFFFFF"/>
                <w:sz w:val="16"/>
              </w:rPr>
              <w:t>Primary key</w:t>
            </w:r>
          </w:p>
        </w:tc>
        <w:tc>
          <w:tcPr>
            <w:tcW w:type="dxa" w:w="4176"/>
            <w:vAlign w:val="center"/>
            <w:tcMar>
              <w:top w:w="65" w:type="dxa"/>
              <w:start w:w="85" w:type="dxa"/>
              <w:bottom w:w="65" w:type="dxa"/>
              <w:end w:w="85" w:type="dxa"/>
            </w:tcMar>
            <w:shd w:fill="17365D"/>
          </w:tcPr>
          <w:p>
            <w:pPr>
              <w:spacing w:after="0" w:before="0"/>
            </w:pPr>
            <w:r/>
            <w:r>
              <w:rPr>
                <w:rFonts w:ascii="Calibri" w:hAnsi="Calibri"/>
                <w:b/>
                <w:color w:val="FFFFFF"/>
                <w:sz w:val="16"/>
              </w:rPr>
              <w:t>Declared outgoing foreign keys</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Shared core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roles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role_id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Shared core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users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user_id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`fk_users_role`: role_id → roles(role_id)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Shared core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departments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department_id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`fk_departments_hod`: hod_faculty_id → faculty(faculty_id)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Shared core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academic_years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academic_year_id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Shared core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semesters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semester_id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`fk_semesters_year`: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1 • Student &amp; Admission</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admissions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admission_id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`fk_admissions_category`: category_id → categories(category_id), `fk_admissions_program`: program_id → programs(program_id), `fk_admissions_reviewer`: reviewed_by → users(user_id), `fk_admissions_student`: student_id → students(student_id), `fk_admissions_year`: academic_year_id → academic_years(academic_year_id)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1 • Student &amp; Admission</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students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student_id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`fk_students_batch`: batch_id → batches(batch_id), `fk_students_category`: category_id → categories(category_id), `fk_students_department`: department_id → departments(department_id), `fk_students_program`: program_id → programs(program_id), `fk_students_user`: user_id → users(user_id)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1 • Student &amp; Admission</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addresses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address_id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`fk_addresses_student`: student_id → students(student_id)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1 • Student &amp; Admission</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guardians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guardian_id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`fk_guardians_student`: student_id → students(student_id)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1 • Student &amp; Admission</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student_documents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document_id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`fk_documents_student`: student_id → students(student_id), `fk_documents_verifier`: verified_by → users(user_id)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1 • Student &amp; Admission</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student_status_history</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history_id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`fk_status_history_student`: student_id → students(student_id), `fk_status_history_user`: changed_by → users(user_id)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programs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program_id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`fk_programs_department`: department_id → departments(department_id)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batches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batch_id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`fk_batches_program`: program_id → programs(program_id), `fk_batches_year`: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sections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section_id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`fk_sections_batch`: batch_id → batches(batch_id), `fk_sections_class_teacher`: class_teacher_id → faculty(faculty_id), `fk_sections_program`: program_id → programs(program_id), `fk_sections_semester`: semester_id → semesters(semester_id)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subjects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subject_id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`fk_subjects_department`: department_id → departments(department_id)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program_subjects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program_subject_id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`fk_ps_program`: program_id → programs(program_id), `fk_ps_subject`: subject_id → subjects(subject_id)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course_offerings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offering_id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`fk_offerings_faculty`: faculty_id → faculty(faculty_id), `fk_offerings_program`: program_id → programs(program_id), `fk_offerings_section`: section_id → sections(section_id), `fk_offerings_semester`: semester_id → semesters(semester_id), `fk_offerings_subject`: subject_id → subjects(subject_id), `fk_offerings_year`: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enrollments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enrollment_id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`fk_enrollments_offering`: offering_id → course_offerings(offering_id), `fk_enrollments_student`: student_id → students(student_id), `fk_enrollments_user`: enrolled_by → users(user_id)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faculty_subjects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allocation_id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`fk_fs_faculty`: faculty_id → faculty(faculty_id), `fk_fs_semester`: semester_id → semesters(semester_id), `fk_fs_subject`: subject_id → subjects(subject_id), `fk_fs_year`: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timetable</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timetable_id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`fk_timetable_faculty`: faculty_id → faculty(faculty_id), `fk_timetable_offering`: offering_id → course_offerings(offering_id), `fk_timetable_section`: section_id → sections(section_id)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2 • Academic &amp; Course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academic_calendar</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event_id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`fk_calendar_semester`: semester_id → semesters(semester_id), `fk_calendar_year`: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3 • Attendance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class_sessions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session_id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`fk_sessions_faculty`: faculty_id → faculty(faculty_id), `fk_sessions_offering`: offering_id → course_offerings(offering_id), `fk_sessions_semester`: semester_id → semesters(semester_id)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3 • Attendance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attendance</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attendance_id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`fk_attendance_offering`: offering_id → course_offerings(offering_id), `fk_attendance_semester`: semester_id → semesters(semester_id), `fk_attendance_session`: session_id → class_sessions(session_id), `fk_attendance_student`: student_id → students(student_id), `fk_attendance_user`: marked_by → users(user_id)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4 • Examination &amp; Results</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exams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exam_id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`fk_exams_semester`: semester_id → semesters(semester_id), `fk_exams_year`: academic_year_id → academic_years(academic_year_id)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4 • Examination &amp; Results</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exam_schedules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schedule_id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`fk_es_exam`: exam_id → exams(exam_id), `fk_es_invigilator`: invigilator_id → faculty(faculty_id), `fk_es_program`: program_id → programs(program_id), `fk_es_subject`: subject_id → subjects(subject_id)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4 • Examination &amp; Results</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exam_registrations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registration_id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`fk_er_exam`: exam_id → exams(exam_id), `fk_er_offering`: offering_id → course_offerings(offering_id), `fk_er_registered_by`: registered_by → users(user_id), `fk_er_schedule`: schedule_id → exam_schedules(schedule_id), `fk_er_student`: student_id → students(student_id)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4 • Examination &amp; Results</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marks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mark_id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`fk_marks_entered_by`: entered_by → users(user_id), `fk_marks_registration`: registration_id → exam_registrations(registration_id)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4 • Examination &amp; Results</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grades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grade_id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4 • Examination &amp; Results</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results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result_id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`fk_results_exam`: exam_id → exams(exam_id), `fk_results_published_by`: published_by → users(user_id), `fk_results_semester`: semester_id → semesters(semester_id), `fk_results_student`: student_id → students(student_id)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5 • Fees &amp; Finance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fee_structures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fee_structure_id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`fk_fee_structures_category`: category_id → categories(category_id), `fk_fee_structures_program`: program_id → programs(program_id), `fk_fee_structures_year`: academic_year_id → academic_years(academic_year_id)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5 • Fees &amp; Finance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student_fees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student_fee_id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`fk_student_fees_semester`: semester_id → semesters(semester_id), `fk_student_fees_structure`: fee_structure_id → fee_structures(fee_structure_id), `fk_student_fees_student`: student_id → students(student_id), `fk_student_fees_year`: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5 • Fees &amp; Finance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payments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payment_id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`fk_payments_fee`: student_fee_id → student_fees(student_fee_id), `fk_payments_receiver`: received_by → users(user_id), `fk_payments_student`: student_id → students(student_id)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5 • Fees &amp; Finance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scholarships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scholarship_id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`fk_scholarships_year`: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5 • Fees &amp; Finance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student_scholarships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student_scholarship_id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`fk_ss_scholarship`: scholarship_id → scholarships(scholarship_id), `fk_ss_student`: student_id → students(student_id), `fk_ss_user`: sanctioned_by → users(user_id), `fk_ss_year`: academic_year_id → academic_years(academic_year_id)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5 • Fees &amp; Finance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fines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fine_id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`fk_fines_fee`: student_fee_id → student_fees(student_fee_id), `fk_fines_student`: student_id → students(student_id), `fk_fines_user`: imposed_by → users(user_id)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5 • Fees &amp; Finance</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refunds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refund_id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`fk_refunds_payment`: payment_id → payments(payment_id), `fk_refunds_student`: student_id → students(student_id), `fk_refunds_user`: processed_by → users(user_id)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5 • Fees &amp; Finance</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transactions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transaction_id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`fk_txn_fee`: student_fee_id → student_fees(student_fee_id), `fk_txn_payment`: payment_id → payments(payment_id), `fk_txn_student`: student_id → students(student_id)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6 • Hostel</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hostels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hostel_id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`fk_hostels_warden`: warden_faculty_id → faculty(faculty_id)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6 • Hostel</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hostel_blocks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block_id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`fk_blocks_hostel`: hostel_id → hostels(hostel_id)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6 • Hostel</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rooms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room_id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`fk_rooms_block`: block_id → hostel_blocks(block_id), `fk_rooms_hostel`: hostel_id → hostels(hostel_id)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6 • Hostel</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beds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bed_id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`fk_beds_room`: room_id → rooms(room_id)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6 • Hostel</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hostel_applications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application_id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`fk_ha_hostel`: hostel_id → hostels(hostel_id), `fk_ha_reviewer`: reviewed_by → users(user_id), `fk_ha_student`: student_id → students(student_id), `fk_ha_year`: academic_year_id → academic_years(academic_year_id)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6 • Hostel</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room_allocations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allocation_id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`fk_ra_allocator`: allocated_by → users(user_id), `fk_ra_bed`: bed_id → beds(bed_id), `fk_ra_hostel`: hostel_id → hostels(hostel_id), `fk_ra_room`: room_id → rooms(room_id), `fk_ra_student`: student_id → students(student_id), `fk_ra_year`: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6 • Hostel</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room_transfers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transfer_id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`fk_rt_approver`: approved_by → users(user_id), `fk_rt_from_bed`: from_bed_id → beds(bed_id), `fk_rt_student`: student_id → students(student_id), `fk_rt_to_bed`: to_bed_id → beds(bed_id)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6 • Hostel</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hostel_fees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hostel_fee_id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`fk_hf_allocation`: allocation_id → room_allocations(allocation_id), `fk_hf_student`: student_id → students(student_id), `fk_hf_year`: academic_year_id → academic_years(academic_year_id)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7 • Faculty/Leave/Payroll</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designations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designation_id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7 • Faculty/Leave/Payroll</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faculty</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faculty_id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`fk_faculty_department`: department_id → departments(department_id), `fk_faculty_designation`: designation_id → designations(designation_id), `fk_faculty_user`: user_id → users(user_id)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7 • Faculty/Leave/Payroll</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faculty_subjects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allocation_id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`fk_fs_faculty`: faculty_id → faculty(faculty_id), `fk_fs_semester`: semester_id → semesters(semester_id), `fk_fs_subject`: subject_id → subjects(subject_id), `fk_fs_year`: academic_year_id → academic_years(academic_year_id)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7 • Faculty/Leave/Payroll</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faculty_leaves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leave_id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`fk_leaves_approver`: approved_by → users(user_id), `fk_leaves_faculty`: faculty_id → faculty(faculty_id)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7 • Faculty/Leave/Payroll</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leave_balances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balance_id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`fk_lb_faculty`: faculty_id → faculty(faculty_id), `fk_lb_year`: academic_year_id → academic_years(academic_year_id)</w:t>
            </w:r>
          </w:p>
        </w:tc>
      </w:tr>
      <w:tr>
        <w:tc>
          <w:tcPr>
            <w:tcW w:type="dxa" w:w="2088"/>
            <w:vAlign w:val="center"/>
            <w:tcMar>
              <w:top w:w="65" w:type="dxa"/>
              <w:start w:w="85" w:type="dxa"/>
              <w:bottom w:w="65" w:type="dxa"/>
              <w:end w:w="85" w:type="dxa"/>
            </w:tcMar>
          </w:tcPr>
          <w:p>
            <w:pPr>
              <w:spacing w:after="0" w:before="0"/>
            </w:pPr>
            <w:r/>
            <w:r>
              <w:rPr>
                <w:rFonts w:ascii="Calibri" w:hAnsi="Calibri"/>
                <w:b w:val="0"/>
                <w:color w:val="263238"/>
                <w:sz w:val="14"/>
              </w:rPr>
              <w:t>Group 7 • Faculty/Leave/Payroll</w:t>
            </w:r>
          </w:p>
        </w:tc>
        <w:tc>
          <w:tcPr>
            <w:tcW w:type="dxa" w:w="1987"/>
            <w:vAlign w:val="center"/>
            <w:tcMar>
              <w:top w:w="65" w:type="dxa"/>
              <w:start w:w="85" w:type="dxa"/>
              <w:bottom w:w="65" w:type="dxa"/>
              <w:end w:w="85" w:type="dxa"/>
            </w:tcMar>
          </w:tcPr>
          <w:p>
            <w:pPr>
              <w:spacing w:after="0" w:before="0"/>
            </w:pPr>
            <w:r/>
            <w:r>
              <w:rPr>
                <w:rFonts w:ascii="Calibri" w:hAnsi="Calibri"/>
                <w:b w:val="0"/>
                <w:color w:val="263238"/>
                <w:sz w:val="14"/>
              </w:rPr>
              <w:t>payrolls</w:t>
            </w:r>
          </w:p>
        </w:tc>
        <w:tc>
          <w:tcPr>
            <w:tcW w:type="dxa" w:w="1512"/>
            <w:vAlign w:val="center"/>
            <w:tcMar>
              <w:top w:w="65" w:type="dxa"/>
              <w:start w:w="85" w:type="dxa"/>
              <w:bottom w:w="65" w:type="dxa"/>
              <w:end w:w="85" w:type="dxa"/>
            </w:tcMar>
          </w:tcPr>
          <w:p>
            <w:pPr>
              <w:spacing w:after="0" w:before="0"/>
            </w:pPr>
            <w:r/>
            <w:r>
              <w:rPr>
                <w:rFonts w:ascii="Calibri" w:hAnsi="Calibri"/>
                <w:b w:val="0"/>
                <w:color w:val="263238"/>
                <w:sz w:val="14"/>
              </w:rPr>
              <w:t>payroll_id</w:t>
            </w:r>
          </w:p>
        </w:tc>
        <w:tc>
          <w:tcPr>
            <w:tcW w:type="dxa" w:w="4176"/>
            <w:vAlign w:val="center"/>
            <w:tcMar>
              <w:top w:w="65" w:type="dxa"/>
              <w:start w:w="85" w:type="dxa"/>
              <w:bottom w:w="65" w:type="dxa"/>
              <w:end w:w="85" w:type="dxa"/>
            </w:tcMar>
          </w:tcPr>
          <w:p>
            <w:pPr>
              <w:spacing w:after="0" w:before="0"/>
            </w:pPr>
            <w:r/>
            <w:r>
              <w:rPr>
                <w:rFonts w:ascii="Calibri" w:hAnsi="Calibri"/>
                <w:b w:val="0"/>
                <w:color w:val="263238"/>
                <w:sz w:val="14"/>
              </w:rPr>
              <w:t>`fk_payrolls_faculty`: faculty_id → faculty(faculty_id)</w:t>
            </w:r>
          </w:p>
        </w:tc>
      </w:tr>
      <w:tr>
        <w:tc>
          <w:tcPr>
            <w:tcW w:type="dxa" w:w="2088"/>
            <w:vAlign w:val="center"/>
            <w:tcMar>
              <w:top w:w="65" w:type="dxa"/>
              <w:start w:w="85" w:type="dxa"/>
              <w:bottom w:w="65" w:type="dxa"/>
              <w:end w:w="85" w:type="dxa"/>
            </w:tcMar>
            <w:shd w:fill="F5F7FA"/>
          </w:tcPr>
          <w:p>
            <w:pPr>
              <w:spacing w:after="0" w:before="0"/>
            </w:pPr>
            <w:r/>
            <w:r>
              <w:rPr>
                <w:rFonts w:ascii="Calibri" w:hAnsi="Calibri"/>
                <w:b w:val="0"/>
                <w:color w:val="263238"/>
                <w:sz w:val="14"/>
              </w:rPr>
              <w:t>Group 7 • Faculty/Leave/Payroll</w:t>
            </w:r>
          </w:p>
        </w:tc>
        <w:tc>
          <w:tcPr>
            <w:tcW w:type="dxa" w:w="1987"/>
            <w:vAlign w:val="center"/>
            <w:tcMar>
              <w:top w:w="65" w:type="dxa"/>
              <w:start w:w="85" w:type="dxa"/>
              <w:bottom w:w="65" w:type="dxa"/>
              <w:end w:w="85" w:type="dxa"/>
            </w:tcMar>
            <w:shd w:fill="F5F7FA"/>
          </w:tcPr>
          <w:p>
            <w:pPr>
              <w:spacing w:after="0" w:before="0"/>
            </w:pPr>
            <w:r/>
            <w:r>
              <w:rPr>
                <w:rFonts w:ascii="Calibri" w:hAnsi="Calibri"/>
                <w:b w:val="0"/>
                <w:color w:val="263238"/>
                <w:sz w:val="14"/>
              </w:rPr>
              <w:t>payroll_components</w:t>
            </w:r>
          </w:p>
        </w:tc>
        <w:tc>
          <w:tcPr>
            <w:tcW w:type="dxa" w:w="1512"/>
            <w:vAlign w:val="center"/>
            <w:tcMar>
              <w:top w:w="65" w:type="dxa"/>
              <w:start w:w="85" w:type="dxa"/>
              <w:bottom w:w="65" w:type="dxa"/>
              <w:end w:w="85" w:type="dxa"/>
            </w:tcMar>
            <w:shd w:fill="F5F7FA"/>
          </w:tcPr>
          <w:p>
            <w:pPr>
              <w:spacing w:after="0" w:before="0"/>
            </w:pPr>
            <w:r/>
            <w:r>
              <w:rPr>
                <w:rFonts w:ascii="Calibri" w:hAnsi="Calibri"/>
                <w:b w:val="0"/>
                <w:color w:val="263238"/>
                <w:sz w:val="14"/>
              </w:rPr>
              <w:t>component_id</w:t>
            </w:r>
          </w:p>
        </w:tc>
        <w:tc>
          <w:tcPr>
            <w:tcW w:type="dxa" w:w="4176"/>
            <w:vAlign w:val="center"/>
            <w:tcMar>
              <w:top w:w="65" w:type="dxa"/>
              <w:start w:w="85" w:type="dxa"/>
              <w:bottom w:w="65" w:type="dxa"/>
              <w:end w:w="85" w:type="dxa"/>
            </w:tcMar>
            <w:shd w:fill="F5F7FA"/>
          </w:tcPr>
          <w:p>
            <w:pPr>
              <w:spacing w:after="0" w:before="0"/>
            </w:pPr>
            <w:r/>
            <w:r>
              <w:rPr>
                <w:rFonts w:ascii="Calibri" w:hAnsi="Calibri"/>
                <w:b w:val="0"/>
                <w:color w:val="263238"/>
                <w:sz w:val="14"/>
              </w:rPr>
              <w:t>`fk_pc_payroll`: payroll_id → payrolls(payroll_id)</w:t>
            </w:r>
          </w:p>
        </w:tc>
      </w:tr>
    </w:tbl>
    <w:p>
      <w:pPr>
        <w:spacing w:after="0"/>
      </w:pPr>
    </w:p>
    <w:p>
      <w:pPr>
        <w:pStyle w:val="Heading1"/>
        <w:keepNext/>
        <w:spacing w:before="200" w:after="80"/>
      </w:pPr>
      <w:r>
        <w:t>5. Database design and DBMS concepts</w:t>
      </w:r>
    </w:p>
    <w:p>
      <w:pPr>
        <w:pStyle w:val="Heading2"/>
        <w:keepNext/>
        <w:spacing w:before="140" w:after="80"/>
      </w:pPr>
      <w:r>
        <w:t>Keys, constraints and normalization</w:t>
      </w:r>
    </w:p>
    <w:p>
      <w:pPr>
        <w:pStyle w:val="ListBullet"/>
        <w:spacing w:after="60"/>
        <w:ind w:left="403" w:hanging="230"/>
      </w:pPr>
      <w:r>
        <w:t>Most base tables use a surrogate AUTO_INCREMENT PK named &lt;singular&gt;_id. FKs state cross-table references and match type/signedness to the parent key.</w:t>
      </w:r>
    </w:p>
    <w:p>
      <w:pPr>
        <w:pStyle w:val="ListBullet"/>
        <w:spacing w:after="60"/>
        <w:ind w:left="403" w:hanging="230"/>
      </w:pPr>
      <w:r>
        <w:t>Unique keys protect candidate/business identity: users.email; students.email, roll_number and registration_number; admissions.application_no and email; enrollment/attendance/registration composites; payment receipt references; payroll faculty/month/year; and hostel active-bed/year rules.</w:t>
      </w:r>
    </w:p>
    <w:p>
      <w:pPr>
        <w:pStyle w:val="ListBullet"/>
        <w:spacing w:after="60"/>
        <w:ind w:left="403" w:hanging="230"/>
      </w:pPr>
      <w:r>
        <w:t>CHECK/enum/status validation, NOT NULL/defaults, FK referential actions and application Zod validation work together; a form alone cannot guarantee integrity.</w:t>
      </w:r>
    </w:p>
    <w:p>
      <w:pPr>
        <w:pStyle w:val="ListBullet"/>
        <w:spacing w:after="60"/>
        <w:ind w:left="403" w:hanging="230"/>
      </w:pPr>
      <w:r>
        <w:t>PROJECT_REPORT.md describes the relational design as 3NF and transactional tables toward BCNF. It explicitly documents denormalized counters—offering enrollment count, hostel occupancy/bed status, and bill paid/due totals—maintained by triggers/reconciliation.</w:t>
      </w:r>
    </w:p>
    <w:p>
      <w:pPr>
        <w:pStyle w:val="ListBullet"/>
        <w:spacing w:after="60"/>
        <w:ind w:left="403" w:hanging="230"/>
      </w:pPr>
      <w:r>
        <w:t>Money is DECIMAL, percentages DECIMAL(5,2); state/status columns use constrained lifecycle values. Indexes support common joins, filters and unique business rules.</w:t>
      </w:r>
    </w:p>
    <w:p>
      <w:pPr>
        <w:pStyle w:val="Heading2"/>
        <w:keepNext/>
        <w:spacing w:before="140" w:after="80"/>
      </w:pPr>
      <w:r>
        <w:t>Know these object differences</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1581"/>
            <w:vAlign w:val="center"/>
            <w:tcMar>
              <w:top w:w="65" w:type="dxa"/>
              <w:start w:w="85" w:type="dxa"/>
              <w:bottom w:w="65" w:type="dxa"/>
              <w:end w:w="85" w:type="dxa"/>
            </w:tcMar>
            <w:shd w:fill="17365D"/>
          </w:tcPr>
          <w:p>
            <w:pPr>
              <w:spacing w:after="0" w:before="0"/>
            </w:pPr>
            <w:r/>
            <w:r>
              <w:rPr>
                <w:rFonts w:ascii="Calibri" w:hAnsi="Calibri"/>
                <w:b/>
                <w:color w:val="FFFFFF"/>
                <w:sz w:val="16"/>
              </w:rPr>
              <w:t>DBMS object</w:t>
            </w:r>
          </w:p>
        </w:tc>
        <w:tc>
          <w:tcPr>
            <w:tcW w:type="dxa" w:w="4125"/>
            <w:vAlign w:val="center"/>
            <w:tcMar>
              <w:top w:w="65" w:type="dxa"/>
              <w:start w:w="85" w:type="dxa"/>
              <w:bottom w:w="65" w:type="dxa"/>
              <w:end w:w="85" w:type="dxa"/>
            </w:tcMar>
            <w:shd w:fill="17365D"/>
          </w:tcPr>
          <w:p>
            <w:pPr>
              <w:spacing w:after="0" w:before="0"/>
            </w:pPr>
            <w:r/>
            <w:r>
              <w:rPr>
                <w:rFonts w:ascii="Calibri" w:hAnsi="Calibri"/>
                <w:b/>
                <w:color w:val="FFFFFF"/>
                <w:sz w:val="16"/>
              </w:rPr>
              <w:t>What it does here</w:t>
            </w:r>
          </w:p>
        </w:tc>
        <w:tc>
          <w:tcPr>
            <w:tcW w:type="dxa" w:w="4057"/>
            <w:vAlign w:val="center"/>
            <w:tcMar>
              <w:top w:w="65" w:type="dxa"/>
              <w:start w:w="85" w:type="dxa"/>
              <w:bottom w:w="65" w:type="dxa"/>
              <w:end w:w="85" w:type="dxa"/>
            </w:tcMar>
            <w:shd w:fill="17365D"/>
          </w:tcPr>
          <w:p>
            <w:pPr>
              <w:spacing w:after="0" w:before="0"/>
            </w:pPr>
            <w:r/>
            <w:r>
              <w:rPr>
                <w:rFonts w:ascii="Calibri" w:hAnsi="Calibri"/>
                <w:b/>
                <w:color w:val="FFFFFF"/>
                <w:sz w:val="16"/>
              </w:rPr>
              <w:t>Examples</w:t>
            </w:r>
          </w:p>
        </w:tc>
      </w:tr>
      <w:tr>
        <w:tc>
          <w:tcPr>
            <w:tcW w:type="dxa" w:w="1581"/>
            <w:vAlign w:val="center"/>
            <w:tcMar>
              <w:top w:w="65" w:type="dxa"/>
              <w:start w:w="85" w:type="dxa"/>
              <w:bottom w:w="65" w:type="dxa"/>
              <w:end w:w="85" w:type="dxa"/>
            </w:tcMar>
          </w:tcPr>
          <w:p>
            <w:pPr>
              <w:spacing w:after="0" w:before="0"/>
            </w:pPr>
            <w:r/>
            <w:r>
              <w:rPr>
                <w:rFonts w:ascii="Calibri" w:hAnsi="Calibri"/>
                <w:b w:val="0"/>
                <w:color w:val="263238"/>
                <w:sz w:val="15"/>
              </w:rPr>
              <w:t>Constraint</w:t>
            </w:r>
          </w:p>
        </w:tc>
        <w:tc>
          <w:tcPr>
            <w:tcW w:type="dxa" w:w="4125"/>
            <w:vAlign w:val="center"/>
            <w:tcMar>
              <w:top w:w="65" w:type="dxa"/>
              <w:start w:w="85" w:type="dxa"/>
              <w:bottom w:w="65" w:type="dxa"/>
              <w:end w:w="85" w:type="dxa"/>
            </w:tcMar>
          </w:tcPr>
          <w:p>
            <w:pPr>
              <w:spacing w:after="0" w:before="0"/>
            </w:pPr>
            <w:r/>
            <w:r>
              <w:rPr>
                <w:rFonts w:ascii="Calibri" w:hAnsi="Calibri"/>
                <w:b w:val="0"/>
                <w:color w:val="263238"/>
                <w:sz w:val="15"/>
              </w:rPr>
              <w:t>Declarative integrity; PK/FK/unique/check/not-null.</w:t>
            </w:r>
          </w:p>
        </w:tc>
        <w:tc>
          <w:tcPr>
            <w:tcW w:type="dxa" w:w="4057"/>
            <w:vAlign w:val="center"/>
            <w:tcMar>
              <w:top w:w="65" w:type="dxa"/>
              <w:start w:w="85" w:type="dxa"/>
              <w:bottom w:w="65" w:type="dxa"/>
              <w:end w:w="85" w:type="dxa"/>
            </w:tcMar>
          </w:tcPr>
          <w:p>
            <w:pPr>
              <w:spacing w:after="0" w:before="0"/>
            </w:pPr>
            <w:r/>
            <w:r>
              <w:rPr>
                <w:rFonts w:ascii="Calibri" w:hAnsi="Calibri"/>
                <w:b w:val="0"/>
                <w:color w:val="263238"/>
                <w:sz w:val="15"/>
              </w:rPr>
              <w:t>uq_enrollments_student_offering; FK attendance.student_id → students.student_id</w:t>
            </w:r>
          </w:p>
        </w:tc>
      </w:tr>
      <w:tr>
        <w:tc>
          <w:tcPr>
            <w:tcW w:type="dxa" w:w="1581"/>
            <w:vAlign w:val="center"/>
            <w:tcMar>
              <w:top w:w="65" w:type="dxa"/>
              <w:start w:w="85" w:type="dxa"/>
              <w:bottom w:w="65" w:type="dxa"/>
              <w:end w:w="85" w:type="dxa"/>
            </w:tcMar>
            <w:shd w:fill="F5F7FA"/>
          </w:tcPr>
          <w:p>
            <w:pPr>
              <w:spacing w:after="0" w:before="0"/>
            </w:pPr>
            <w:r/>
            <w:r>
              <w:rPr>
                <w:rFonts w:ascii="Calibri" w:hAnsi="Calibri"/>
                <w:b w:val="0"/>
                <w:color w:val="263238"/>
                <w:sz w:val="15"/>
              </w:rPr>
              <w:t>Stored procedure</w:t>
            </w:r>
          </w:p>
        </w:tc>
        <w:tc>
          <w:tcPr>
            <w:tcW w:type="dxa" w:w="4125"/>
            <w:vAlign w:val="center"/>
            <w:tcMar>
              <w:top w:w="65" w:type="dxa"/>
              <w:start w:w="85" w:type="dxa"/>
              <w:bottom w:w="65" w:type="dxa"/>
              <w:end w:w="85" w:type="dxa"/>
            </w:tcMar>
            <w:shd w:fill="F5F7FA"/>
          </w:tcPr>
          <w:p>
            <w:pPr>
              <w:spacing w:after="0" w:before="0"/>
            </w:pPr>
            <w:r/>
            <w:r>
              <w:rPr>
                <w:rFonts w:ascii="Calibri" w:hAnsi="Calibri"/>
                <w:b w:val="0"/>
                <w:color w:val="263238"/>
                <w:sz w:val="15"/>
              </w:rPr>
              <w:t>Explicit workflow, multi-row action, OUT response, transaction.</w:t>
            </w:r>
          </w:p>
        </w:tc>
        <w:tc>
          <w:tcPr>
            <w:tcW w:type="dxa" w:w="4057"/>
            <w:vAlign w:val="center"/>
            <w:tcMar>
              <w:top w:w="65" w:type="dxa"/>
              <w:start w:w="85" w:type="dxa"/>
              <w:bottom w:w="65" w:type="dxa"/>
              <w:end w:w="85" w:type="dxa"/>
            </w:tcMar>
            <w:shd w:fill="F5F7FA"/>
          </w:tcPr>
          <w:p>
            <w:pPr>
              <w:spacing w:after="0" w:before="0"/>
            </w:pPr>
            <w:r/>
            <w:r>
              <w:rPr>
                <w:rFonts w:ascii="Calibri" w:hAnsi="Calibri"/>
                <w:b w:val="0"/>
                <w:color w:val="263238"/>
                <w:sz w:val="15"/>
              </w:rPr>
              <w:t>sp_approve_admission; sp_process_fee_payment; sp_allocate_hostel_bed</w:t>
            </w:r>
          </w:p>
        </w:tc>
      </w:tr>
      <w:tr>
        <w:tc>
          <w:tcPr>
            <w:tcW w:type="dxa" w:w="1581"/>
            <w:vAlign w:val="center"/>
            <w:tcMar>
              <w:top w:w="65" w:type="dxa"/>
              <w:start w:w="85" w:type="dxa"/>
              <w:bottom w:w="65" w:type="dxa"/>
              <w:end w:w="85" w:type="dxa"/>
            </w:tcMar>
          </w:tcPr>
          <w:p>
            <w:pPr>
              <w:spacing w:after="0" w:before="0"/>
            </w:pPr>
            <w:r/>
            <w:r>
              <w:rPr>
                <w:rFonts w:ascii="Calibri" w:hAnsi="Calibri"/>
                <w:b w:val="0"/>
                <w:color w:val="263238"/>
                <w:sz w:val="15"/>
              </w:rPr>
              <w:t>Function</w:t>
            </w:r>
          </w:p>
        </w:tc>
        <w:tc>
          <w:tcPr>
            <w:tcW w:type="dxa" w:w="4125"/>
            <w:vAlign w:val="center"/>
            <w:tcMar>
              <w:top w:w="65" w:type="dxa"/>
              <w:start w:w="85" w:type="dxa"/>
              <w:bottom w:w="65" w:type="dxa"/>
              <w:end w:w="85" w:type="dxa"/>
            </w:tcMar>
          </w:tcPr>
          <w:p>
            <w:pPr>
              <w:spacing w:after="0" w:before="0"/>
            </w:pPr>
            <w:r/>
            <w:r>
              <w:rPr>
                <w:rFonts w:ascii="Calibri" w:hAnsi="Calibri"/>
                <w:b w:val="0"/>
                <w:color w:val="263238"/>
                <w:sz w:val="15"/>
              </w:rPr>
              <w:t>Returns a computed value inside SQL expressions.</w:t>
            </w:r>
          </w:p>
        </w:tc>
        <w:tc>
          <w:tcPr>
            <w:tcW w:type="dxa" w:w="4057"/>
            <w:vAlign w:val="center"/>
            <w:tcMar>
              <w:top w:w="65" w:type="dxa"/>
              <w:start w:w="85" w:type="dxa"/>
              <w:bottom w:w="65" w:type="dxa"/>
              <w:end w:w="85" w:type="dxa"/>
            </w:tcMar>
          </w:tcPr>
          <w:p>
            <w:pPr>
              <w:spacing w:after="0" w:before="0"/>
            </w:pPr>
            <w:r/>
            <w:r>
              <w:rPr>
                <w:rFonts w:ascii="Calibri" w:hAnsi="Calibri"/>
                <w:b w:val="0"/>
                <w:color w:val="263238"/>
                <w:sz w:val="15"/>
              </w:rPr>
              <w:t>fn_calculate_attendance_percentage; fn_grade_points; fn_student_outstanding_dues</w:t>
            </w:r>
          </w:p>
        </w:tc>
      </w:tr>
      <w:tr>
        <w:tc>
          <w:tcPr>
            <w:tcW w:type="dxa" w:w="1581"/>
            <w:vAlign w:val="center"/>
            <w:tcMar>
              <w:top w:w="65" w:type="dxa"/>
              <w:start w:w="85" w:type="dxa"/>
              <w:bottom w:w="65" w:type="dxa"/>
              <w:end w:w="85" w:type="dxa"/>
            </w:tcMar>
            <w:shd w:fill="F5F7FA"/>
          </w:tcPr>
          <w:p>
            <w:pPr>
              <w:spacing w:after="0" w:before="0"/>
            </w:pPr>
            <w:r/>
            <w:r>
              <w:rPr>
                <w:rFonts w:ascii="Calibri" w:hAnsi="Calibri"/>
                <w:b w:val="0"/>
                <w:color w:val="263238"/>
                <w:sz w:val="15"/>
              </w:rPr>
              <w:t>Trigger</w:t>
            </w:r>
          </w:p>
        </w:tc>
        <w:tc>
          <w:tcPr>
            <w:tcW w:type="dxa" w:w="4125"/>
            <w:vAlign w:val="center"/>
            <w:tcMar>
              <w:top w:w="65" w:type="dxa"/>
              <w:start w:w="85" w:type="dxa"/>
              <w:bottom w:w="65" w:type="dxa"/>
              <w:end w:w="85" w:type="dxa"/>
            </w:tcMar>
            <w:shd w:fill="F5F7FA"/>
          </w:tcPr>
          <w:p>
            <w:pPr>
              <w:spacing w:after="0" w:before="0"/>
            </w:pPr>
            <w:r/>
            <w:r>
              <w:rPr>
                <w:rFonts w:ascii="Calibri" w:hAnsi="Calibri"/>
                <w:b w:val="0"/>
                <w:color w:val="263238"/>
                <w:sz w:val="15"/>
              </w:rPr>
              <w:t>Runs automatically for INSERT/UPDATE/DELETE and protects/updates table state.</w:t>
            </w:r>
          </w:p>
        </w:tc>
        <w:tc>
          <w:tcPr>
            <w:tcW w:type="dxa" w:w="4057"/>
            <w:vAlign w:val="center"/>
            <w:tcMar>
              <w:top w:w="65" w:type="dxa"/>
              <w:start w:w="85" w:type="dxa"/>
              <w:bottom w:w="65" w:type="dxa"/>
              <w:end w:w="85" w:type="dxa"/>
            </w:tcMar>
            <w:shd w:fill="F5F7FA"/>
          </w:tcPr>
          <w:p>
            <w:pPr>
              <w:spacing w:after="0" w:before="0"/>
            </w:pPr>
            <w:r/>
            <w:r>
              <w:rPr>
                <w:rFonts w:ascii="Calibri" w:hAnsi="Calibri"/>
                <w:b w:val="0"/>
                <w:color w:val="263238"/>
                <w:sz w:val="15"/>
              </w:rPr>
              <w:t>trg_exam_reg_bi_eligibility; trg_payment_ai; trg_allocation_ai</w:t>
            </w:r>
          </w:p>
        </w:tc>
      </w:tr>
      <w:tr>
        <w:tc>
          <w:tcPr>
            <w:tcW w:type="dxa" w:w="1581"/>
            <w:vAlign w:val="center"/>
            <w:tcMar>
              <w:top w:w="65" w:type="dxa"/>
              <w:start w:w="85" w:type="dxa"/>
              <w:bottom w:w="65" w:type="dxa"/>
              <w:end w:w="85" w:type="dxa"/>
            </w:tcMar>
          </w:tcPr>
          <w:p>
            <w:pPr>
              <w:spacing w:after="0" w:before="0"/>
            </w:pPr>
            <w:r/>
            <w:r>
              <w:rPr>
                <w:rFonts w:ascii="Calibri" w:hAnsi="Calibri"/>
                <w:b w:val="0"/>
                <w:color w:val="263238"/>
                <w:sz w:val="15"/>
              </w:rPr>
              <w:t>View</w:t>
            </w:r>
          </w:p>
        </w:tc>
        <w:tc>
          <w:tcPr>
            <w:tcW w:type="dxa" w:w="4125"/>
            <w:vAlign w:val="center"/>
            <w:tcMar>
              <w:top w:w="65" w:type="dxa"/>
              <w:start w:w="85" w:type="dxa"/>
              <w:bottom w:w="65" w:type="dxa"/>
              <w:end w:w="85" w:type="dxa"/>
            </w:tcMar>
          </w:tcPr>
          <w:p>
            <w:pPr>
              <w:spacing w:after="0" w:before="0"/>
            </w:pPr>
            <w:r/>
            <w:r>
              <w:rPr>
                <w:rFonts w:ascii="Calibri" w:hAnsi="Calibri"/>
                <w:b w:val="0"/>
                <w:color w:val="263238"/>
                <w:sz w:val="15"/>
              </w:rPr>
              <w:t>Reusable SELECT/read model, not an independent base-table copy.</w:t>
            </w:r>
          </w:p>
        </w:tc>
        <w:tc>
          <w:tcPr>
            <w:tcW w:type="dxa" w:w="4057"/>
            <w:vAlign w:val="center"/>
            <w:tcMar>
              <w:top w:w="65" w:type="dxa"/>
              <w:start w:w="85" w:type="dxa"/>
              <w:bottom w:w="65" w:type="dxa"/>
              <w:end w:w="85" w:type="dxa"/>
            </w:tcMar>
          </w:tcPr>
          <w:p>
            <w:pPr>
              <w:spacing w:after="0" w:before="0"/>
            </w:pPr>
            <w:r/>
            <w:r>
              <w:rPr>
                <w:rFonts w:ascii="Calibri" w:hAnsi="Calibri"/>
                <w:b w:val="0"/>
                <w:color w:val="263238"/>
                <w:sz w:val="15"/>
              </w:rPr>
              <w:t>v_student_attendance_overall; v_student_fee_status; v_room_vacancy</w:t>
            </w:r>
          </w:p>
        </w:tc>
      </w:tr>
      <w:tr>
        <w:tc>
          <w:tcPr>
            <w:tcW w:type="dxa" w:w="1581"/>
            <w:vAlign w:val="center"/>
            <w:tcMar>
              <w:top w:w="65" w:type="dxa"/>
              <w:start w:w="85" w:type="dxa"/>
              <w:bottom w:w="65" w:type="dxa"/>
              <w:end w:w="85" w:type="dxa"/>
            </w:tcMar>
            <w:shd w:fill="F5F7FA"/>
          </w:tcPr>
          <w:p>
            <w:pPr>
              <w:spacing w:after="0" w:before="0"/>
            </w:pPr>
            <w:r/>
            <w:r>
              <w:rPr>
                <w:rFonts w:ascii="Calibri" w:hAnsi="Calibri"/>
                <w:b w:val="0"/>
                <w:color w:val="263238"/>
                <w:sz w:val="15"/>
              </w:rPr>
              <w:t>Transaction</w:t>
            </w:r>
          </w:p>
        </w:tc>
        <w:tc>
          <w:tcPr>
            <w:tcW w:type="dxa" w:w="4125"/>
            <w:vAlign w:val="center"/>
            <w:tcMar>
              <w:top w:w="65" w:type="dxa"/>
              <w:start w:w="85" w:type="dxa"/>
              <w:bottom w:w="65" w:type="dxa"/>
              <w:end w:w="85" w:type="dxa"/>
            </w:tcMar>
            <w:shd w:fill="F5F7FA"/>
          </w:tcPr>
          <w:p>
            <w:pPr>
              <w:spacing w:after="0" w:before="0"/>
            </w:pPr>
            <w:r/>
            <w:r>
              <w:rPr>
                <w:rFonts w:ascii="Calibri" w:hAnsi="Calibri"/>
                <w:b w:val="0"/>
                <w:color w:val="263238"/>
                <w:sz w:val="15"/>
              </w:rPr>
              <w:t>Atomic boundary around related changes; error handler rolls back.</w:t>
            </w:r>
          </w:p>
        </w:tc>
        <w:tc>
          <w:tcPr>
            <w:tcW w:type="dxa" w:w="4057"/>
            <w:vAlign w:val="center"/>
            <w:tcMar>
              <w:top w:w="65" w:type="dxa"/>
              <w:start w:w="85" w:type="dxa"/>
              <w:bottom w:w="65" w:type="dxa"/>
              <w:end w:w="85" w:type="dxa"/>
            </w:tcMar>
            <w:shd w:fill="F5F7FA"/>
          </w:tcPr>
          <w:p>
            <w:pPr>
              <w:spacing w:after="0" w:before="0"/>
            </w:pPr>
            <w:r/>
            <w:r>
              <w:rPr>
                <w:rFonts w:ascii="Calibri" w:hAnsi="Calibri"/>
                <w:b w:val="0"/>
                <w:color w:val="263238"/>
                <w:sz w:val="15"/>
              </w:rPr>
              <w:t>admission approval; payment/receipt; hostel allocation; leave decision</w:t>
            </w:r>
          </w:p>
        </w:tc>
      </w:tr>
    </w:tbl>
    <w:p>
      <w:pPr>
        <w:spacing w:after="0"/>
      </w:pPr>
    </w:p>
    <w:p>
      <w:pPr>
        <w:pStyle w:val="Heading2"/>
        <w:keepNext/>
        <w:spacing w:before="140" w:after="80"/>
      </w:pPr>
      <w:r>
        <w:t>ACID in a project example</w:t>
      </w:r>
    </w:p>
    <w:p>
      <w:pPr>
        <w:pStyle w:val="ListBullet"/>
        <w:spacing w:after="60"/>
        <w:ind w:left="403" w:hanging="230"/>
      </w:pPr>
      <w:r>
        <w:t>Atomicity: admission is all-or-nothing across user/student/application; payment should not leave a receipt without its bill/ledger updates.</w:t>
      </w:r>
    </w:p>
    <w:p>
      <w:pPr>
        <w:pStyle w:val="ListBullet"/>
        <w:spacing w:after="60"/>
        <w:ind w:left="403" w:hanging="230"/>
      </w:pPr>
      <w:r>
        <w:t>Consistency: constraints, routines and triggers preserve valid relationships and state before/after the transaction.</w:t>
      </w:r>
    </w:p>
    <w:p>
      <w:pPr>
        <w:pStyle w:val="ListBullet"/>
        <w:spacing w:after="60"/>
        <w:ind w:left="403" w:hanging="230"/>
      </w:pPr>
      <w:r>
        <w:t>Isolation: transactions and appropriate InnoDB locking protect concurrent writes; unique keys are still required for race-safe uniqueness.</w:t>
      </w:r>
    </w:p>
    <w:p>
      <w:pPr>
        <w:pStyle w:val="ListBullet"/>
        <w:spacing w:after="60"/>
        <w:ind w:left="403" w:hanging="230"/>
      </w:pPr>
      <w:r>
        <w:t>Durability: a committed database transaction persists according to the configured database/storage policy.</w:t>
      </w:r>
    </w:p>
    <w:p>
      <w:pPr>
        <w:pStyle w:val="Heading1"/>
        <w:keepNext/>
        <w:spacing w:before="200" w:after="80"/>
      </w:pPr>
      <w:r>
        <w:t>6. Core cross-module DBMS rules</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2114"/>
            <w:vAlign w:val="center"/>
            <w:tcMar>
              <w:top w:w="65" w:type="dxa"/>
              <w:start w:w="85" w:type="dxa"/>
              <w:bottom w:w="65" w:type="dxa"/>
              <w:end w:w="85" w:type="dxa"/>
            </w:tcMar>
            <w:shd w:fill="17365D"/>
          </w:tcPr>
          <w:p>
            <w:pPr>
              <w:spacing w:after="0" w:before="0"/>
            </w:pPr>
            <w:r/>
            <w:r>
              <w:rPr>
                <w:rFonts w:ascii="Calibri" w:hAnsi="Calibri"/>
                <w:b/>
                <w:color w:val="FFFFFF"/>
                <w:sz w:val="16"/>
              </w:rPr>
              <w:t>Rule</w:t>
            </w:r>
          </w:p>
        </w:tc>
        <w:tc>
          <w:tcPr>
            <w:tcW w:type="dxa" w:w="4311"/>
            <w:vAlign w:val="center"/>
            <w:tcMar>
              <w:top w:w="65" w:type="dxa"/>
              <w:start w:w="85" w:type="dxa"/>
              <w:bottom w:w="65" w:type="dxa"/>
              <w:end w:w="85" w:type="dxa"/>
            </w:tcMar>
            <w:shd w:fill="17365D"/>
          </w:tcPr>
          <w:p>
            <w:pPr>
              <w:spacing w:after="0" w:before="0"/>
            </w:pPr>
            <w:r/>
            <w:r>
              <w:rPr>
                <w:rFonts w:ascii="Calibri" w:hAnsi="Calibri"/>
                <w:b/>
                <w:color w:val="FFFFFF"/>
                <w:sz w:val="16"/>
              </w:rPr>
              <w:t>Current enforcement/source</w:t>
            </w:r>
          </w:p>
        </w:tc>
        <w:tc>
          <w:tcPr>
            <w:tcW w:type="dxa" w:w="3338"/>
            <w:vAlign w:val="center"/>
            <w:tcMar>
              <w:top w:w="65" w:type="dxa"/>
              <w:start w:w="85" w:type="dxa"/>
              <w:bottom w:w="65" w:type="dxa"/>
              <w:end w:w="85" w:type="dxa"/>
            </w:tcMar>
            <w:shd w:fill="17365D"/>
          </w:tcPr>
          <w:p>
            <w:pPr>
              <w:spacing w:after="0" w:before="0"/>
            </w:pPr>
            <w:r/>
            <w:r>
              <w:rPr>
                <w:rFonts w:ascii="Calibri" w:hAnsi="Calibri"/>
                <w:b/>
                <w:color w:val="FFFFFF"/>
                <w:sz w:val="16"/>
              </w:rPr>
              <w:t>Proof to show</w:t>
            </w:r>
          </w:p>
        </w:tc>
      </w:tr>
      <w:tr>
        <w:tc>
          <w:tcPr>
            <w:tcW w:type="dxa" w:w="2114"/>
            <w:vAlign w:val="center"/>
            <w:tcMar>
              <w:top w:w="65" w:type="dxa"/>
              <w:start w:w="85" w:type="dxa"/>
              <w:bottom w:w="65" w:type="dxa"/>
              <w:end w:w="85" w:type="dxa"/>
            </w:tcMar>
          </w:tcPr>
          <w:p>
            <w:pPr>
              <w:spacing w:after="0" w:before="0"/>
            </w:pPr>
            <w:r/>
            <w:r>
              <w:rPr>
                <w:rFonts w:ascii="Calibri" w:hAnsi="Calibri"/>
                <w:b w:val="0"/>
                <w:color w:val="263238"/>
                <w:sz w:val="15"/>
              </w:rPr>
              <w:t>Admission creates a linked account/student</w:t>
            </w:r>
          </w:p>
        </w:tc>
        <w:tc>
          <w:tcPr>
            <w:tcW w:type="dxa" w:w="4311"/>
            <w:vAlign w:val="center"/>
            <w:tcMar>
              <w:top w:w="65" w:type="dxa"/>
              <w:start w:w="85" w:type="dxa"/>
              <w:bottom w:w="65" w:type="dxa"/>
              <w:end w:w="85" w:type="dxa"/>
            </w:tcMar>
          </w:tcPr>
          <w:p>
            <w:pPr>
              <w:spacing w:after="0" w:before="0"/>
            </w:pPr>
            <w:r/>
            <w:r>
              <w:rPr>
                <w:rFonts w:ascii="Calibri" w:hAnsi="Calibri"/>
                <w:b w:val="0"/>
                <w:color w:val="263238"/>
                <w:sz w:val="15"/>
              </w:rPr>
              <w:t>sp_approve_admission transaction + FKs/unique keys</w:t>
            </w:r>
          </w:p>
        </w:tc>
        <w:tc>
          <w:tcPr>
            <w:tcW w:type="dxa" w:w="3338"/>
            <w:vAlign w:val="center"/>
            <w:tcMar>
              <w:top w:w="65" w:type="dxa"/>
              <w:start w:w="85" w:type="dxa"/>
              <w:bottom w:w="65" w:type="dxa"/>
              <w:end w:w="85" w:type="dxa"/>
            </w:tcMar>
          </w:tcPr>
          <w:p>
            <w:pPr>
              <w:spacing w:after="0" w:before="0"/>
            </w:pPr>
            <w:r/>
            <w:r>
              <w:rPr>
                <w:rFonts w:ascii="Calibri" w:hAnsi="Calibri"/>
                <w:b w:val="0"/>
                <w:color w:val="263238"/>
                <w:sz w:val="15"/>
              </w:rPr>
              <w:t>Application status, user_id, student_id, audit row</w:t>
            </w:r>
          </w:p>
        </w:tc>
      </w:tr>
      <w:tr>
        <w:tc>
          <w:tcPr>
            <w:tcW w:type="dxa" w:w="2114"/>
            <w:vAlign w:val="center"/>
            <w:tcMar>
              <w:top w:w="65" w:type="dxa"/>
              <w:start w:w="85" w:type="dxa"/>
              <w:bottom w:w="65" w:type="dxa"/>
              <w:end w:w="85" w:type="dxa"/>
            </w:tcMar>
            <w:shd w:fill="F5F7FA"/>
          </w:tcPr>
          <w:p>
            <w:pPr>
              <w:spacing w:after="0" w:before="0"/>
            </w:pPr>
            <w:r/>
            <w:r>
              <w:rPr>
                <w:rFonts w:ascii="Calibri" w:hAnsi="Calibri"/>
                <w:b w:val="0"/>
                <w:color w:val="263238"/>
                <w:sz w:val="15"/>
              </w:rPr>
              <w:t>Bulk enrollment capacity/duplicate protection</w:t>
            </w:r>
          </w:p>
        </w:tc>
        <w:tc>
          <w:tcPr>
            <w:tcW w:type="dxa" w:w="4311"/>
            <w:vAlign w:val="center"/>
            <w:tcMar>
              <w:top w:w="65" w:type="dxa"/>
              <w:start w:w="85" w:type="dxa"/>
              <w:bottom w:w="65" w:type="dxa"/>
              <w:end w:w="85" w:type="dxa"/>
            </w:tcMar>
            <w:shd w:fill="F5F7FA"/>
          </w:tcPr>
          <w:p>
            <w:pPr>
              <w:spacing w:after="0" w:before="0"/>
            </w:pPr>
            <w:r/>
            <w:r>
              <w:rPr>
                <w:rFonts w:ascii="Calibri" w:hAnsi="Calibri"/>
                <w:b w:val="0"/>
                <w:color w:val="263238"/>
                <w:sz w:val="15"/>
              </w:rPr>
              <w:t>sp_bulk_enroll_students; trg_enrollments_bi_guard; count triggers; unique key</w:t>
            </w:r>
          </w:p>
        </w:tc>
        <w:tc>
          <w:tcPr>
            <w:tcW w:type="dxa" w:w="3338"/>
            <w:vAlign w:val="center"/>
            <w:tcMar>
              <w:top w:w="65" w:type="dxa"/>
              <w:start w:w="85" w:type="dxa"/>
              <w:bottom w:w="65" w:type="dxa"/>
              <w:end w:w="85" w:type="dxa"/>
            </w:tcMar>
            <w:shd w:fill="F5F7FA"/>
          </w:tcPr>
          <w:p>
            <w:pPr>
              <w:spacing w:after="0" w:before="0"/>
            </w:pPr>
            <w:r/>
            <w:r>
              <w:rPr>
                <w:rFonts w:ascii="Calibri" w:hAnsi="Calibri"/>
                <w:b w:val="0"/>
                <w:color w:val="263238"/>
                <w:sz w:val="15"/>
              </w:rPr>
              <w:t>Call twice; show first/second counts and enrollments</w:t>
            </w:r>
          </w:p>
        </w:tc>
      </w:tr>
      <w:tr>
        <w:tc>
          <w:tcPr>
            <w:tcW w:type="dxa" w:w="2114"/>
            <w:vAlign w:val="center"/>
            <w:tcMar>
              <w:top w:w="65" w:type="dxa"/>
              <w:start w:w="85" w:type="dxa"/>
              <w:bottom w:w="65" w:type="dxa"/>
              <w:end w:w="85" w:type="dxa"/>
            </w:tcMar>
          </w:tcPr>
          <w:p>
            <w:pPr>
              <w:spacing w:after="0" w:before="0"/>
            </w:pPr>
            <w:r/>
            <w:r>
              <w:rPr>
                <w:rFonts w:ascii="Calibri" w:hAnsi="Calibri"/>
                <w:b w:val="0"/>
                <w:color w:val="263238"/>
                <w:sz w:val="15"/>
              </w:rPr>
              <w:t>Attendance eligibility</w:t>
            </w:r>
          </w:p>
        </w:tc>
        <w:tc>
          <w:tcPr>
            <w:tcW w:type="dxa" w:w="4311"/>
            <w:vAlign w:val="center"/>
            <w:tcMar>
              <w:top w:w="65" w:type="dxa"/>
              <w:start w:w="85" w:type="dxa"/>
              <w:bottom w:w="65" w:type="dxa"/>
              <w:end w:w="85" w:type="dxa"/>
            </w:tcMar>
          </w:tcPr>
          <w:p>
            <w:pPr>
              <w:spacing w:after="0" w:before="0"/>
            </w:pPr>
            <w:r/>
            <w:r>
              <w:rPr>
                <w:rFonts w:ascii="Calibri" w:hAnsi="Calibri"/>
                <w:b w:val="0"/>
                <w:color w:val="263238"/>
                <w:sz w:val="15"/>
              </w:rPr>
              <w:t>fn_calculate_attendance_percentage + sp_register_student_for_exam + trg_exam_reg_bi_eligibility</w:t>
            </w:r>
          </w:p>
        </w:tc>
        <w:tc>
          <w:tcPr>
            <w:tcW w:type="dxa" w:w="3338"/>
            <w:vAlign w:val="center"/>
            <w:tcMar>
              <w:top w:w="65" w:type="dxa"/>
              <w:start w:w="85" w:type="dxa"/>
              <w:bottom w:w="65" w:type="dxa"/>
              <w:end w:w="85" w:type="dxa"/>
            </w:tcMar>
          </w:tcPr>
          <w:p>
            <w:pPr>
              <w:spacing w:after="0" w:before="0"/>
            </w:pPr>
            <w:r/>
            <w:r>
              <w:rPr>
                <w:rFonts w:ascii="Calibri" w:hAnsi="Calibri"/>
                <w:b w:val="0"/>
                <w:color w:val="263238"/>
                <w:sz w:val="15"/>
              </w:rPr>
              <w:t>Below threshold refused; exactly 75% boundary passes</w:t>
            </w:r>
          </w:p>
        </w:tc>
      </w:tr>
      <w:tr>
        <w:tc>
          <w:tcPr>
            <w:tcW w:type="dxa" w:w="2114"/>
            <w:vAlign w:val="center"/>
            <w:tcMar>
              <w:top w:w="65" w:type="dxa"/>
              <w:start w:w="85" w:type="dxa"/>
              <w:bottom w:w="65" w:type="dxa"/>
              <w:end w:w="85" w:type="dxa"/>
            </w:tcMar>
            <w:shd w:fill="F5F7FA"/>
          </w:tcPr>
          <w:p>
            <w:pPr>
              <w:spacing w:after="0" w:before="0"/>
            </w:pPr>
            <w:r/>
            <w:r>
              <w:rPr>
                <w:rFonts w:ascii="Calibri" w:hAnsi="Calibri"/>
                <w:b w:val="0"/>
                <w:color w:val="263238"/>
                <w:sz w:val="15"/>
              </w:rPr>
              <w:t>Exam fee/dues gate</w:t>
            </w:r>
          </w:p>
        </w:tc>
        <w:tc>
          <w:tcPr>
            <w:tcW w:type="dxa" w:w="4311"/>
            <w:vAlign w:val="center"/>
            <w:tcMar>
              <w:top w:w="65" w:type="dxa"/>
              <w:start w:w="85" w:type="dxa"/>
              <w:bottom w:w="65" w:type="dxa"/>
              <w:end w:w="85" w:type="dxa"/>
            </w:tcMar>
            <w:shd w:fill="F5F7FA"/>
          </w:tcPr>
          <w:p>
            <w:pPr>
              <w:spacing w:after="0" w:before="0"/>
            </w:pPr>
            <w:r/>
            <w:r>
              <w:rPr>
                <w:rFonts w:ascii="Calibri" w:hAnsi="Calibri"/>
                <w:b w:val="0"/>
                <w:color w:val="263238"/>
                <w:sz w:val="15"/>
              </w:rPr>
              <w:t>Documented intent, but current inspected routine only calculates v_dues; no visible refusal branch</w:t>
            </w:r>
          </w:p>
        </w:tc>
        <w:tc>
          <w:tcPr>
            <w:tcW w:type="dxa" w:w="3338"/>
            <w:vAlign w:val="center"/>
            <w:tcMar>
              <w:top w:w="65" w:type="dxa"/>
              <w:start w:w="85" w:type="dxa"/>
              <w:bottom w:w="65" w:type="dxa"/>
              <w:end w:w="85" w:type="dxa"/>
            </w:tcMar>
            <w:shd w:fill="F5F7FA"/>
          </w:tcPr>
          <w:p>
            <w:pPr>
              <w:spacing w:after="0" w:before="0"/>
            </w:pPr>
            <w:r/>
            <w:r>
              <w:rPr>
                <w:rFonts w:ascii="Calibri" w:hAnsi="Calibri"/>
                <w:b w:val="0"/>
                <w:color w:val="263238"/>
                <w:sz w:val="15"/>
              </w:rPr>
              <w:t>Do not claim as verified; see source discrepancy below</w:t>
            </w:r>
          </w:p>
        </w:tc>
      </w:tr>
      <w:tr>
        <w:tc>
          <w:tcPr>
            <w:tcW w:type="dxa" w:w="2114"/>
            <w:vAlign w:val="center"/>
            <w:tcMar>
              <w:top w:w="65" w:type="dxa"/>
              <w:start w:w="85" w:type="dxa"/>
              <w:bottom w:w="65" w:type="dxa"/>
              <w:end w:w="85" w:type="dxa"/>
            </w:tcMar>
          </w:tcPr>
          <w:p>
            <w:pPr>
              <w:spacing w:after="0" w:before="0"/>
            </w:pPr>
            <w:r/>
            <w:r>
              <w:rPr>
                <w:rFonts w:ascii="Calibri" w:hAnsi="Calibri"/>
                <w:b w:val="0"/>
                <w:color w:val="263238"/>
                <w:sz w:val="15"/>
              </w:rPr>
              <w:t>Marks and grade integrity</w:t>
            </w:r>
          </w:p>
        </w:tc>
        <w:tc>
          <w:tcPr>
            <w:tcW w:type="dxa" w:w="4311"/>
            <w:vAlign w:val="center"/>
            <w:tcMar>
              <w:top w:w="65" w:type="dxa"/>
              <w:start w:w="85" w:type="dxa"/>
              <w:bottom w:w="65" w:type="dxa"/>
              <w:end w:w="85" w:type="dxa"/>
            </w:tcMar>
          </w:tcPr>
          <w:p>
            <w:pPr>
              <w:spacing w:after="0" w:before="0"/>
            </w:pPr>
            <w:r/>
            <w:r>
              <w:rPr>
                <w:rFonts w:ascii="Calibri" w:hAnsi="Calibri"/>
                <w:b w:val="0"/>
                <w:color w:val="263238"/>
                <w:sz w:val="15"/>
              </w:rPr>
              <w:t>sp_enter_marks and trg_marks_bi/bu_derive; audit trigger</w:t>
            </w:r>
          </w:p>
        </w:tc>
        <w:tc>
          <w:tcPr>
            <w:tcW w:type="dxa" w:w="3338"/>
            <w:vAlign w:val="center"/>
            <w:tcMar>
              <w:top w:w="65" w:type="dxa"/>
              <w:start w:w="85" w:type="dxa"/>
              <w:bottom w:w="65" w:type="dxa"/>
              <w:end w:w="85" w:type="dxa"/>
            </w:tcMar>
          </w:tcPr>
          <w:p>
            <w:pPr>
              <w:spacing w:after="0" w:before="0"/>
            </w:pPr>
            <w:r/>
            <w:r>
              <w:rPr>
                <w:rFonts w:ascii="Calibri" w:hAnsi="Calibri"/>
                <w:b w:val="0"/>
                <w:color w:val="263238"/>
                <w:sz w:val="15"/>
              </w:rPr>
              <w:t>Out-of-range mark rejected; grade/points re-derived</w:t>
            </w:r>
          </w:p>
        </w:tc>
      </w:tr>
      <w:tr>
        <w:tc>
          <w:tcPr>
            <w:tcW w:type="dxa" w:w="2114"/>
            <w:vAlign w:val="center"/>
            <w:tcMar>
              <w:top w:w="65" w:type="dxa"/>
              <w:start w:w="85" w:type="dxa"/>
              <w:bottom w:w="65" w:type="dxa"/>
              <w:end w:w="85" w:type="dxa"/>
            </w:tcMar>
            <w:shd w:fill="F5F7FA"/>
          </w:tcPr>
          <w:p>
            <w:pPr>
              <w:spacing w:after="0" w:before="0"/>
            </w:pPr>
            <w:r/>
            <w:r>
              <w:rPr>
                <w:rFonts w:ascii="Calibri" w:hAnsi="Calibri"/>
                <w:b w:val="0"/>
                <w:color w:val="263238"/>
                <w:sz w:val="15"/>
              </w:rPr>
              <w:t>Payment and ledger</w:t>
            </w:r>
          </w:p>
        </w:tc>
        <w:tc>
          <w:tcPr>
            <w:tcW w:type="dxa" w:w="4311"/>
            <w:vAlign w:val="center"/>
            <w:tcMar>
              <w:top w:w="65" w:type="dxa"/>
              <w:start w:w="85" w:type="dxa"/>
              <w:bottom w:w="65" w:type="dxa"/>
              <w:end w:w="85" w:type="dxa"/>
            </w:tcMar>
            <w:shd w:fill="F5F7FA"/>
          </w:tcPr>
          <w:p>
            <w:pPr>
              <w:spacing w:after="0" w:before="0"/>
            </w:pPr>
            <w:r/>
            <w:r>
              <w:rPr>
                <w:rFonts w:ascii="Calibri" w:hAnsi="Calibri"/>
                <w:b w:val="0"/>
                <w:color w:val="263238"/>
                <w:sz w:val="15"/>
              </w:rPr>
              <w:t>sp_process_fee_payment + trg_payment_ai/au</w:t>
            </w:r>
          </w:p>
        </w:tc>
        <w:tc>
          <w:tcPr>
            <w:tcW w:type="dxa" w:w="3338"/>
            <w:vAlign w:val="center"/>
            <w:tcMar>
              <w:top w:w="65" w:type="dxa"/>
              <w:start w:w="85" w:type="dxa"/>
              <w:bottom w:w="65" w:type="dxa"/>
              <w:end w:w="85" w:type="dxa"/>
            </w:tcMar>
            <w:shd w:fill="F5F7FA"/>
          </w:tcPr>
          <w:p>
            <w:pPr>
              <w:spacing w:after="0" w:before="0"/>
            </w:pPr>
            <w:r/>
            <w:r>
              <w:rPr>
                <w:rFonts w:ascii="Calibri" w:hAnsi="Calibri"/>
                <w:b w:val="0"/>
                <w:color w:val="263238"/>
                <w:sz w:val="15"/>
              </w:rPr>
              <w:t>Receipt, paid/due balance, transaction ledger and audit</w:t>
            </w:r>
          </w:p>
        </w:tc>
      </w:tr>
      <w:tr>
        <w:tc>
          <w:tcPr>
            <w:tcW w:type="dxa" w:w="2114"/>
            <w:vAlign w:val="center"/>
            <w:tcMar>
              <w:top w:w="65" w:type="dxa"/>
              <w:start w:w="85" w:type="dxa"/>
              <w:bottom w:w="65" w:type="dxa"/>
              <w:end w:w="85" w:type="dxa"/>
            </w:tcMar>
          </w:tcPr>
          <w:p>
            <w:pPr>
              <w:spacing w:after="0" w:before="0"/>
            </w:pPr>
            <w:r/>
            <w:r>
              <w:rPr>
                <w:rFonts w:ascii="Calibri" w:hAnsi="Calibri"/>
                <w:b w:val="0"/>
                <w:color w:val="263238"/>
                <w:sz w:val="15"/>
              </w:rPr>
              <w:t>Hostel capacity</w:t>
            </w:r>
          </w:p>
        </w:tc>
        <w:tc>
          <w:tcPr>
            <w:tcW w:type="dxa" w:w="4311"/>
            <w:vAlign w:val="center"/>
            <w:tcMar>
              <w:top w:w="65" w:type="dxa"/>
              <w:start w:w="85" w:type="dxa"/>
              <w:bottom w:w="65" w:type="dxa"/>
              <w:end w:w="85" w:type="dxa"/>
            </w:tcMar>
          </w:tcPr>
          <w:p>
            <w:pPr>
              <w:spacing w:after="0" w:before="0"/>
            </w:pPr>
            <w:r/>
            <w:r>
              <w:rPr>
                <w:rFonts w:ascii="Calibri" w:hAnsi="Calibri"/>
                <w:b w:val="0"/>
                <w:color w:val="263238"/>
                <w:sz w:val="15"/>
              </w:rPr>
              <w:t>sp_allocate/vacate + allocation/bed/room triggers and active-bed guard</w:t>
            </w:r>
          </w:p>
        </w:tc>
        <w:tc>
          <w:tcPr>
            <w:tcW w:type="dxa" w:w="3338"/>
            <w:vAlign w:val="center"/>
            <w:tcMar>
              <w:top w:w="65" w:type="dxa"/>
              <w:start w:w="85" w:type="dxa"/>
              <w:bottom w:w="65" w:type="dxa"/>
              <w:end w:w="85" w:type="dxa"/>
            </w:tcMar>
          </w:tcPr>
          <w:p>
            <w:pPr>
              <w:spacing w:after="0" w:before="0"/>
            </w:pPr>
            <w:r/>
            <w:r>
              <w:rPr>
                <w:rFonts w:ascii="Calibri" w:hAnsi="Calibri"/>
                <w:b w:val="0"/>
                <w:color w:val="263238"/>
                <w:sz w:val="15"/>
              </w:rPr>
              <w:t>Bed state and occupancy counters change and return</w:t>
            </w:r>
          </w:p>
        </w:tc>
      </w:tr>
      <w:tr>
        <w:tc>
          <w:tcPr>
            <w:tcW w:type="dxa" w:w="2114"/>
            <w:vAlign w:val="center"/>
            <w:tcMar>
              <w:top w:w="65" w:type="dxa"/>
              <w:start w:w="85" w:type="dxa"/>
              <w:bottom w:w="65" w:type="dxa"/>
              <w:end w:w="85" w:type="dxa"/>
            </w:tcMar>
            <w:shd w:fill="F5F7FA"/>
          </w:tcPr>
          <w:p>
            <w:pPr>
              <w:spacing w:after="0" w:before="0"/>
            </w:pPr>
            <w:r/>
            <w:r>
              <w:rPr>
                <w:rFonts w:ascii="Calibri" w:hAnsi="Calibri"/>
                <w:b w:val="0"/>
                <w:color w:val="263238"/>
                <w:sz w:val="15"/>
              </w:rPr>
              <w:t>Leave and payslip state</w:t>
            </w:r>
          </w:p>
        </w:tc>
        <w:tc>
          <w:tcPr>
            <w:tcW w:type="dxa" w:w="4311"/>
            <w:vAlign w:val="center"/>
            <w:tcMar>
              <w:top w:w="65" w:type="dxa"/>
              <w:start w:w="85" w:type="dxa"/>
              <w:bottom w:w="65" w:type="dxa"/>
              <w:end w:w="85" w:type="dxa"/>
            </w:tcMar>
            <w:shd w:fill="F5F7FA"/>
          </w:tcPr>
          <w:p>
            <w:pPr>
              <w:spacing w:after="0" w:before="0"/>
            </w:pPr>
            <w:r/>
            <w:r>
              <w:rPr>
                <w:rFonts w:ascii="Calibri" w:hAnsi="Calibri"/>
                <w:b w:val="0"/>
                <w:color w:val="263238"/>
                <w:sz w:val="15"/>
              </w:rPr>
              <w:t>sp_approve_leave; leave guards; sp_generate_monthly_payroll; payroll status trigger</w:t>
            </w:r>
          </w:p>
        </w:tc>
        <w:tc>
          <w:tcPr>
            <w:tcW w:type="dxa" w:w="3338"/>
            <w:vAlign w:val="center"/>
            <w:tcMar>
              <w:top w:w="65" w:type="dxa"/>
              <w:start w:w="85" w:type="dxa"/>
              <w:bottom w:w="65" w:type="dxa"/>
              <w:end w:w="85" w:type="dxa"/>
            </w:tcMar>
            <w:shd w:fill="F5F7FA"/>
          </w:tcPr>
          <w:p>
            <w:pPr>
              <w:spacing w:after="0" w:before="0"/>
            </w:pPr>
            <w:r/>
            <w:r>
              <w:rPr>
                <w:rFonts w:ascii="Calibri" w:hAnsi="Calibri"/>
                <w:b w:val="0"/>
                <w:color w:val="263238"/>
                <w:sz w:val="15"/>
              </w:rPr>
              <w:t>Approved leave consumes balance; paid slip cannot be reopened silently</w:t>
            </w:r>
          </w:p>
        </w:tc>
      </w:tr>
    </w:tbl>
    <w:p>
      <w:pPr>
        <w:spacing w:after="0"/>
      </w:pPr>
    </w:p>
    <w:tbl>
      <w:tblPr>
        <w:tblW w:type="auto" w:w="0"/>
        <w:tblLayout w:type="autofit"/>
        <w:tblLook w:firstColumn="1" w:firstRow="1" w:lastColumn="0" w:lastRow="0" w:noHBand="0" w:noVBand="1" w:val="04A0"/>
      </w:tblPr>
      <w:tblGrid>
        <w:gridCol w:w="9835"/>
      </w:tblGrid>
      <w:tr>
        <w:tc>
          <w:tcPr>
            <w:tcW w:type="dxa" w:w="9835"/>
            <w:shd w:fill="FCE8E6"/>
            <w:tcMar>
              <w:top w:w="120" w:type="dxa"/>
              <w:start w:w="150" w:type="dxa"/>
              <w:bottom w:w="120" w:type="dxa"/>
              <w:end w:w="150" w:type="dxa"/>
            </w:tcMar>
          </w:tcPr>
          <w:p>
            <w:pPr>
              <w:spacing w:after="60"/>
            </w:pPr>
            <w:r/>
            <w:r>
              <w:rPr>
                <w:rFonts w:ascii="Calibri" w:hAnsi="Calibri"/>
                <w:b/>
                <w:color w:val="A61B1B"/>
                <w:sz w:val="20"/>
              </w:rPr>
              <w:t>Critical source discrepancy — exam dues</w:t>
            </w:r>
          </w:p>
          <w:p>
            <w:pPr>
              <w:spacing w:after="0"/>
            </w:pPr>
            <w:r>
              <w:rPr>
                <w:rFonts w:ascii="Calibri" w:hAnsi="Calibri"/>
                <w:color w:val="263238"/>
                <w:sz w:val="18"/>
              </w:rPr>
              <w:t>README.md and docs/MODULE_INTEGRATION.md say outstanding fees block exam registration. Current database/05_procedures.sql sets v_dues = fn_student_outstanding_dues(...), but no later condition reads v_dues; current trg_exam_reg_bi_eligibility checks enrollment and attendance, not fees. The inspected SQL tests validate the dues calculation but do not prove registration is blocked. State the intended rule as unverified until the SQL and a direct API/database test agree.</w:t>
            </w:r>
          </w:p>
        </w:tc>
      </w:tr>
    </w:tbl>
    <w:p>
      <w:pPr>
        <w:spacing w:after="0"/>
      </w:pPr>
    </w:p>
    <w:p>
      <w:pPr>
        <w:pStyle w:val="Heading1"/>
        <w:keepNext/>
        <w:spacing w:before="200" w:after="80"/>
      </w:pPr>
      <w:r>
        <w:t>7. Security, identity and data truth</w:t>
      </w:r>
    </w:p>
    <w:tbl>
      <w:tblPr>
        <w:tblStyle w:val="TableGrid"/>
        <w:tblW w:type="auto" w:w="0"/>
        <w:tblLayout w:type="fixed"/>
        <w:tblLook w:firstColumn="1" w:firstRow="1" w:lastColumn="0" w:lastRow="0" w:noHBand="0" w:noVBand="1" w:val="04A0"/>
      </w:tblPr>
      <w:tblGrid>
        <w:gridCol w:w="4917"/>
        <w:gridCol w:w="4917"/>
      </w:tblGrid>
      <w:tr>
        <w:trPr>
          <w:tblHeader w:val="true"/>
        </w:trPr>
        <w:tc>
          <w:tcPr>
            <w:tcW w:type="dxa" w:w="2162"/>
            <w:vAlign w:val="center"/>
            <w:tcMar>
              <w:top w:w="65" w:type="dxa"/>
              <w:start w:w="85" w:type="dxa"/>
              <w:bottom w:w="65" w:type="dxa"/>
              <w:end w:w="85" w:type="dxa"/>
            </w:tcMar>
            <w:shd w:fill="17365D"/>
          </w:tcPr>
          <w:p>
            <w:pPr>
              <w:spacing w:after="0" w:before="0"/>
            </w:pPr>
            <w:r/>
            <w:r>
              <w:rPr>
                <w:rFonts w:ascii="Calibri" w:hAnsi="Calibri"/>
                <w:b/>
                <w:color w:val="FFFFFF"/>
                <w:sz w:val="16"/>
              </w:rPr>
              <w:t>Role</w:t>
            </w:r>
          </w:p>
        </w:tc>
        <w:tc>
          <w:tcPr>
            <w:tcW w:type="dxa" w:w="7601"/>
            <w:vAlign w:val="center"/>
            <w:tcMar>
              <w:top w:w="65" w:type="dxa"/>
              <w:start w:w="85" w:type="dxa"/>
              <w:bottom w:w="65" w:type="dxa"/>
              <w:end w:w="85" w:type="dxa"/>
            </w:tcMar>
            <w:shd w:fill="17365D"/>
          </w:tcPr>
          <w:p>
            <w:pPr>
              <w:spacing w:after="0" w:before="0"/>
            </w:pPr>
            <w:r/>
            <w:r>
              <w:rPr>
                <w:rFonts w:ascii="Calibri" w:hAnsi="Calibri"/>
                <w:b/>
                <w:color w:val="FFFFFF"/>
                <w:sz w:val="16"/>
              </w:rPr>
              <w:t>Primary domain</w:t>
            </w:r>
          </w:p>
        </w:tc>
      </w:tr>
      <w:tr>
        <w:tc>
          <w:tcPr>
            <w:tcW w:type="dxa" w:w="2162"/>
            <w:vAlign w:val="center"/>
            <w:tcMar>
              <w:top w:w="65" w:type="dxa"/>
              <w:start w:w="85" w:type="dxa"/>
              <w:bottom w:w="65" w:type="dxa"/>
              <w:end w:w="85" w:type="dxa"/>
            </w:tcMar>
          </w:tcPr>
          <w:p>
            <w:pPr>
              <w:spacing w:after="0" w:before="0"/>
            </w:pPr>
            <w:r/>
            <w:r>
              <w:rPr>
                <w:rFonts w:ascii="Calibri" w:hAnsi="Calibri"/>
                <w:b w:val="0"/>
                <w:color w:val="263238"/>
                <w:sz w:val="16"/>
              </w:rPr>
              <w:t>ADMIN</w:t>
            </w:r>
          </w:p>
        </w:tc>
        <w:tc>
          <w:tcPr>
            <w:tcW w:type="dxa" w:w="7601"/>
            <w:vAlign w:val="center"/>
            <w:tcMar>
              <w:top w:w="65" w:type="dxa"/>
              <w:start w:w="85" w:type="dxa"/>
              <w:bottom w:w="65" w:type="dxa"/>
              <w:end w:w="85" w:type="dxa"/>
            </w:tcMar>
          </w:tcPr>
          <w:p>
            <w:pPr>
              <w:spacing w:after="0" w:before="0"/>
            </w:pPr>
            <w:r/>
            <w:r>
              <w:rPr>
                <w:rFonts w:ascii="Calibri" w:hAnsi="Calibri"/>
                <w:b w:val="0"/>
                <w:color w:val="263238"/>
                <w:sz w:val="16"/>
              </w:rPr>
              <w:t>Cross-module administration, settings, audit and announcements</w:t>
            </w:r>
          </w:p>
        </w:tc>
      </w:tr>
      <w:tr>
        <w:tc>
          <w:tcPr>
            <w:tcW w:type="dxa" w:w="2162"/>
            <w:vAlign w:val="center"/>
            <w:tcMar>
              <w:top w:w="65" w:type="dxa"/>
              <w:start w:w="85" w:type="dxa"/>
              <w:bottom w:w="65" w:type="dxa"/>
              <w:end w:w="85" w:type="dxa"/>
            </w:tcMar>
            <w:shd w:fill="F5F7FA"/>
          </w:tcPr>
          <w:p>
            <w:pPr>
              <w:spacing w:after="0" w:before="0"/>
            </w:pPr>
            <w:r/>
            <w:r>
              <w:rPr>
                <w:rFonts w:ascii="Calibri" w:hAnsi="Calibri"/>
                <w:b w:val="0"/>
                <w:color w:val="263238"/>
                <w:sz w:val="16"/>
              </w:rPr>
              <w:t>STUDENT</w:t>
            </w:r>
          </w:p>
        </w:tc>
        <w:tc>
          <w:tcPr>
            <w:tcW w:type="dxa" w:w="7601"/>
            <w:vAlign w:val="center"/>
            <w:tcMar>
              <w:top w:w="65" w:type="dxa"/>
              <w:start w:w="85" w:type="dxa"/>
              <w:bottom w:w="65" w:type="dxa"/>
              <w:end w:w="85" w:type="dxa"/>
            </w:tcMar>
            <w:shd w:fill="F5F7FA"/>
          </w:tcPr>
          <w:p>
            <w:pPr>
              <w:spacing w:after="0" w:before="0"/>
            </w:pPr>
            <w:r/>
            <w:r>
              <w:rPr>
                <w:rFonts w:ascii="Calibri" w:hAnsi="Calibri"/>
                <w:b w:val="0"/>
                <w:color w:val="263238"/>
                <w:sz w:val="16"/>
              </w:rPr>
              <w:t>Own profile, attendance, fees, results, hostel and student tools</w:t>
            </w:r>
          </w:p>
        </w:tc>
      </w:tr>
      <w:tr>
        <w:tc>
          <w:tcPr>
            <w:tcW w:type="dxa" w:w="2162"/>
            <w:vAlign w:val="center"/>
            <w:tcMar>
              <w:top w:w="65" w:type="dxa"/>
              <w:start w:w="85" w:type="dxa"/>
              <w:bottom w:w="65" w:type="dxa"/>
              <w:end w:w="85" w:type="dxa"/>
            </w:tcMar>
          </w:tcPr>
          <w:p>
            <w:pPr>
              <w:spacing w:after="0" w:before="0"/>
            </w:pPr>
            <w:r/>
            <w:r>
              <w:rPr>
                <w:rFonts w:ascii="Calibri" w:hAnsi="Calibri"/>
                <w:b w:val="0"/>
                <w:color w:val="263238"/>
                <w:sz w:val="16"/>
              </w:rPr>
              <w:t>FACULTY</w:t>
            </w:r>
          </w:p>
        </w:tc>
        <w:tc>
          <w:tcPr>
            <w:tcW w:type="dxa" w:w="7601"/>
            <w:vAlign w:val="center"/>
            <w:tcMar>
              <w:top w:w="65" w:type="dxa"/>
              <w:start w:w="85" w:type="dxa"/>
              <w:bottom w:w="65" w:type="dxa"/>
              <w:end w:w="85" w:type="dxa"/>
            </w:tcMar>
          </w:tcPr>
          <w:p>
            <w:pPr>
              <w:spacing w:after="0" w:before="0"/>
            </w:pPr>
            <w:r/>
            <w:r>
              <w:rPr>
                <w:rFonts w:ascii="Calibri" w:hAnsi="Calibri"/>
                <w:b w:val="0"/>
                <w:color w:val="263238"/>
                <w:sz w:val="16"/>
              </w:rPr>
              <w:t>Assigned workload, sessions/marks and own leave/profile</w:t>
            </w:r>
          </w:p>
        </w:tc>
      </w:tr>
      <w:tr>
        <w:tc>
          <w:tcPr>
            <w:tcW w:type="dxa" w:w="2162"/>
            <w:vAlign w:val="center"/>
            <w:tcMar>
              <w:top w:w="65" w:type="dxa"/>
              <w:start w:w="85" w:type="dxa"/>
              <w:bottom w:w="65" w:type="dxa"/>
              <w:end w:w="85" w:type="dxa"/>
            </w:tcMar>
            <w:shd w:fill="F5F7FA"/>
          </w:tcPr>
          <w:p>
            <w:pPr>
              <w:spacing w:after="0" w:before="0"/>
            </w:pPr>
            <w:r/>
            <w:r>
              <w:rPr>
                <w:rFonts w:ascii="Calibri" w:hAnsi="Calibri"/>
                <w:b w:val="0"/>
                <w:color w:val="263238"/>
                <w:sz w:val="16"/>
              </w:rPr>
              <w:t>ACCOUNTANT</w:t>
            </w:r>
          </w:p>
        </w:tc>
        <w:tc>
          <w:tcPr>
            <w:tcW w:type="dxa" w:w="7601"/>
            <w:vAlign w:val="center"/>
            <w:tcMar>
              <w:top w:w="65" w:type="dxa"/>
              <w:start w:w="85" w:type="dxa"/>
              <w:bottom w:w="65" w:type="dxa"/>
              <w:end w:w="85" w:type="dxa"/>
            </w:tcMar>
            <w:shd w:fill="F5F7FA"/>
          </w:tcPr>
          <w:p>
            <w:pPr>
              <w:spacing w:after="0" w:before="0"/>
            </w:pPr>
            <w:r/>
            <w:r>
              <w:rPr>
                <w:rFonts w:ascii="Calibri" w:hAnsi="Calibri"/>
                <w:b w:val="0"/>
                <w:color w:val="263238"/>
                <w:sz w:val="16"/>
              </w:rPr>
              <w:t>Fee structures, bills, payments, scholarships, fines, refunds and exports</w:t>
            </w:r>
          </w:p>
        </w:tc>
      </w:tr>
      <w:tr>
        <w:tc>
          <w:tcPr>
            <w:tcW w:type="dxa" w:w="2162"/>
            <w:vAlign w:val="center"/>
            <w:tcMar>
              <w:top w:w="65" w:type="dxa"/>
              <w:start w:w="85" w:type="dxa"/>
              <w:bottom w:w="65" w:type="dxa"/>
              <w:end w:w="85" w:type="dxa"/>
            </w:tcMar>
          </w:tcPr>
          <w:p>
            <w:pPr>
              <w:spacing w:after="0" w:before="0"/>
            </w:pPr>
            <w:r/>
            <w:r>
              <w:rPr>
                <w:rFonts w:ascii="Calibri" w:hAnsi="Calibri"/>
                <w:b w:val="0"/>
                <w:color w:val="263238"/>
                <w:sz w:val="16"/>
              </w:rPr>
              <w:t>HOSTEL_ADMIN</w:t>
            </w:r>
          </w:p>
        </w:tc>
        <w:tc>
          <w:tcPr>
            <w:tcW w:type="dxa" w:w="7601"/>
            <w:vAlign w:val="center"/>
            <w:tcMar>
              <w:top w:w="65" w:type="dxa"/>
              <w:start w:w="85" w:type="dxa"/>
              <w:bottom w:w="65" w:type="dxa"/>
              <w:end w:w="85" w:type="dxa"/>
            </w:tcMar>
          </w:tcPr>
          <w:p>
            <w:pPr>
              <w:spacing w:after="0" w:before="0"/>
            </w:pPr>
            <w:r/>
            <w:r>
              <w:rPr>
                <w:rFonts w:ascii="Calibri" w:hAnsi="Calibri"/>
                <w:b w:val="0"/>
                <w:color w:val="263238"/>
                <w:sz w:val="16"/>
              </w:rPr>
              <w:t>Hostel inventory, applications, allocation, transfer and occupancy</w:t>
            </w:r>
          </w:p>
        </w:tc>
      </w:tr>
      <w:tr>
        <w:tc>
          <w:tcPr>
            <w:tcW w:type="dxa" w:w="2162"/>
            <w:vAlign w:val="center"/>
            <w:tcMar>
              <w:top w:w="65" w:type="dxa"/>
              <w:start w:w="85" w:type="dxa"/>
              <w:bottom w:w="65" w:type="dxa"/>
              <w:end w:w="85" w:type="dxa"/>
            </w:tcMar>
            <w:shd w:fill="F5F7FA"/>
          </w:tcPr>
          <w:p>
            <w:pPr>
              <w:spacing w:after="0" w:before="0"/>
            </w:pPr>
            <w:r/>
            <w:r>
              <w:rPr>
                <w:rFonts w:ascii="Calibri" w:hAnsi="Calibri"/>
                <w:b w:val="0"/>
                <w:color w:val="263238"/>
                <w:sz w:val="16"/>
              </w:rPr>
              <w:t>EXAM_CELL</w:t>
            </w:r>
          </w:p>
        </w:tc>
        <w:tc>
          <w:tcPr>
            <w:tcW w:type="dxa" w:w="7601"/>
            <w:vAlign w:val="center"/>
            <w:tcMar>
              <w:top w:w="65" w:type="dxa"/>
              <w:start w:w="85" w:type="dxa"/>
              <w:bottom w:w="65" w:type="dxa"/>
              <w:end w:w="85" w:type="dxa"/>
            </w:tcMar>
            <w:shd w:fill="F5F7FA"/>
          </w:tcPr>
          <w:p>
            <w:pPr>
              <w:spacing w:after="0" w:before="0"/>
            </w:pPr>
            <w:r/>
            <w:r>
              <w:rPr>
                <w:rFonts w:ascii="Calibri" w:hAnsi="Calibri"/>
                <w:b w:val="0"/>
                <w:color w:val="263238"/>
                <w:sz w:val="16"/>
              </w:rPr>
              <w:t>Exams, registration, eligibility, marks and result publication</w:t>
            </w:r>
          </w:p>
        </w:tc>
      </w:tr>
      <w:tr>
        <w:tc>
          <w:tcPr>
            <w:tcW w:type="dxa" w:w="2162"/>
            <w:vAlign w:val="center"/>
            <w:tcMar>
              <w:top w:w="65" w:type="dxa"/>
              <w:start w:w="85" w:type="dxa"/>
              <w:bottom w:w="65" w:type="dxa"/>
              <w:end w:w="85" w:type="dxa"/>
            </w:tcMar>
          </w:tcPr>
          <w:p>
            <w:pPr>
              <w:spacing w:after="0" w:before="0"/>
            </w:pPr>
            <w:r/>
            <w:r>
              <w:rPr>
                <w:rFonts w:ascii="Calibri" w:hAnsi="Calibri"/>
                <w:b w:val="0"/>
                <w:color w:val="263238"/>
                <w:sz w:val="16"/>
              </w:rPr>
              <w:t>HR</w:t>
            </w:r>
          </w:p>
        </w:tc>
        <w:tc>
          <w:tcPr>
            <w:tcW w:type="dxa" w:w="7601"/>
            <w:vAlign w:val="center"/>
            <w:tcMar>
              <w:top w:w="65" w:type="dxa"/>
              <w:start w:w="85" w:type="dxa"/>
              <w:bottom w:w="65" w:type="dxa"/>
              <w:end w:w="85" w:type="dxa"/>
            </w:tcMar>
          </w:tcPr>
          <w:p>
            <w:pPr>
              <w:spacing w:after="0" w:before="0"/>
            </w:pPr>
            <w:r/>
            <w:r>
              <w:rPr>
                <w:rFonts w:ascii="Calibri" w:hAnsi="Calibri"/>
                <w:b w:val="0"/>
                <w:color w:val="263238"/>
                <w:sz w:val="16"/>
              </w:rPr>
              <w:t>Faculty, leave, balances and payroll</w:t>
            </w:r>
          </w:p>
        </w:tc>
      </w:tr>
    </w:tbl>
    <w:p>
      <w:pPr>
        <w:spacing w:after="0"/>
      </w:pPr>
    </w:p>
    <w:p>
      <w:pPr>
        <w:pStyle w:val="ListBullet"/>
        <w:spacing w:after="60"/>
        <w:ind w:left="403" w:hanging="230"/>
      </w:pPr>
      <w:r>
        <w:t>Route middleware authenticates JWT and checks requireRole; services additionally force row-level scope for student/faculty data.</w:t>
      </w:r>
    </w:p>
    <w:p>
      <w:pPr>
        <w:pStyle w:val="ListBullet"/>
        <w:spacing w:after="60"/>
        <w:ind w:left="403" w:hanging="230"/>
      </w:pPr>
      <w:r>
        <w:t>bcrypt stores password hashes only; demo credentials are for local viva only and must be rotated/disabled for production.</w:t>
      </w:r>
    </w:p>
    <w:p>
      <w:pPr>
        <w:pStyle w:val="ListBullet"/>
        <w:spacing w:after="60"/>
        <w:ind w:left="403" w:hanging="230"/>
      </w:pPr>
      <w:r>
        <w:t>Parameterized ? SQL values, Zod input validation, Helmet/CORS/rate limits, error handling and audit logging are part of the backend security story.</w:t>
      </w:r>
    </w:p>
    <w:p>
      <w:pPr>
        <w:pStyle w:val="ListBullet"/>
        <w:spacing w:after="60"/>
        <w:ind w:left="403" w:hanging="230"/>
      </w:pPr>
      <w:r>
        <w:t>Official institution identity/logo and seed entities must be kept distinct. README explicitly labels students, faculty and operational records as generated demo data; never introduce them as genuine records.</w:t>
      </w:r>
    </w:p>
    <w:p>
      <w:pPr>
        <w:pStyle w:val="ListBullet"/>
        <w:spacing w:after="60"/>
        <w:ind w:left="403" w:hanging="230"/>
      </w:pPr>
      <w:r>
        <w:t>MongoDB is an optional event/telemetry connection, not the source of truth for payments, marks, identity or other relational transactions. AI defaults to a local labelled engine unless configured otherwise.</w:t>
      </w:r>
    </w:p>
    <w:p>
      <w:pPr>
        <w:pStyle w:val="Heading1"/>
        <w:keepNext/>
        <w:spacing w:before="200" w:after="80"/>
      </w:pPr>
      <w:r>
        <w:t>8. Suggested end-to-end viva demo</w:t>
      </w:r>
    </w:p>
    <w:p>
      <w:pPr>
        <w:pStyle w:val="ListNumber"/>
        <w:spacing w:after="60"/>
        <w:ind w:left="461" w:hanging="230"/>
      </w:pPr>
      <w:r>
        <w:t>Landing → login: point out public apply, the demo-account panel and the same shared dashboard shell after authentication.</w:t>
      </w:r>
    </w:p>
    <w:p>
      <w:pPr>
        <w:pStyle w:val="ListNumber"/>
        <w:spacing w:after="60"/>
        <w:ind w:left="461" w:hanging="230"/>
      </w:pPr>
      <w:r>
        <w:t>Student/admission: submit a unique synthetic application, review/approve as Admin, inspect the linked student/user and audit event.</w:t>
      </w:r>
    </w:p>
    <w:p>
      <w:pPr>
        <w:pStyle w:val="ListNumber"/>
        <w:spacing w:after="60"/>
        <w:ind w:left="461" w:hanging="230"/>
      </w:pPr>
      <w:r>
        <w:t>Academics: select an existing offering, show its enrollment list and timetable; rerun bulk enrollment only on disposable data.</w:t>
      </w:r>
    </w:p>
    <w:p>
      <w:pPr>
        <w:pStyle w:val="ListNumber"/>
        <w:spacing w:after="60"/>
        <w:ind w:left="461" w:hanging="230"/>
      </w:pPr>
      <w:r>
        <w:t>Attendance: as faculty create a session and mark the roster; show percentage and a configured low-attendance warning.</w:t>
      </w:r>
    </w:p>
    <w:p>
      <w:pPr>
        <w:pStyle w:val="ListNumber"/>
        <w:spacing w:after="60"/>
        <w:ind w:left="461" w:hanging="230"/>
      </w:pPr>
      <w:r>
        <w:t>Examination: as Exam Cell show eligibility and the database’s attendance refusal; state the dues-gate discrepancy accurately.</w:t>
      </w:r>
    </w:p>
    <w:p>
      <w:pPr>
        <w:pStyle w:val="ListNumber"/>
        <w:spacing w:after="60"/>
        <w:ind w:left="461" w:hanging="230"/>
      </w:pPr>
      <w:r>
        <w:t>Marks/results: enter a valid test mark, process and publish a result; show a student-facing view only if the test data are prepared.</w:t>
      </w:r>
    </w:p>
    <w:p>
      <w:pPr>
        <w:pStyle w:val="ListNumber"/>
        <w:spacing w:after="60"/>
        <w:ind w:left="461" w:hanging="230"/>
      </w:pPr>
      <w:r>
        <w:t>Fees: as accountant record a small synthetic payment; show receipt, paid/due change, ledger and audit. No real gateway credentials.</w:t>
      </w:r>
    </w:p>
    <w:p>
      <w:pPr>
        <w:pStyle w:val="ListNumber"/>
        <w:spacing w:after="60"/>
        <w:ind w:left="461" w:hanging="230"/>
      </w:pPr>
      <w:r>
        <w:t>Hostel: allocate then vacate a demo bed; show occupancy and the associated hostel-fee row.</w:t>
      </w:r>
    </w:p>
    <w:p>
      <w:pPr>
        <w:pStyle w:val="ListNumber"/>
        <w:spacing w:after="60"/>
        <w:ind w:left="461" w:hanging="230"/>
      </w:pPr>
      <w:r>
        <w:t>Faculty: apply/approve demo leave; generate a free payroll period and explain the demo formula limitations.</w:t>
      </w:r>
    </w:p>
    <w:p>
      <w:pPr>
        <w:pStyle w:val="ListNumber"/>
        <w:spacing w:after="60"/>
        <w:ind w:left="461" w:hanging="230"/>
      </w:pPr>
      <w:r>
        <w:t>Close with reports/CSV and audit log; identify generated rows and point to SQL/ERD/test sources.</w:t>
      </w:r>
    </w:p>
    <w:tbl>
      <w:tblPr>
        <w:tblW w:type="auto" w:w="0"/>
        <w:tblLayout w:type="autofit"/>
        <w:tblLook w:firstColumn="1" w:firstRow="1" w:lastColumn="0" w:lastRow="0" w:noHBand="0" w:noVBand="1" w:val="04A0"/>
      </w:tblPr>
      <w:tblGrid>
        <w:gridCol w:w="9835"/>
      </w:tblGrid>
      <w:tr>
        <w:tc>
          <w:tcPr>
            <w:tcW w:type="dxa" w:w="9835"/>
            <w:shd w:fill="FFF4D6"/>
            <w:tcMar>
              <w:top w:w="120" w:type="dxa"/>
              <w:start w:w="150" w:type="dxa"/>
              <w:bottom w:w="120" w:type="dxa"/>
              <w:end w:w="150" w:type="dxa"/>
            </w:tcMar>
          </w:tcPr>
          <w:p>
            <w:pPr>
              <w:spacing w:after="60"/>
            </w:pPr>
            <w:r/>
            <w:r>
              <w:rPr>
                <w:rFonts w:ascii="Calibri" w:hAnsi="Calibri"/>
                <w:b/>
                <w:color w:val="17365D"/>
                <w:sz w:val="20"/>
              </w:rPr>
              <w:t>Demo safety</w:t>
            </w:r>
          </w:p>
          <w:p>
            <w:pPr>
              <w:spacing w:after="0"/>
            </w:pPr>
            <w:r>
              <w:rPr>
                <w:rFonts w:ascii="Calibri" w:hAnsi="Calibri"/>
                <w:color w:val="263238"/>
                <w:sz w:val="18"/>
              </w:rPr>
              <w:t>Use a cloned/disposable seeded database. The API workflow test mutates rows; payments, admissions, hostel allocation and payroll are not read-only. Avoid personal records, irreversible changes and fake success claims.</w:t>
            </w:r>
          </w:p>
        </w:tc>
      </w:tr>
    </w:tbl>
    <w:p>
      <w:pPr>
        <w:spacing w:after="0"/>
      </w:pPr>
    </w:p>
    <w:p>
      <w:pPr>
        <w:pStyle w:val="Heading1"/>
        <w:keepNext/>
        <w:spacing w:before="200" w:after="80"/>
      </w:pPr>
      <w:r>
        <w:t>9. Testing: what is present and what is verified</w:t>
      </w:r>
    </w:p>
    <w:tbl>
      <w:tblPr>
        <w:tblStyle w:val="TableGrid"/>
        <w:tblW w:type="auto" w:w="0"/>
        <w:tblLayout w:type="fixed"/>
        <w:tblLook w:firstColumn="1" w:firstRow="1" w:lastColumn="0" w:lastRow="0" w:noHBand="0" w:noVBand="1" w:val="04A0"/>
      </w:tblPr>
      <w:tblGrid>
        <w:gridCol w:w="3278"/>
        <w:gridCol w:w="3278"/>
        <w:gridCol w:w="3278"/>
      </w:tblGrid>
      <w:tr>
        <w:trPr>
          <w:tblHeader w:val="true"/>
        </w:trPr>
        <w:tc>
          <w:tcPr>
            <w:tcW w:type="dxa" w:w="1883"/>
            <w:vAlign w:val="center"/>
            <w:tcMar>
              <w:top w:w="65" w:type="dxa"/>
              <w:start w:w="85" w:type="dxa"/>
              <w:bottom w:w="65" w:type="dxa"/>
              <w:end w:w="85" w:type="dxa"/>
            </w:tcMar>
            <w:shd w:fill="17365D"/>
          </w:tcPr>
          <w:p>
            <w:pPr>
              <w:spacing w:after="0" w:before="0"/>
            </w:pPr>
            <w:r/>
            <w:r>
              <w:rPr>
                <w:rFonts w:ascii="Calibri" w:hAnsi="Calibri"/>
                <w:b/>
                <w:color w:val="FFFFFF"/>
                <w:sz w:val="16"/>
              </w:rPr>
              <w:t>Suite/build</w:t>
            </w:r>
          </w:p>
        </w:tc>
        <w:tc>
          <w:tcPr>
            <w:tcW w:type="dxa" w:w="3208"/>
            <w:vAlign w:val="center"/>
            <w:tcMar>
              <w:top w:w="65" w:type="dxa"/>
              <w:start w:w="85" w:type="dxa"/>
              <w:bottom w:w="65" w:type="dxa"/>
              <w:end w:w="85" w:type="dxa"/>
            </w:tcMar>
            <w:shd w:fill="17365D"/>
          </w:tcPr>
          <w:p>
            <w:pPr>
              <w:spacing w:after="0" w:before="0"/>
            </w:pPr>
            <w:r/>
            <w:r>
              <w:rPr>
                <w:rFonts w:ascii="Calibri" w:hAnsi="Calibri"/>
                <w:b/>
                <w:color w:val="FFFFFF"/>
                <w:sz w:val="16"/>
              </w:rPr>
              <w:t>Command</w:t>
            </w:r>
          </w:p>
        </w:tc>
        <w:tc>
          <w:tcPr>
            <w:tcW w:type="dxa" w:w="4672"/>
            <w:vAlign w:val="center"/>
            <w:tcMar>
              <w:top w:w="65" w:type="dxa"/>
              <w:start w:w="85" w:type="dxa"/>
              <w:bottom w:w="65" w:type="dxa"/>
              <w:end w:w="85" w:type="dxa"/>
            </w:tcMar>
            <w:shd w:fill="17365D"/>
          </w:tcPr>
          <w:p>
            <w:pPr>
              <w:spacing w:after="0" w:before="0"/>
            </w:pPr>
            <w:r/>
            <w:r>
              <w:rPr>
                <w:rFonts w:ascii="Calibri" w:hAnsi="Calibri"/>
                <w:b/>
                <w:color w:val="FFFFFF"/>
                <w:sz w:val="16"/>
              </w:rPr>
              <w:t>What it is for</w:t>
            </w:r>
          </w:p>
        </w:tc>
      </w:tr>
      <w:tr>
        <w:tc>
          <w:tcPr>
            <w:tcW w:type="dxa" w:w="1883"/>
            <w:vAlign w:val="center"/>
            <w:tcMar>
              <w:top w:w="65" w:type="dxa"/>
              <w:start w:w="85" w:type="dxa"/>
              <w:bottom w:w="65" w:type="dxa"/>
              <w:end w:w="85" w:type="dxa"/>
            </w:tcMar>
          </w:tcPr>
          <w:p>
            <w:pPr>
              <w:spacing w:after="0" w:before="0"/>
            </w:pPr>
            <w:r/>
            <w:r>
              <w:rPr>
                <w:rFonts w:ascii="Calibri" w:hAnsi="Calibri"/>
                <w:b w:val="0"/>
                <w:color w:val="263238"/>
                <w:sz w:val="15"/>
              </w:rPr>
              <w:t>Frontend build</w:t>
            </w:r>
          </w:p>
        </w:tc>
        <w:tc>
          <w:tcPr>
            <w:tcW w:type="dxa" w:w="3208"/>
            <w:vAlign w:val="center"/>
            <w:tcMar>
              <w:top w:w="65" w:type="dxa"/>
              <w:start w:w="85" w:type="dxa"/>
              <w:bottom w:w="65" w:type="dxa"/>
              <w:end w:w="85" w:type="dxa"/>
            </w:tcMar>
          </w:tcPr>
          <w:p>
            <w:pPr>
              <w:spacing w:after="0" w:before="0"/>
            </w:pPr>
            <w:r/>
            <w:r>
              <w:rPr>
                <w:rFonts w:ascii="Calibri" w:hAnsi="Calibri"/>
                <w:b w:val="0"/>
                <w:color w:val="263238"/>
                <w:sz w:val="15"/>
              </w:rPr>
              <w:t>cd frontend &amp;&amp; npm run build</w:t>
            </w:r>
          </w:p>
        </w:tc>
        <w:tc>
          <w:tcPr>
            <w:tcW w:type="dxa" w:w="4672"/>
            <w:vAlign w:val="center"/>
            <w:tcMar>
              <w:top w:w="65" w:type="dxa"/>
              <w:start w:w="85" w:type="dxa"/>
              <w:bottom w:w="65" w:type="dxa"/>
              <w:end w:w="85" w:type="dxa"/>
            </w:tcMar>
          </w:tcPr>
          <w:p>
            <w:pPr>
              <w:spacing w:after="0" w:before="0"/>
            </w:pPr>
            <w:r/>
            <w:r>
              <w:rPr>
                <w:rFonts w:ascii="Calibri" w:hAnsi="Calibri"/>
                <w:b w:val="0"/>
                <w:color w:val="263238"/>
                <w:sz w:val="15"/>
              </w:rPr>
              <w:t>TypeScript and Vite production bundle.</w:t>
            </w:r>
          </w:p>
        </w:tc>
      </w:tr>
      <w:tr>
        <w:tc>
          <w:tcPr>
            <w:tcW w:type="dxa" w:w="1883"/>
            <w:vAlign w:val="center"/>
            <w:tcMar>
              <w:top w:w="65" w:type="dxa"/>
              <w:start w:w="85" w:type="dxa"/>
              <w:bottom w:w="65" w:type="dxa"/>
              <w:end w:w="85" w:type="dxa"/>
            </w:tcMar>
            <w:shd w:fill="F5F7FA"/>
          </w:tcPr>
          <w:p>
            <w:pPr>
              <w:spacing w:after="0" w:before="0"/>
            </w:pPr>
            <w:r/>
            <w:r>
              <w:rPr>
                <w:rFonts w:ascii="Calibri" w:hAnsi="Calibri"/>
                <w:b w:val="0"/>
                <w:color w:val="263238"/>
                <w:sz w:val="15"/>
              </w:rPr>
              <w:t>Backend build</w:t>
            </w:r>
          </w:p>
        </w:tc>
        <w:tc>
          <w:tcPr>
            <w:tcW w:type="dxa" w:w="3208"/>
            <w:vAlign w:val="center"/>
            <w:tcMar>
              <w:top w:w="65" w:type="dxa"/>
              <w:start w:w="85" w:type="dxa"/>
              <w:bottom w:w="65" w:type="dxa"/>
              <w:end w:w="85" w:type="dxa"/>
            </w:tcMar>
            <w:shd w:fill="F5F7FA"/>
          </w:tcPr>
          <w:p>
            <w:pPr>
              <w:spacing w:after="0" w:before="0"/>
            </w:pPr>
            <w:r/>
            <w:r>
              <w:rPr>
                <w:rFonts w:ascii="Calibri" w:hAnsi="Calibri"/>
                <w:b w:val="0"/>
                <w:color w:val="263238"/>
                <w:sz w:val="15"/>
              </w:rPr>
              <w:t>cd backend &amp;&amp; npm run build</w:t>
            </w:r>
          </w:p>
        </w:tc>
        <w:tc>
          <w:tcPr>
            <w:tcW w:type="dxa" w:w="4672"/>
            <w:vAlign w:val="center"/>
            <w:tcMar>
              <w:top w:w="65" w:type="dxa"/>
              <w:start w:w="85" w:type="dxa"/>
              <w:bottom w:w="65" w:type="dxa"/>
              <w:end w:w="85" w:type="dxa"/>
            </w:tcMar>
            <w:shd w:fill="F5F7FA"/>
          </w:tcPr>
          <w:p>
            <w:pPr>
              <w:spacing w:after="0" w:before="0"/>
            </w:pPr>
            <w:r/>
            <w:r>
              <w:rPr>
                <w:rFonts w:ascii="Calibri" w:hAnsi="Calibri"/>
                <w:b w:val="0"/>
                <w:color w:val="263238"/>
                <w:sz w:val="15"/>
              </w:rPr>
              <w:t>TypeScript compile.</w:t>
            </w:r>
          </w:p>
        </w:tc>
      </w:tr>
      <w:tr>
        <w:tc>
          <w:tcPr>
            <w:tcW w:type="dxa" w:w="1883"/>
            <w:vAlign w:val="center"/>
            <w:tcMar>
              <w:top w:w="65" w:type="dxa"/>
              <w:start w:w="85" w:type="dxa"/>
              <w:bottom w:w="65" w:type="dxa"/>
              <w:end w:w="85" w:type="dxa"/>
            </w:tcMar>
          </w:tcPr>
          <w:p>
            <w:pPr>
              <w:spacing w:after="0" w:before="0"/>
            </w:pPr>
            <w:r/>
            <w:r>
              <w:rPr>
                <w:rFonts w:ascii="Calibri" w:hAnsi="Calibri"/>
                <w:b w:val="0"/>
                <w:color w:val="263238"/>
                <w:sz w:val="15"/>
              </w:rPr>
              <w:t>API smoke</w:t>
            </w:r>
          </w:p>
        </w:tc>
        <w:tc>
          <w:tcPr>
            <w:tcW w:type="dxa" w:w="3208"/>
            <w:vAlign w:val="center"/>
            <w:tcMar>
              <w:top w:w="65" w:type="dxa"/>
              <w:start w:w="85" w:type="dxa"/>
              <w:bottom w:w="65" w:type="dxa"/>
              <w:end w:w="85" w:type="dxa"/>
            </w:tcMar>
          </w:tcPr>
          <w:p>
            <w:pPr>
              <w:spacing w:after="0" w:before="0"/>
            </w:pPr>
            <w:r/>
            <w:r>
              <w:rPr>
                <w:rFonts w:ascii="Calibri" w:hAnsi="Calibri"/>
                <w:b w:val="0"/>
                <w:color w:val="263238"/>
                <w:sz w:val="15"/>
              </w:rPr>
              <w:t>bash tests/api/smoke.sh</w:t>
            </w:r>
          </w:p>
        </w:tc>
        <w:tc>
          <w:tcPr>
            <w:tcW w:type="dxa" w:w="4672"/>
            <w:vAlign w:val="center"/>
            <w:tcMar>
              <w:top w:w="65" w:type="dxa"/>
              <w:start w:w="85" w:type="dxa"/>
              <w:bottom w:w="65" w:type="dxa"/>
              <w:end w:w="85" w:type="dxa"/>
            </w:tcMar>
          </w:tcPr>
          <w:p>
            <w:pPr>
              <w:spacing w:after="0" w:before="0"/>
            </w:pPr>
            <w:r/>
            <w:r>
              <w:rPr>
                <w:rFonts w:ascii="Calibri" w:hAnsi="Calibri"/>
                <w:b w:val="0"/>
                <w:color w:val="263238"/>
                <w:sz w:val="15"/>
              </w:rPr>
              <w:t>Documented endpoint/role status and authorization checks.</w:t>
            </w:r>
          </w:p>
        </w:tc>
      </w:tr>
      <w:tr>
        <w:tc>
          <w:tcPr>
            <w:tcW w:type="dxa" w:w="1883"/>
            <w:vAlign w:val="center"/>
            <w:tcMar>
              <w:top w:w="65" w:type="dxa"/>
              <w:start w:w="85" w:type="dxa"/>
              <w:bottom w:w="65" w:type="dxa"/>
              <w:end w:w="85" w:type="dxa"/>
            </w:tcMar>
            <w:shd w:fill="F5F7FA"/>
          </w:tcPr>
          <w:p>
            <w:pPr>
              <w:spacing w:after="0" w:before="0"/>
            </w:pPr>
            <w:r/>
            <w:r>
              <w:rPr>
                <w:rFonts w:ascii="Calibri" w:hAnsi="Calibri"/>
                <w:b w:val="0"/>
                <w:color w:val="263238"/>
                <w:sz w:val="15"/>
              </w:rPr>
              <w:t>End-to-end workflow</w:t>
            </w:r>
          </w:p>
        </w:tc>
        <w:tc>
          <w:tcPr>
            <w:tcW w:type="dxa" w:w="3208"/>
            <w:vAlign w:val="center"/>
            <w:tcMar>
              <w:top w:w="65" w:type="dxa"/>
              <w:start w:w="85" w:type="dxa"/>
              <w:bottom w:w="65" w:type="dxa"/>
              <w:end w:w="85" w:type="dxa"/>
            </w:tcMar>
            <w:shd w:fill="F5F7FA"/>
          </w:tcPr>
          <w:p>
            <w:pPr>
              <w:spacing w:after="0" w:before="0"/>
            </w:pPr>
            <w:r/>
            <w:r>
              <w:rPr>
                <w:rFonts w:ascii="Calibri" w:hAnsi="Calibri"/>
                <w:b w:val="0"/>
                <w:color w:val="263238"/>
                <w:sz w:val="15"/>
              </w:rPr>
              <w:t>python3 tests/api/workflow.py</w:t>
            </w:r>
          </w:p>
        </w:tc>
        <w:tc>
          <w:tcPr>
            <w:tcW w:type="dxa" w:w="4672"/>
            <w:vAlign w:val="center"/>
            <w:tcMar>
              <w:top w:w="65" w:type="dxa"/>
              <w:start w:w="85" w:type="dxa"/>
              <w:bottom w:w="65" w:type="dxa"/>
              <w:end w:w="85" w:type="dxa"/>
            </w:tcMar>
            <w:shd w:fill="F5F7FA"/>
          </w:tcPr>
          <w:p>
            <w:pPr>
              <w:spacing w:after="0" w:before="0"/>
            </w:pPr>
            <w:r/>
            <w:r>
              <w:rPr>
                <w:rFonts w:ascii="Calibri" w:hAnsi="Calibri"/>
                <w:b w:val="0"/>
                <w:color w:val="263238"/>
                <w:sz w:val="15"/>
              </w:rPr>
              <w:t>Stateful multi-module writes and business-flow assertions.</w:t>
            </w:r>
          </w:p>
        </w:tc>
      </w:tr>
      <w:tr>
        <w:tc>
          <w:tcPr>
            <w:tcW w:type="dxa" w:w="1883"/>
            <w:vAlign w:val="center"/>
            <w:tcMar>
              <w:top w:w="65" w:type="dxa"/>
              <w:start w:w="85" w:type="dxa"/>
              <w:bottom w:w="65" w:type="dxa"/>
              <w:end w:w="85" w:type="dxa"/>
            </w:tcMar>
          </w:tcPr>
          <w:p>
            <w:pPr>
              <w:spacing w:after="0" w:before="0"/>
            </w:pPr>
            <w:r/>
            <w:r>
              <w:rPr>
                <w:rFonts w:ascii="Calibri" w:hAnsi="Calibri"/>
                <w:b w:val="0"/>
                <w:color w:val="263238"/>
                <w:sz w:val="15"/>
              </w:rPr>
              <w:t>DB rules</w:t>
            </w:r>
          </w:p>
        </w:tc>
        <w:tc>
          <w:tcPr>
            <w:tcW w:type="dxa" w:w="3208"/>
            <w:vAlign w:val="center"/>
            <w:tcMar>
              <w:top w:w="65" w:type="dxa"/>
              <w:start w:w="85" w:type="dxa"/>
              <w:bottom w:w="65" w:type="dxa"/>
              <w:end w:w="85" w:type="dxa"/>
            </w:tcMar>
          </w:tcPr>
          <w:p>
            <w:pPr>
              <w:spacing w:after="0" w:before="0"/>
            </w:pPr>
            <w:r/>
            <w:r>
              <w:rPr>
                <w:rFonts w:ascii="Calibri" w:hAnsi="Calibri"/>
                <w:b w:val="0"/>
                <w:color w:val="263238"/>
                <w:sz w:val="15"/>
              </w:rPr>
              <w:t>cd backend &amp;&amp; npm run test:db</w:t>
            </w:r>
          </w:p>
        </w:tc>
        <w:tc>
          <w:tcPr>
            <w:tcW w:type="dxa" w:w="4672"/>
            <w:vAlign w:val="center"/>
            <w:tcMar>
              <w:top w:w="65" w:type="dxa"/>
              <w:start w:w="85" w:type="dxa"/>
              <w:bottom w:w="65" w:type="dxa"/>
              <w:end w:w="85" w:type="dxa"/>
            </w:tcMar>
          </w:tcPr>
          <w:p>
            <w:pPr>
              <w:spacing w:after="0" w:before="0"/>
            </w:pPr>
            <w:r/>
            <w:r>
              <w:rPr>
                <w:rFonts w:ascii="Calibri" w:hAnsi="Calibri"/>
                <w:b w:val="0"/>
                <w:color w:val="263238"/>
                <w:sz w:val="15"/>
              </w:rPr>
              <w:t>Executes tests/db/test_rules.sql and prints pass/fail rule output.</w:t>
            </w:r>
          </w:p>
        </w:tc>
      </w:tr>
    </w:tbl>
    <w:p>
      <w:pPr>
        <w:spacing w:after="0"/>
      </w:pPr>
    </w:p>
    <w:tbl>
      <w:tblPr>
        <w:tblW w:type="auto" w:w="0"/>
        <w:tblLayout w:type="autofit"/>
        <w:tblLook w:firstColumn="1" w:firstRow="1" w:lastColumn="0" w:lastRow="0" w:noHBand="0" w:noVBand="1" w:val="04A0"/>
      </w:tblPr>
      <w:tblGrid>
        <w:gridCol w:w="9835"/>
      </w:tblGrid>
      <w:tr>
        <w:tc>
          <w:tcPr>
            <w:tcW w:type="dxa" w:w="9835"/>
            <w:shd w:fill="FFF4D6"/>
            <w:tcMar>
              <w:top w:w="120" w:type="dxa"/>
              <w:start w:w="150" w:type="dxa"/>
              <w:bottom w:w="120" w:type="dxa"/>
              <w:end w:w="150" w:type="dxa"/>
            </w:tcMar>
          </w:tcPr>
          <w:p>
            <w:pPr>
              <w:spacing w:after="60"/>
            </w:pPr>
            <w:r/>
            <w:r>
              <w:rPr>
                <w:rFonts w:ascii="Calibri" w:hAnsi="Calibri"/>
                <w:b/>
                <w:color w:val="17365D"/>
                <w:sz w:val="20"/>
              </w:rPr>
              <w:t>Test-count discrepancy to resolve</w:t>
            </w:r>
          </w:p>
          <w:p>
            <w:pPr>
              <w:spacing w:after="0"/>
            </w:pPr>
            <w:r>
              <w:rPr>
                <w:rFonts w:ascii="Calibri" w:hAnsi="Calibri"/>
                <w:color w:val="263238"/>
                <w:sz w:val="18"/>
              </w:rPr>
              <w:t>Repository files disagree: README’s current summary says 10/10 database consistency checks and 158 API smoke checks, with three SQL-runner statements under investigation; README’s detailed Testing section and PROJECT_REPORT.md also retain an older 68 DB / 158 API / 40 workflow pass claim. The current sandbox had no MariaDB/MySQL on port 3306 and no API service, so those database/API suites were not freshly rerun here. Before the viva, run the commands on the exact branch/database you will present and quote only that output.</w:t>
            </w:r>
          </w:p>
        </w:tc>
      </w:tr>
    </w:tbl>
    <w:p>
      <w:pPr>
        <w:spacing w:after="0"/>
      </w:pPr>
    </w:p>
    <w:p>
      <w:pPr>
        <w:pStyle w:val="Heading1"/>
        <w:keepNext/>
        <w:spacing w:before="200" w:after="80"/>
      </w:pPr>
      <w:r>
        <w:t>10. Known limitations and source accuracy notes</w:t>
      </w:r>
    </w:p>
    <w:p>
      <w:pPr>
        <w:pStyle w:val="ListBullet"/>
        <w:spacing w:after="60"/>
        <w:ind w:left="403" w:hanging="230"/>
      </w:pPr>
      <w:r>
        <w:t>Exam dues gate: documentation claims it, but the inspected routine calculates v_dues without a branch; current trigger checks enrollment and attendance only. This requires implementation + direct test before claiming it works.</w:t>
      </w:r>
    </w:p>
    <w:p>
      <w:pPr>
        <w:pStyle w:val="ListBullet"/>
        <w:spacing w:after="60"/>
        <w:ind w:left="403" w:hanging="230"/>
      </w:pPr>
      <w:r>
        <w:t>Exam attendance threshold is read from exam.min_attendance_required in the procedure and from system_settings.MIN_ATTENDANCE_PERCENTAGE in the insert trigger; keep settings aligned and test the boundary.</w:t>
      </w:r>
    </w:p>
    <w:p>
      <w:pPr>
        <w:pStyle w:val="ListBullet"/>
        <w:spacing w:after="60"/>
        <w:ind w:left="403" w:hanging="230"/>
      </w:pPr>
      <w:r>
        <w:t>Payroll procedure computes salary figures inline. fn_calculate_net_salary exists but is not called by the inspected procedure. Payroll tax values/formulas are project/demo assumptions, not legal advice.</w:t>
      </w:r>
    </w:p>
    <w:p>
      <w:pPr>
        <w:pStyle w:val="ListBullet"/>
        <w:spacing w:after="60"/>
        <w:ind w:left="403" w:hanging="230"/>
      </w:pPr>
      <w:r>
        <w:t>README test summaries conflict; use reproducible current command output, not an averaged or combined pass count.</w:t>
      </w:r>
    </w:p>
    <w:p>
      <w:pPr>
        <w:pStyle w:val="ListBullet"/>
        <w:spacing w:after="60"/>
        <w:ind w:left="403" w:hanging="230"/>
      </w:pPr>
      <w:r>
        <w:t>Generated seed data, no real payment gateway, in-app notifications rather than outbound email/SMS, optional MongoDB disabled by default, and single-institution scope are documented limitations.</w:t>
      </w:r>
    </w:p>
    <w:p>
      <w:pPr>
        <w:pStyle w:val="ListBullet"/>
        <w:spacing w:after="60"/>
        <w:ind w:left="403" w:hanging="230"/>
      </w:pPr>
      <w:r>
        <w:t>Existing-database upgrades are listed in database/migrations. A fresh schema already carries current table/procedure definitions; apply the matching migration to an old DB where its procedure/key is stale. Do not add a unique email key until the migration preflight confirms duplicates are resolved.</w:t>
      </w:r>
    </w:p>
    <w:p>
      <w:pPr>
        <w:pStyle w:val="Heading1"/>
        <w:keepNext/>
        <w:spacing w:before="200" w:after="80"/>
      </w:pPr>
      <w:r>
        <w:t>11. Likely complete-project viva questions</w:t>
      </w:r>
    </w:p>
    <w:p>
      <w:pPr>
        <w:keepNext/>
        <w:spacing w:before="100" w:after="20"/>
      </w:pPr>
      <w:r>
        <w:rPr>
          <w:b/>
          <w:color w:val="17365D"/>
        </w:rPr>
        <w:t>Q1. Give a 30-second project introduction.</w:t>
      </w:r>
    </w:p>
    <w:p>
      <w:pPr>
        <w:spacing w:after="80" w:line="247" w:lineRule="auto"/>
        <w:ind w:left="259"/>
      </w:pPr>
      <w:r>
        <w:rPr>
          <w:b/>
          <w:color w:val="1F7A8C"/>
        </w:rPr>
        <w:t xml:space="preserve">Answer: </w:t>
      </w:r>
      <w:r>
        <w:t>This is one database-centric university ERP for seven integrated workflows: student/admission, academics, attendance, exams/results, fees, hostel, and faculty/leave/payroll. A React/TypeScript client calls a Node/Express API; MariaDB/MySQL stores the source-of-truth data and enforces key rules with constraints, procedures, functions, triggers and views.</w:t>
      </w:r>
    </w:p>
    <w:p>
      <w:pPr>
        <w:keepNext/>
        <w:spacing w:before="100" w:after="20"/>
      </w:pPr>
      <w:r>
        <w:rPr>
          <w:b/>
          <w:color w:val="17365D"/>
        </w:rPr>
        <w:t>Q2. Why is this a DBMS project and not just a CRUD website?</w:t>
      </w:r>
    </w:p>
    <w:p>
      <w:pPr>
        <w:spacing w:after="80" w:line="247" w:lineRule="auto"/>
        <w:ind w:left="259"/>
      </w:pPr>
      <w:r>
        <w:rPr>
          <w:b/>
          <w:color w:val="1F7A8C"/>
        </w:rPr>
        <w:t xml:space="preserve">Answer: </w:t>
      </w:r>
      <w:r>
        <w:t>The schema is documented and relational, with PK/FK/unique/check constraints, transaction boundaries, indexes, 20 views, 17 procedures, 13 functions, 28 triggers and 45 annotated analytical queries. Important rules remain enforced if a request bypasses the UI.</w:t>
      </w:r>
    </w:p>
    <w:p>
      <w:pPr>
        <w:keepNext/>
        <w:spacing w:before="100" w:after="20"/>
      </w:pPr>
      <w:r>
        <w:rPr>
          <w:b/>
          <w:color w:val="17365D"/>
        </w:rPr>
        <w:t>Q3. Describe the request path.</w:t>
      </w:r>
    </w:p>
    <w:p>
      <w:pPr>
        <w:spacing w:after="80" w:line="247" w:lineRule="auto"/>
        <w:ind w:left="259"/>
      </w:pPr>
      <w:r>
        <w:rPr>
          <w:b/>
          <w:color w:val="1F7A8C"/>
        </w:rPr>
        <w:t xml:space="preserve">Answer: </w:t>
      </w:r>
      <w:r>
        <w:t>React calls a relative /api/v1 URL through the Vite proxy; Express middleware authenticates JWT, checks role, validates input with Zod, then routes through controller/service/repository. Repositories use parameterized mysql2 SQL or call stored routines; the response returns a consistent success/error envelope.</w:t>
      </w:r>
    </w:p>
    <w:p>
      <w:pPr>
        <w:keepNext/>
        <w:spacing w:before="100" w:after="20"/>
      </w:pPr>
      <w:r>
        <w:rPr>
          <w:b/>
          <w:color w:val="17365D"/>
        </w:rPr>
        <w:t>Q4. What is the technology stack?</w:t>
      </w:r>
    </w:p>
    <w:p>
      <w:pPr>
        <w:spacing w:after="80" w:line="247" w:lineRule="auto"/>
        <w:ind w:left="259"/>
      </w:pPr>
      <w:r>
        <w:rPr>
          <w:b/>
          <w:color w:val="1F7A8C"/>
        </w:rPr>
        <w:t xml:space="preserve">Answer: </w:t>
      </w:r>
      <w:r>
        <w:t>Frontend: React 18, TypeScript, Tailwind CSS, Vite, React Router and Axios. Backend: Node 20, Express, TypeScript, mysql2, Zod, bcryptjs and JWT with security middleware. Database: MySQL 8 or MariaDB 10.6+. MongoDB is optional/off by default and is not the transactional source of truth.</w:t>
      </w:r>
    </w:p>
    <w:p>
      <w:pPr>
        <w:keepNext/>
        <w:spacing w:before="100" w:after="20"/>
      </w:pPr>
      <w:r>
        <w:rPr>
          <w:b/>
          <w:color w:val="17365D"/>
        </w:rPr>
        <w:t>Q5. What database size/artifacts should you know?</w:t>
      </w:r>
    </w:p>
    <w:p>
      <w:pPr>
        <w:spacing w:after="80" w:line="247" w:lineRule="auto"/>
        <w:ind w:left="259"/>
      </w:pPr>
      <w:r>
        <w:rPr>
          <w:b/>
          <w:color w:val="1F7A8C"/>
        </w:rPr>
        <w:t xml:space="preserve">Answer: </w:t>
      </w:r>
      <w:r>
        <w:t>The repository data dictionary reports 61 base tables, 677 columns, 20 views, 17 stored procedures, 13 functions, 28 triggers and 138 foreign keys. database/09_queries.sql contains 45 commented analytical queries.</w:t>
      </w:r>
    </w:p>
    <w:p>
      <w:pPr>
        <w:keepNext/>
        <w:spacing w:before="100" w:after="20"/>
      </w:pPr>
      <w:r>
        <w:rPr>
          <w:b/>
          <w:color w:val="17365D"/>
        </w:rPr>
        <w:t>Q6. What is a primary key?</w:t>
      </w:r>
    </w:p>
    <w:p>
      <w:pPr>
        <w:spacing w:after="80" w:line="247" w:lineRule="auto"/>
        <w:ind w:left="259"/>
      </w:pPr>
      <w:r>
        <w:rPr>
          <w:b/>
          <w:color w:val="1F7A8C"/>
        </w:rPr>
        <w:t xml:space="preserve">Answer: </w:t>
      </w:r>
      <w:r>
        <w:t>A primary key uniquely identifies each row and cannot be null. Most tables use an auto-increment singular_id, for example students.student_id or payments.payment_id.</w:t>
      </w:r>
    </w:p>
    <w:p>
      <w:pPr>
        <w:keepNext/>
        <w:spacing w:before="100" w:after="20"/>
      </w:pPr>
      <w:r>
        <w:rPr>
          <w:b/>
          <w:color w:val="17365D"/>
        </w:rPr>
        <w:t>Q7. What is a foreign key?</w:t>
      </w:r>
    </w:p>
    <w:p>
      <w:pPr>
        <w:spacing w:after="80" w:line="247" w:lineRule="auto"/>
        <w:ind w:left="259"/>
      </w:pPr>
      <w:r>
        <w:rPr>
          <w:b/>
          <w:color w:val="1F7A8C"/>
        </w:rPr>
        <w:t xml:space="preserve">Answer: </w:t>
      </w:r>
      <w:r>
        <w:t>A foreign key references a candidate/primary key in another table and makes invalid references unrepresentable. Example: attendance.student_id references students.student_id.</w:t>
      </w:r>
    </w:p>
    <w:p>
      <w:pPr>
        <w:keepNext/>
        <w:spacing w:before="100" w:after="20"/>
      </w:pPr>
      <w:r>
        <w:rPr>
          <w:b/>
          <w:color w:val="17365D"/>
        </w:rPr>
        <w:t>Q8. Give a many-to-many relationship in the schema.</w:t>
      </w:r>
    </w:p>
    <w:p>
      <w:pPr>
        <w:spacing w:after="80" w:line="247" w:lineRule="auto"/>
        <w:ind w:left="259"/>
      </w:pPr>
      <w:r>
        <w:rPr>
          <w:b/>
          <w:color w:val="1F7A8C"/>
        </w:rPr>
        <w:t xml:space="preserve">Answer: </w:t>
      </w:r>
      <w:r>
        <w:t>Students and course offerings are many-to-many through enrollments; each enrollment has its own PK and FKs to student and offering, plus a unique student/offering key.</w:t>
      </w:r>
    </w:p>
    <w:p>
      <w:pPr>
        <w:keepNext/>
        <w:spacing w:before="100" w:after="20"/>
      </w:pPr>
      <w:r>
        <w:rPr>
          <w:b/>
          <w:color w:val="17365D"/>
        </w:rPr>
        <w:t>Q9. Why is users separate from students/faculty?</w:t>
      </w:r>
    </w:p>
    <w:p>
      <w:pPr>
        <w:spacing w:after="80" w:line="247" w:lineRule="auto"/>
        <w:ind w:left="259"/>
      </w:pPr>
      <w:r>
        <w:rPr>
          <w:b/>
          <w:color w:val="1F7A8C"/>
        </w:rPr>
        <w:t xml:space="preserve">Answer: </w:t>
      </w:r>
      <w:r>
        <w:t>users holds credentials, role and account state. Student/faculty rows store domain attributes and reference a unique user_id, giving one shared login model without mixing identity and profile data.</w:t>
      </w:r>
    </w:p>
    <w:p>
      <w:pPr>
        <w:keepNext/>
        <w:spacing w:before="100" w:after="20"/>
      </w:pPr>
      <w:r>
        <w:rPr>
          <w:b/>
          <w:color w:val="17365D"/>
        </w:rPr>
        <w:t>Q10. What normalization level does the report describe?</w:t>
      </w:r>
    </w:p>
    <w:p>
      <w:pPr>
        <w:spacing w:after="80" w:line="247" w:lineRule="auto"/>
        <w:ind w:left="259"/>
      </w:pPr>
      <w:r>
        <w:rPr>
          <w:b/>
          <w:color w:val="1F7A8C"/>
        </w:rPr>
        <w:t xml:space="preserve">Answer: </w:t>
      </w:r>
      <w:r>
        <w:t>PROJECT_REPORT.md describes the relational schema as 3NF and transactional tables as designed toward BCNF. It also explicitly documents a few performance counters that are deliberately denormalized and trigger-maintained.</w:t>
      </w:r>
    </w:p>
    <w:p>
      <w:pPr>
        <w:keepNext/>
        <w:spacing w:before="100" w:after="20"/>
      </w:pPr>
      <w:r>
        <w:rPr>
          <w:b/>
          <w:color w:val="17365D"/>
        </w:rPr>
        <w:t>Q11. Why use a transaction?</w:t>
      </w:r>
    </w:p>
    <w:p>
      <w:pPr>
        <w:spacing w:after="80" w:line="247" w:lineRule="auto"/>
        <w:ind w:left="259"/>
      </w:pPr>
      <w:r>
        <w:rPr>
          <w:b/>
          <w:color w:val="1F7A8C"/>
        </w:rPr>
        <w:t xml:space="preserve">Answer: </w:t>
      </w:r>
      <w:r>
        <w:t>To make multiple related writes atomic and consistent. For example, an approval should not create a user but fail to create the student; a payment should not insert a receipt without updating the bill/ledger.</w:t>
      </w:r>
    </w:p>
    <w:p>
      <w:pPr>
        <w:keepNext/>
        <w:spacing w:before="100" w:after="20"/>
      </w:pPr>
      <w:r>
        <w:rPr>
          <w:b/>
          <w:color w:val="17365D"/>
        </w:rPr>
        <w:t>Q12. What is the difference between a procedure and a function?</w:t>
      </w:r>
    </w:p>
    <w:p>
      <w:pPr>
        <w:spacing w:after="80" w:line="247" w:lineRule="auto"/>
        <w:ind w:left="259"/>
      </w:pPr>
      <w:r>
        <w:rPr>
          <w:b/>
          <w:color w:val="1F7A8C"/>
        </w:rPr>
        <w:t xml:space="preserve">Answer: </w:t>
      </w:r>
      <w:r>
        <w:t>A stored procedure performs an operation and can return OUT values or write rows; a function returns a value that can be used in expressions. In this project, bulk operations use procedures and calculations such as attendance/grade/dues use functions.</w:t>
      </w:r>
    </w:p>
    <w:p>
      <w:pPr>
        <w:keepNext/>
        <w:spacing w:before="100" w:after="20"/>
      </w:pPr>
      <w:r>
        <w:rPr>
          <w:b/>
          <w:color w:val="17365D"/>
        </w:rPr>
        <w:t>Q13. What is the difference between a trigger and a procedure?</w:t>
      </w:r>
    </w:p>
    <w:p>
      <w:pPr>
        <w:spacing w:after="80" w:line="247" w:lineRule="auto"/>
        <w:ind w:left="259"/>
      </w:pPr>
      <w:r>
        <w:rPr>
          <w:b/>
          <w:color w:val="1F7A8C"/>
        </w:rPr>
        <w:t xml:space="preserve">Answer: </w:t>
      </w:r>
      <w:r>
        <w:t>A procedure is explicitly called for a business operation; a trigger runs automatically when a table event occurs. Procedures coordinate a workflow; triggers protect invariants/derived effects for direct table writes too.</w:t>
      </w:r>
    </w:p>
    <w:p>
      <w:pPr>
        <w:keepNext/>
        <w:spacing w:before="100" w:after="20"/>
      </w:pPr>
      <w:r>
        <w:rPr>
          <w:b/>
          <w:color w:val="17365D"/>
        </w:rPr>
        <w:t>Q14. What is a view?</w:t>
      </w:r>
    </w:p>
    <w:p>
      <w:pPr>
        <w:spacing w:after="80" w:line="247" w:lineRule="auto"/>
        <w:ind w:left="259"/>
      </w:pPr>
      <w:r>
        <w:rPr>
          <w:b/>
          <w:color w:val="1F7A8C"/>
        </w:rPr>
        <w:t xml:space="preserve">Answer: </w:t>
      </w:r>
      <w:r>
        <w:t>A named SELECT/read model that hides a repeated join or aggregate. Examples include v_student_attendance_overall, v_student_fee_status and v_room_vacancy. A normal view is not a separately stored copy of its rows.</w:t>
      </w:r>
    </w:p>
    <w:p>
      <w:pPr>
        <w:keepNext/>
        <w:spacing w:before="100" w:after="20"/>
      </w:pPr>
      <w:r>
        <w:rPr>
          <w:b/>
          <w:color w:val="17365D"/>
        </w:rPr>
        <w:t>Q15. Why use indexes and unique indexes?</w:t>
      </w:r>
    </w:p>
    <w:p>
      <w:pPr>
        <w:spacing w:after="80" w:line="247" w:lineRule="auto"/>
        <w:ind w:left="259"/>
      </w:pPr>
      <w:r>
        <w:rPr>
          <w:b/>
          <w:color w:val="1F7A8C"/>
        </w:rPr>
        <w:t xml:space="preserve">Answer: </w:t>
      </w:r>
      <w:r>
        <w:t>Indexes speed common filters/joins; unique indexes both support lookups and enforce identity/business rules. Composite unique indexes prevent duplicates such as one student enrolled twice in one offering.</w:t>
      </w:r>
    </w:p>
    <w:p>
      <w:pPr>
        <w:keepNext/>
        <w:spacing w:before="100" w:after="20"/>
      </w:pPr>
      <w:r>
        <w:rPr>
          <w:b/>
          <w:color w:val="17365D"/>
        </w:rPr>
        <w:t>Q16. Which values use DECIMAL and why?</w:t>
      </w:r>
    </w:p>
    <w:p>
      <w:pPr>
        <w:spacing w:after="80" w:line="247" w:lineRule="auto"/>
        <w:ind w:left="259"/>
      </w:pPr>
      <w:r>
        <w:rPr>
          <w:b/>
          <w:color w:val="1F7A8C"/>
        </w:rPr>
        <w:t xml:space="preserve">Answer: </w:t>
      </w:r>
      <w:r>
        <w:t>Money uses DECIMAL (for example DECIMAL(12,2)) and percentages use DECIMAL(5,2); exact decimal arithmetic avoids binary floating-point currency errors.</w:t>
      </w:r>
    </w:p>
    <w:p>
      <w:pPr>
        <w:keepNext/>
        <w:spacing w:before="100" w:after="20"/>
      </w:pPr>
      <w:r>
        <w:rPr>
          <w:b/>
          <w:color w:val="17365D"/>
        </w:rPr>
        <w:t>Q17. How is role authorization enforced?</w:t>
      </w:r>
    </w:p>
    <w:p>
      <w:pPr>
        <w:spacing w:after="80" w:line="247" w:lineRule="auto"/>
        <w:ind w:left="259"/>
      </w:pPr>
      <w:r>
        <w:rPr>
          <w:b/>
          <w:color w:val="1F7A8C"/>
        </w:rPr>
        <w:t xml:space="preserve">Answer: </w:t>
      </w:r>
      <w:r>
        <w:t>Protected routes authenticate the JWT and call requireRole; services also apply row-level scoping (for example a student is forced to their own student_id). Frontend role gates improve navigation but are not the security boundary.</w:t>
      </w:r>
    </w:p>
    <w:p>
      <w:pPr>
        <w:keepNext/>
        <w:spacing w:before="100" w:after="20"/>
      </w:pPr>
      <w:r>
        <w:rPr>
          <w:b/>
          <w:color w:val="17365D"/>
        </w:rPr>
        <w:t>Q18. How are passwords stored?</w:t>
      </w:r>
    </w:p>
    <w:p>
      <w:pPr>
        <w:spacing w:after="80" w:line="247" w:lineRule="auto"/>
        <w:ind w:left="259"/>
      </w:pPr>
      <w:r>
        <w:rPr>
          <w:b/>
          <w:color w:val="1F7A8C"/>
        </w:rPr>
        <w:t xml:space="preserve">Answer: </w:t>
      </w:r>
      <w:r>
        <w:t>bcrypt hashes, not plaintext. JWTs carry authenticated identity/role claims; refresh/logout behavior is handled by the auth service. Demo accounts are intentionally simple and must not be used in production.</w:t>
      </w:r>
    </w:p>
    <w:p>
      <w:pPr>
        <w:keepNext/>
        <w:spacing w:before="100" w:after="20"/>
      </w:pPr>
      <w:r>
        <w:rPr>
          <w:b/>
          <w:color w:val="17365D"/>
        </w:rPr>
        <w:t>Q19. How is SQL injection mitigated?</w:t>
      </w:r>
    </w:p>
    <w:p>
      <w:pPr>
        <w:spacing w:after="80" w:line="247" w:lineRule="auto"/>
        <w:ind w:left="259"/>
      </w:pPr>
      <w:r>
        <w:rPr>
          <w:b/>
          <w:color w:val="1F7A8C"/>
        </w:rPr>
        <w:t xml:space="preserve">Answer: </w:t>
      </w:r>
      <w:r>
        <w:t>Repository values are sent through ? placeholders/prepared mysql2 statements. Dynamic sort keys are allow-listed; user-supplied values are not concatenated into SQL predicates.</w:t>
      </w:r>
    </w:p>
    <w:p>
      <w:pPr>
        <w:keepNext/>
        <w:spacing w:before="100" w:after="20"/>
      </w:pPr>
      <w:r>
        <w:rPr>
          <w:b/>
          <w:color w:val="17365D"/>
        </w:rPr>
        <w:t>Q20. What does the audit trail record?</w:t>
      </w:r>
    </w:p>
    <w:p>
      <w:pPr>
        <w:spacing w:after="80" w:line="247" w:lineRule="auto"/>
        <w:ind w:left="259"/>
      </w:pPr>
      <w:r>
        <w:rPr>
          <w:b/>
          <w:color w:val="1F7A8C"/>
        </w:rPr>
        <w:t xml:space="preserve">Answer: </w:t>
      </w:r>
      <w:r>
        <w:t>Application services capture the authenticated actor, action, entity and useful before/after context; database triggers also log sensitive table changes. That provides a history even for writes outside the normal UI path.</w:t>
      </w:r>
    </w:p>
    <w:p>
      <w:pPr>
        <w:keepNext/>
        <w:spacing w:before="100" w:after="20"/>
      </w:pPr>
      <w:r>
        <w:rPr>
          <w:b/>
          <w:color w:val="17365D"/>
        </w:rPr>
        <w:t>Q21. How are module integrations demonstrated?</w:t>
      </w:r>
    </w:p>
    <w:p>
      <w:pPr>
        <w:spacing w:after="80" w:line="247" w:lineRule="auto"/>
        <w:ind w:left="259"/>
      </w:pPr>
      <w:r>
        <w:rPr>
          <w:b/>
          <w:color w:val="1F7A8C"/>
        </w:rPr>
        <w:t xml:space="preserve">Answer: </w:t>
      </w:r>
      <w:r>
        <w:t>One student_id flows from admission into academic enrollment, attendance, exam registration/results, fees and hostel. A faculty_id links workload/attendance/invigilation/warden duties and payroll. The shared masters are the integration contract.</w:t>
      </w:r>
    </w:p>
    <w:p>
      <w:pPr>
        <w:keepNext/>
        <w:spacing w:before="100" w:after="20"/>
      </w:pPr>
      <w:r>
        <w:rPr>
          <w:b/>
          <w:color w:val="17365D"/>
        </w:rPr>
        <w:t>Q22. Is all seeded data real PICT data?</w:t>
      </w:r>
    </w:p>
    <w:p>
      <w:pPr>
        <w:spacing w:after="80" w:line="247" w:lineRule="auto"/>
        <w:ind w:left="259"/>
      </w:pPr>
      <w:r>
        <w:rPr>
          <w:b/>
          <w:color w:val="1F7A8C"/>
        </w:rPr>
        <w:t xml:space="preserve">Answer: </w:t>
      </w:r>
      <w:r>
        <w:t>No. Institute name/identity/logo and documented canonical department names are institution facts; all seeded students, faculty, marks, attendance, fee and hostel records are generated demo data. The UI/README identifies that distinction.</w:t>
      </w:r>
    </w:p>
    <w:p>
      <w:pPr>
        <w:keepNext/>
        <w:spacing w:before="100" w:after="20"/>
      </w:pPr>
      <w:r>
        <w:rPr>
          <w:b/>
          <w:color w:val="17365D"/>
        </w:rPr>
        <w:t>Q23. What is the attendance rule?</w:t>
      </w:r>
    </w:p>
    <w:p>
      <w:pPr>
        <w:spacing w:after="80" w:line="247" w:lineRule="auto"/>
        <w:ind w:left="259"/>
      </w:pPr>
      <w:r>
        <w:rPr>
          <w:b/>
          <w:color w:val="1F7A8C"/>
        </w:rPr>
        <w:t xml:space="preserve">Answer: </w:t>
      </w:r>
      <w:r>
        <w:t>The function counts PRESENT/LATE in the numerator, excludes EXCUSED from the denominator and returns 100% when no counted sessions exist. The exam procedure compares recomputed attendance with the exam threshold; the direct-insert trigger also checks a configured threshold.</w:t>
      </w:r>
    </w:p>
    <w:p>
      <w:pPr>
        <w:keepNext/>
        <w:spacing w:before="100" w:after="20"/>
      </w:pPr>
      <w:r>
        <w:rPr>
          <w:b/>
          <w:color w:val="17365D"/>
        </w:rPr>
        <w:t>Q24. Can you claim pending fees block exam registration?</w:t>
      </w:r>
    </w:p>
    <w:p>
      <w:pPr>
        <w:spacing w:after="80" w:line="247" w:lineRule="auto"/>
        <w:ind w:left="259"/>
      </w:pPr>
      <w:r>
        <w:rPr>
          <w:b/>
          <w:color w:val="1F7A8C"/>
        </w:rPr>
        <w:t xml:space="preserve">Answer: </w:t>
      </w:r>
      <w:r>
        <w:t>Not from the current inspected SQL. Documentation says yes, and the procedure computes v_dues with fn_student_outstanding_dues, but does not branch on it; the insert trigger checks enrollment and attendance only. State this as a known discrepancy until a code/test fix is verified.</w:t>
      </w:r>
    </w:p>
    <w:p>
      <w:pPr>
        <w:keepNext/>
        <w:spacing w:before="100" w:after="20"/>
      </w:pPr>
      <w:r>
        <w:rPr>
          <w:b/>
          <w:color w:val="17365D"/>
        </w:rPr>
        <w:t>Q25. How does the fee/payment flow work?</w:t>
      </w:r>
    </w:p>
    <w:p>
      <w:pPr>
        <w:spacing w:after="80" w:line="247" w:lineRule="auto"/>
        <w:ind w:left="259"/>
      </w:pPr>
      <w:r>
        <w:rPr>
          <w:b/>
          <w:color w:val="1F7A8C"/>
        </w:rPr>
        <w:t xml:space="preserve">Answer: </w:t>
      </w:r>
      <w:r>
        <w:t>A fee structure generates a student_fees bill. sp_process_fee_payment validates and inserts a payment/receipt; triggers update paid/due/status and write ledger entries; the response returns the receipt only after server success.</w:t>
      </w:r>
    </w:p>
    <w:p>
      <w:pPr>
        <w:keepNext/>
        <w:spacing w:before="100" w:after="20"/>
      </w:pPr>
      <w:r>
        <w:rPr>
          <w:b/>
          <w:color w:val="17365D"/>
        </w:rPr>
        <w:t>Q26. How does hostel occupancy stay consistent?</w:t>
      </w:r>
    </w:p>
    <w:p>
      <w:pPr>
        <w:spacing w:after="80" w:line="247" w:lineRule="auto"/>
        <w:ind w:left="259"/>
      </w:pPr>
      <w:r>
        <w:rPr>
          <w:b/>
          <w:color w:val="1F7A8C"/>
        </w:rPr>
        <w:t xml:space="preserve">Answer: </w:t>
      </w:r>
      <w:r>
        <w:t>Allocation procedures create or update room_allocations; triggers update beds.status and room/hostel counters. Unique keys/guards prevent duplicate active occupancy; views provide current vacancy.</w:t>
      </w:r>
    </w:p>
    <w:p>
      <w:pPr>
        <w:keepNext/>
        <w:spacing w:before="100" w:after="20"/>
      </w:pPr>
      <w:r>
        <w:rPr>
          <w:b/>
          <w:color w:val="17365D"/>
        </w:rPr>
        <w:t>Q27. How is result processing performed?</w:t>
      </w:r>
    </w:p>
    <w:p>
      <w:pPr>
        <w:spacing w:after="80" w:line="247" w:lineRule="auto"/>
        <w:ind w:left="259"/>
      </w:pPr>
      <w:r>
        <w:rPr>
          <w:b/>
          <w:color w:val="1F7A8C"/>
        </w:rPr>
        <w:t xml:space="preserve">Answer: </w:t>
      </w:r>
      <w:r>
        <w:t>Marks are validated and grades/points derived in SQL. The semester results procedure aggregates credits, grade points, SGPA, backlogs and status; standalone SGPA/CGPA functions also exist, but the inspected procedure contains its own aggregation SQL. A publish procedure changes publication flags and notifies students.</w:t>
      </w:r>
    </w:p>
    <w:p>
      <w:pPr>
        <w:keepNext/>
        <w:spacing w:before="100" w:after="20"/>
      </w:pPr>
      <w:r>
        <w:rPr>
          <w:b/>
          <w:color w:val="17365D"/>
        </w:rPr>
        <w:t>Q28. What are the payroll limitations?</w:t>
      </w:r>
    </w:p>
    <w:p>
      <w:pPr>
        <w:spacing w:after="80" w:line="247" w:lineRule="auto"/>
        <w:ind w:left="259"/>
      </w:pPr>
      <w:r>
        <w:rPr>
          <w:b/>
          <w:color w:val="1F7A8C"/>
        </w:rPr>
        <w:t xml:space="preserve">Answer: </w:t>
      </w:r>
      <w:r>
        <w:t>The payroll procedure uses project/demo formulas for allowances, PF, professional tax, simplified income tax and unpaid leave. It is not a statutory tax engine; the current procedure computes inline even though a net-salary UDF exists.</w:t>
      </w:r>
    </w:p>
    <w:p>
      <w:pPr>
        <w:keepNext/>
        <w:spacing w:before="100" w:after="20"/>
      </w:pPr>
      <w:r>
        <w:rPr>
          <w:b/>
          <w:color w:val="17365D"/>
        </w:rPr>
        <w:t>Q29. How do you test the project?</w:t>
      </w:r>
    </w:p>
    <w:p>
      <w:pPr>
        <w:spacing w:after="80" w:line="247" w:lineRule="auto"/>
        <w:ind w:left="259"/>
      </w:pPr>
      <w:r>
        <w:rPr>
          <w:b/>
          <w:color w:val="1F7A8C"/>
        </w:rPr>
        <w:t xml:space="preserve">Answer: </w:t>
      </w:r>
      <w:r>
        <w:t>Build backend and frontend; run the DB rule suite, API smoke suite and stateful workflow suite against a seeded MariaDB/MySQL database. The workflow covers attendance, fees, hostel, leave/payroll, academics, admissions, reports and audit. Report fresh command output from the exact build being defended.</w:t>
      </w:r>
    </w:p>
    <w:p>
      <w:pPr>
        <w:keepNext/>
        <w:spacing w:before="100" w:after="20"/>
      </w:pPr>
      <w:r>
        <w:rPr>
          <w:b/>
          <w:color w:val="17365D"/>
        </w:rPr>
        <w:t>Q30. What are the main known limits?</w:t>
      </w:r>
    </w:p>
    <w:p>
      <w:pPr>
        <w:spacing w:after="80" w:line="247" w:lineRule="auto"/>
        <w:ind w:left="259"/>
      </w:pPr>
      <w:r>
        <w:rPr>
          <w:b/>
          <w:color w:val="1F7A8C"/>
        </w:rPr>
        <w:t xml:space="preserve">Answer: </w:t>
      </w:r>
      <w:r>
        <w:t>Single-institution scope; synthetic/demo seed data; in-app notifications rather than sent email/SMS; local AI rules by default; optional Mongo event store disabled; no payment gateway; payroll math is demonstrative; and the fee-to-exam gate is not verified in current SQL.</w:t>
      </w:r>
    </w:p>
    <w:p>
      <w:pPr>
        <w:keepNext/>
        <w:spacing w:before="100" w:after="20"/>
      </w:pPr>
      <w:r>
        <w:rPr>
          <w:b/>
          <w:color w:val="17365D"/>
        </w:rPr>
        <w:t>Q31. Why no ORM?</w:t>
      </w:r>
    </w:p>
    <w:p>
      <w:pPr>
        <w:spacing w:after="80" w:line="247" w:lineRule="auto"/>
        <w:ind w:left="259"/>
      </w:pPr>
      <w:r>
        <w:rPr>
          <w:b/>
          <w:color w:val="1F7A8C"/>
        </w:rPr>
        <w:t xml:space="preserve">Answer: </w:t>
      </w:r>
      <w:r>
        <w:t>The project intentionally exposes relational design, parameterized SQL, constraints, views, routines and triggers for DBMS study. A thin repository layer keeps SQL visible and reviewable.</w:t>
      </w:r>
    </w:p>
    <w:p>
      <w:pPr>
        <w:keepNext/>
        <w:spacing w:before="100" w:after="20"/>
      </w:pPr>
      <w:r>
        <w:rPr>
          <w:b/>
          <w:color w:val="17365D"/>
        </w:rPr>
        <w:t>Q32. What should you do if docs and source disagree?</w:t>
      </w:r>
    </w:p>
    <w:p>
      <w:pPr>
        <w:spacing w:after="80" w:line="247" w:lineRule="auto"/>
        <w:ind w:left="259"/>
      </w:pPr>
      <w:r>
        <w:rPr>
          <w:b/>
          <w:color w:val="1F7A8C"/>
        </w:rPr>
        <w:t xml:space="preserve">Answer: </w:t>
      </w:r>
      <w:r>
        <w:t>Prefer the current executable schema/source plus a passing test as evidence. State the disagreement, identify the responsible file/rule, and avoid claiming unverified behavior. Documentation should then be updated after the implementation/test is reconciled.</w:t>
      </w:r>
    </w:p>
    <w:p>
      <w:pPr>
        <w:pStyle w:val="Heading1"/>
        <w:keepNext/>
        <w:spacing w:before="200" w:after="80"/>
      </w:pPr>
      <w:r>
        <w:t>12. Reading order and quick reference</w:t>
      </w:r>
    </w:p>
    <w:p>
      <w:pPr>
        <w:pStyle w:val="ListBullet"/>
        <w:spacing w:after="60"/>
        <w:ind w:left="403" w:hanging="230"/>
      </w:pPr>
      <w:r>
        <w:t>Start: README.md → architecture, features, setup, role demo accounts and known data provenance.</w:t>
      </w:r>
    </w:p>
    <w:p>
      <w:pPr>
        <w:pStyle w:val="ListBullet"/>
        <w:spacing w:after="60"/>
        <w:ind w:left="403" w:hanging="230"/>
      </w:pPr>
      <w:r>
        <w:t>System design: PROJECT_REPORT.md §§7–19 (technology, architecture, ER, normalization, constraints, SQL objects, transactions and security).</w:t>
      </w:r>
    </w:p>
    <w:p>
      <w:pPr>
        <w:pStyle w:val="ListBullet"/>
        <w:spacing w:after="60"/>
        <w:ind w:left="403" w:hanging="230"/>
      </w:pPr>
      <w:r>
        <w:t>Integration: docs/MODULE_INTEGRATION.md (module API/table ownership, six cross-module flows, rules and transaction boundaries).</w:t>
      </w:r>
    </w:p>
    <w:p>
      <w:pPr>
        <w:pStyle w:val="ListBullet"/>
        <w:spacing w:after="60"/>
        <w:ind w:left="403" w:hanging="230"/>
      </w:pPr>
      <w:r>
        <w:t>Keys: docs/DATA_DICTIONARY.md; visual model: docs/ER_DIAGRAMS.md and docs/er/*.svg / *.mmd.</w:t>
      </w:r>
    </w:p>
    <w:p>
      <w:pPr>
        <w:pStyle w:val="ListBullet"/>
        <w:spacing w:after="60"/>
        <w:ind w:left="403" w:hanging="230"/>
      </w:pPr>
      <w:r>
        <w:t>SQL: database/02_tables.sql, 03_constraints.sql, 04_seed.sql, 05_procedures.sql, 06_triggers.sql, 07_functions.sql, 08_views.sql and 09_queries.sql.</w:t>
      </w:r>
    </w:p>
    <w:p>
      <w:pPr>
        <w:pStyle w:val="ListBullet"/>
        <w:spacing w:after="60"/>
        <w:ind w:left="403" w:hanging="230"/>
      </w:pPr>
      <w:r>
        <w:t>Test sources: tests/db/test_rules.sql, tests/api/smoke.sh, tests/api/workflow.py; service scripts under backend/src/scripts/.</w:t>
      </w:r>
    </w:p>
    <w:p>
      <w:pPr>
        <w:pStyle w:val="ListBullet"/>
        <w:spacing w:after="60"/>
        <w:ind w:left="403" w:hanging="230"/>
      </w:pPr>
      <w:r>
        <w:t>Demo credentials: docs/DEMO_CREDENTIALS.md. Use only local demo accounts; do not deploy them.</w:t>
      </w:r>
    </w:p>
    <w:p>
      <w:pPr>
        <w:pStyle w:val="Heading2"/>
        <w:keepNext/>
        <w:spacing w:before="140" w:after="80"/>
      </w:pPr>
      <w:r>
        <w:t>Quick start (only on a disposable local/demo database)</w:t>
      </w:r>
    </w:p>
    <w:p>
      <w:pPr>
        <w:spacing w:after="100" w:line="252" w:lineRule="auto"/>
      </w:pPr>
      <w:r>
        <w:t>Reset once from the repository root. Then start the backend and frontend in separate terminals; each dev server is long-running. Open the frontend URL and use the visible local demo account panel.</w:t>
      </w:r>
    </w:p>
    <w:p>
      <w:pPr>
        <w:keepLines/>
        <w:spacing w:after="30"/>
        <w:ind w:left="230"/>
      </w:pPr>
      <w:r>
        <w:rPr>
          <w:rFonts w:ascii="Consolas" w:hAnsi="Consolas"/>
          <w:color w:val="1F4E79"/>
          <w:sz w:val="16"/>
        </w:rPr>
        <w:t>bash scripts/reset-db.sh</w:t>
      </w:r>
    </w:p>
    <w:p>
      <w:pPr>
        <w:keepLines/>
        <w:spacing w:after="30"/>
        <w:ind w:left="230"/>
      </w:pPr>
      <w:r>
        <w:rPr>
          <w:rFonts w:ascii="Consolas" w:hAnsi="Consolas"/>
          <w:color w:val="1F4E79"/>
          <w:sz w:val="16"/>
        </w:rPr>
        <w:t>Terminal 1: cd backend &amp;&amp; npm install &amp;&amp; npm run dev</w:t>
      </w:r>
    </w:p>
    <w:p>
      <w:pPr>
        <w:keepLines/>
        <w:spacing w:after="30"/>
        <w:ind w:left="230"/>
      </w:pPr>
      <w:r>
        <w:rPr>
          <w:rFonts w:ascii="Consolas" w:hAnsi="Consolas"/>
          <w:color w:val="1F4E79"/>
          <w:sz w:val="16"/>
        </w:rPr>
        <w:t>Terminal 2: cd frontend &amp;&amp; npm install &amp;&amp; npm run dev</w:t>
      </w:r>
    </w:p>
    <w:p>
      <w:pPr>
        <w:keepLines/>
        <w:spacing w:after="30"/>
        <w:ind w:left="230"/>
      </w:pPr>
      <w:r>
        <w:rPr>
          <w:rFonts w:ascii="Consolas" w:hAnsi="Consolas"/>
          <w:color w:val="1F4E79"/>
          <w:sz w:val="16"/>
        </w:rPr>
        <w:t>Open http://localhost:5173</w:t>
      </w:r>
    </w:p>
    <w:p>
      <w:pPr>
        <w:spacing w:after="100" w:line="252" w:lineRule="auto"/>
      </w:pPr>
      <w:r>
        <w:t>scripts/reset-db.sh drops and recreates the configured database; it is destructive. It applies a deliberate dependency order and reseeds generated data. Read it before running. Use the repository’s Docker flow if it better matches the presentation machine.</w:t>
      </w:r>
    </w:p>
    <w:p>
      <w:pPr>
        <w:pStyle w:val="Heading1"/>
        <w:keepNext/>
        <w:spacing w:before="200" w:after="80"/>
      </w:pPr>
      <w:r>
        <w:t>Source references</w:t>
      </w:r>
    </w:p>
    <w:p>
      <w:pPr>
        <w:pStyle w:val="ListBullet"/>
        <w:spacing w:after="60"/>
        <w:ind w:left="403" w:hanging="230"/>
      </w:pPr>
      <w:r>
        <w:t>README.md</w:t>
      </w:r>
    </w:p>
    <w:p>
      <w:pPr>
        <w:pStyle w:val="ListBullet"/>
        <w:spacing w:after="60"/>
        <w:ind w:left="403" w:hanging="230"/>
      </w:pPr>
      <w:r>
        <w:t>PROJECT_REPORT.md</w:t>
      </w:r>
    </w:p>
    <w:p>
      <w:pPr>
        <w:pStyle w:val="ListBullet"/>
        <w:spacing w:after="60"/>
        <w:ind w:left="403" w:hanging="230"/>
      </w:pPr>
      <w:r>
        <w:t>docs/MODULE_INTEGRATION.md</w:t>
      </w:r>
    </w:p>
    <w:p>
      <w:pPr>
        <w:pStyle w:val="ListBullet"/>
        <w:spacing w:after="60"/>
        <w:ind w:left="403" w:hanging="230"/>
      </w:pPr>
      <w:r>
        <w:t>docs/DATA_DICTIONARY.md</w:t>
      </w:r>
    </w:p>
    <w:p>
      <w:pPr>
        <w:pStyle w:val="ListBullet"/>
        <w:spacing w:after="60"/>
        <w:ind w:left="403" w:hanging="230"/>
      </w:pPr>
      <w:r>
        <w:t>docs/ER_DIAGRAMS.md</w:t>
      </w:r>
    </w:p>
    <w:p>
      <w:pPr>
        <w:pStyle w:val="ListBullet"/>
        <w:spacing w:after="60"/>
        <w:ind w:left="403" w:hanging="230"/>
      </w:pPr>
      <w:r>
        <w:t>docs/DEMO_CREDENTIALS.md</w:t>
      </w:r>
    </w:p>
    <w:p>
      <w:pPr>
        <w:pStyle w:val="ListBullet"/>
        <w:spacing w:after="60"/>
        <w:ind w:left="403" w:hanging="230"/>
      </w:pPr>
      <w:r>
        <w:t>database/</w:t>
      </w:r>
    </w:p>
    <w:p>
      <w:pPr>
        <w:pStyle w:val="ListBullet"/>
        <w:spacing w:after="60"/>
        <w:ind w:left="403" w:hanging="230"/>
      </w:pPr>
      <w:r>
        <w:t>backend/src/</w:t>
      </w:r>
    </w:p>
    <w:p>
      <w:pPr>
        <w:pStyle w:val="ListBullet"/>
        <w:spacing w:after="60"/>
        <w:ind w:left="403" w:hanging="230"/>
      </w:pPr>
      <w:r>
        <w:t>frontend/src/</w:t>
      </w:r>
    </w:p>
    <w:p>
      <w:pPr>
        <w:pStyle w:val="ListBullet"/>
        <w:spacing w:after="60"/>
        <w:ind w:left="403" w:hanging="230"/>
      </w:pPr>
      <w:r>
        <w:t>tests/</w:t>
      </w:r>
    </w:p>
    <w:p>
      <w:pPr>
        <w:pStyle w:val="ListBullet"/>
        <w:spacing w:after="60"/>
        <w:ind w:left="403" w:hanging="230"/>
      </w:pPr>
      <w:r>
        <w:t>database/migrations/</w:t>
      </w:r>
    </w:p>
    <w:p>
      <w:pPr>
        <w:spacing w:after="100" w:line="252" w:lineRule="auto"/>
      </w:pPr>
      <w:r>
        <w:t>Prepared from the checked-out repository on 17 October 2026. The document follows current checked-in SQL/source where it conflicts with older prose and labels unresolved disagreements instead of silently repeating an unverified claim.</w:t>
      </w:r>
    </w:p>
    <w:sectPr w:rsidR="00FC693F" w:rsidRPr="0006063C" w:rsidSect="00034616">
      <w:headerReference w:type="default" r:id="rId9"/>
      <w:footerReference w:type="default" r:id="rId10"/>
      <w:pgSz w:w="11909" w:h="16834"/>
      <w:pgMar w:top="965"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5B6573"/>
        <w:sz w:val="16"/>
      </w:rPr>
      <w:t>DBMS M7 • Study and viva preparation • Generated demo data only</w:t>
    </w:r>
  </w:p>
  <w:p>
    <w:pPr>
      <w:jc w:val="right"/>
    </w:pPr>
    <w:r>
      <w:rPr>
        <w:color w:val="5B65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PICT ERP  |  Complete project viva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7A8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project viva</dc:title>
  <dc:subject>Repository-grounded DBMS module and viva preparation</dc:subject>
  <dc:creator>University ERP M7 Study Guide</dc:creator>
  <cp:keywords>PICT ERP, DBMS, viva, study guide, MariaDB, MySQL</cp:keywords>
  <dc:description>generated by python-docx</dc:description>
  <cp:lastModifiedBy/>
  <cp:revision>1</cp:revision>
  <dcterms:created xsi:type="dcterms:W3CDTF">2013-12-23T23:15:00Z</dcterms:created>
  <dcterms:modified xsi:type="dcterms:W3CDTF">2013-12-23T23:15:00Z</dcterms:modified>
  <cp:category/>
</cp:coreProperties>
</file>