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-logo-2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b/>
          <w:color w:val="1F7A8C"/>
          <w:sz w:val="22"/>
        </w:rPr>
        <w:t>PICT • UNIVERSITY HIGHER EDUCATION ERP</w:t>
      </w:r>
    </w:p>
    <w:p>
      <w:pPr>
        <w:pStyle w:val="Title"/>
        <w:spacing w:before="200" w:after="140"/>
        <w:jc w:val="center"/>
      </w:pPr>
      <w:r>
        <w:t>Module 1 Study Guide</w:t>
      </w:r>
    </w:p>
    <w:p>
      <w:pPr>
        <w:spacing w:after="200"/>
        <w:jc w:val="center"/>
      </w:pPr>
      <w:r>
        <w:rPr>
          <w:color w:val="1F4E79"/>
          <w:sz w:val="28"/>
        </w:rPr>
        <w:t>Student &amp; Admission</w:t>
      </w:r>
    </w:p>
    <w:p>
      <w:pPr>
        <w:spacing w:after="360"/>
        <w:jc w:val="center"/>
      </w:pPr>
      <w:r>
        <w:rPr>
          <w:b/>
          <w:color w:val="17365D"/>
          <w:sz w:val="22"/>
        </w:rPr>
        <w:t>GROUP 1  •  MODULE 1</w:t>
      </w:r>
    </w:p>
    <w:p>
      <w:pPr>
        <w:spacing w:after="120"/>
        <w:jc w:val="center"/>
      </w:pPr>
      <w:r>
        <w:t>Repository-grounded edition • 17 October 2026</w:t>
      </w:r>
    </w:p>
    <w:p>
      <w:pPr>
        <w:spacing w:after="80"/>
        <w:jc w:val="center"/>
      </w:pPr>
      <w:r>
        <w:t>Prepared from the checked-in project docs, SQL schema, source paths and test scripts.</w:t>
      </w:r>
    </w:p>
    <w:p>
      <w:pPr>
        <w:spacing w:after="320"/>
        <w:jc w:val="center"/>
      </w:pPr>
      <w:r>
        <w:rPr>
          <w:color w:val="5B6573"/>
          <w:sz w:val="18"/>
        </w:rPr>
        <w:t>Presenters: 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Defense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Explain what the current source and a reproducible test prove. Distinguish documented intent from verified behavior, and label seeded people/transactions as generated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1. What the group owns</w:t>
      </w:r>
    </w:p>
    <w:p>
      <w:pPr>
        <w:spacing w:after="100" w:line="252" w:lineRule="auto"/>
      </w:pPr>
      <w:r>
        <w:t>Own the candidate-to-student lifecycle and the student master record that attendance, exams, fees, hostel and reports all reuse. Applicants live in admissions; an approved student is represented by a students row linked to one authentication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One-sentence answer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The Student &amp; Admission module owns its domain workflow and tables, but integrates with the shared users, students/faculty, academic masters and audit/notification services rather than becoming a separate application.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Files to study and present</w:t>
      </w:r>
    </w:p>
    <w:p>
      <w:pPr>
        <w:spacing w:after="100" w:line="252" w:lineRule="auto"/>
      </w:pPr>
      <w:r>
        <w:t>Read the UI and API paths first; then trace one write down to its stored procedure/constraint and one read back from the database.</w:t>
      </w:r>
    </w:p>
    <w:p>
      <w:pPr>
        <w:pStyle w:val="Heading2"/>
        <w:keepNext/>
        <w:spacing w:before="140" w:after="80"/>
      </w:pPr>
      <w:r>
        <w:t>Frontend pages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frontend/src/pages/students/AdmissionApplyPage.tsx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frontend/src/pages/students/AdmissionsPage.tsx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frontend/src/pages/students/StudentsPage.tsx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frontend/src/pages/students/StudentDetailPage.tsx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frontend/src/pages/students/EnrollmentsPage.tsx</w:t>
      </w:r>
    </w:p>
    <w:p>
      <w:pPr>
        <w:pStyle w:val="Heading2"/>
        <w:keepNext/>
        <w:spacing w:before="140" w:after="80"/>
      </w:pPr>
      <w:r>
        <w:t>Backend route-to-data path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backend/src/routes/student.routes.ts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backend/src/controllers/student.controller.ts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backend/src/services/student.service.ts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backend/src/repositories/student.repository.ts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backend/src/services/auth.service.ts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backend/src/repositories/auth.repository.ts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frontend/src/App.tsx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frontend/src/components/AppShell.tsx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frontend/src/lib/api.ts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backend/src/routes/index.ts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backend/src/middleware/auth.ts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backend/src/middleware/validate.ts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backend/src/config/database.ts</w:t>
      </w:r>
    </w:p>
    <w:p>
      <w:pPr>
        <w:pStyle w:val="Heading1"/>
        <w:keepNext/>
        <w:spacing w:before="200" w:after="80"/>
      </w:pPr>
      <w:r>
        <w:t>Stack and request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this project uses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Viva point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Frontend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React 18 + TypeScript + Tailwind + Vite + React Router + Axios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Role-aware SPA; modules are lazy-loaded and share one dashboard shell.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API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Node 20 + Express + TypeScript + Zod + mysql2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Routes → auth/role/validation middleware → controller → service → repository.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Database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MySQL 8 / MariaDB 10.6+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One relational source of truth; SQL constraints and business objects enforce integrity.</w:t>
            </w:r>
          </w:p>
        </w:tc>
      </w:tr>
      <w:tr>
        <w:tc>
          <w:tcPr>
            <w:tcW w:type="dxa" w:w="13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Optional</w:t>
            </w:r>
          </w:p>
        </w:tc>
        <w:tc>
          <w:tcPr>
            <w:tcW w:type="dxa" w:w="34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MongoDB event sink; disabled/off by default</w:t>
            </w:r>
          </w:p>
        </w:tc>
        <w:tc>
          <w:tcPr>
            <w:tcW w:type="dxa" w:w="4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6"/>
              </w:rPr>
              <w:t>Not used for the transactional ERP records or business-rule source of truth.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t>Browser requests use relative /api/v1 URLs through the Vite /api proxy. Repository SQL uses parameterized values. Frontend role gates are for navigation; backend JWT/RBAC and row-level service scoping are the security boundary.</w:t>
      </w:r>
    </w:p>
    <w:p>
      <w:pPr>
        <w:pStyle w:val="Heading1"/>
        <w:keepNext/>
        <w:spacing w:before="200" w:after="80"/>
      </w:pPr>
      <w:r>
        <w:t>3. API surface and role</w:t>
      </w:r>
    </w:p>
    <w:p>
      <w:pPr>
        <w:pStyle w:val="ListBullet"/>
        <w:spacing w:after="60"/>
        <w:ind w:left="403" w:hanging="230"/>
      </w:pPr>
      <w:r>
        <w:t>Public application: POST /api/v1/students/admissions/apply</w:t>
      </w:r>
    </w:p>
    <w:p>
      <w:pPr>
        <w:pStyle w:val="ListBullet"/>
        <w:spacing w:after="60"/>
        <w:ind w:left="403" w:hanging="230"/>
      </w:pPr>
      <w:r>
        <w:t>Admin review: GET /api/v1/students/admissions and POST /api/v1/students/admissions/:id/review</w:t>
      </w:r>
    </w:p>
    <w:p>
      <w:pPr>
        <w:pStyle w:val="ListBullet"/>
        <w:spacing w:after="60"/>
        <w:ind w:left="403" w:hanging="230"/>
      </w:pPr>
      <w:r>
        <w:t>Student master: GET/POST /api/v1/students, GET /api/v1/students/:id, PATCH /api/v1/students/:id/status</w:t>
      </w:r>
    </w:p>
    <w:p>
      <w:pPr>
        <w:pStyle w:val="ListBullet"/>
        <w:spacing w:after="60"/>
        <w:ind w:left="403" w:hanging="230"/>
      </w:pPr>
      <w:r>
        <w:t>Related records: student addresses, guardians, documents, and status-history endpoints are mounted under the student API.</w:t>
      </w:r>
    </w:p>
    <w:p>
      <w:pPr>
        <w:spacing w:after="100" w:line="252" w:lineRule="auto"/>
      </w:pPr>
      <w:r>
        <w:t>API module prefix: /api/v1. The matching router is mounted from backend/src/routes/index.ts. Before the viva, inspect each route’s requireRole(...) list; never infer authorization from a hidden navigation link.</w:t>
      </w:r>
    </w:p>
    <w:p>
      <w:pPr>
        <w:pStyle w:val="Heading1"/>
        <w:keepNext/>
        <w:spacing w:before="200" w:after="80"/>
      </w:pPr>
      <w:r>
        <w:t>4. Tables, primary keys and foreign keys</w:t>
      </w:r>
    </w:p>
    <w:p>
      <w:pPr>
        <w:spacing w:after="100" w:line="252" w:lineRule="auto"/>
      </w:pPr>
      <w:r>
        <w:t>The following key map is generated from docs/DATA_DICTIONARY.md for this guide. It lists each table’s PK and the table’s declared outgoing FKs; composite unique constraints are described in the relationship/rule notes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key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65D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Outgoing foreign keys (column → referenced table.column)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roles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role_id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user_id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`fk_users_role`: role_id → roles(role_id)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department_id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`fk_departments_hod`: hod_faculty_id → faculty(faculty_id)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categories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category_id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academic_year_id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—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program_id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`fk_programs_department`: department_id → departments(department_id)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batches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batch_id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`fk_batches_program`: program_id → programs(program_id), `fk_batches_year`: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admissions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admission_id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`fk_admissions_category`: category_id → categories(category_id), `fk_admissions_program`: program_id → programs(program_id), `fk_admissions_reviewer`: reviewed_by → users(user_id), `fk_admissions_student`: student_id → students(student_id), `fk_admissions_year`: academic_year_id → academic_years(academic_year_id)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`fk_students_batch`: batch_id → batches(batch_id), `fk_students_category`: category_id → categories(category_id), `fk_students_department`: department_id → departments(department_id), `fk_students_program`: program_id → programs(program_id), `fk_students_user`: user_id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addresses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address_id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`fk_addresses_student`: student_id → students(student_id)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guardians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guardian_id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`fk_guardians_student`: student_id → students(student_id)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student_documents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document_id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`fk_documents_student`: student_id → students(student_id), `fk_documents_verifier`: verified_by → users(user_id)</w:t>
            </w:r>
          </w:p>
        </w:tc>
      </w:tr>
      <w:tr>
        <w:tc>
          <w:tcPr>
            <w:tcW w:type="dxa" w:w="18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student_status_history</w:t>
            </w:r>
          </w:p>
        </w:tc>
        <w:tc>
          <w:tcPr>
            <w:tcW w:type="dxa" w:w="16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history_id</w:t>
            </w:r>
          </w:p>
        </w:tc>
        <w:tc>
          <w:tcPr>
            <w:tcW w:type="dxa" w:w="62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263238"/>
                <w:sz w:val="15"/>
              </w:rPr>
              <w:t>`fk_status_history_student`: student_id → students(student_id), `fk_status_history_user`: changed_by → users(user_id)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5. Workflow and relationships</w:t>
      </w:r>
    </w:p>
    <w:p>
      <w:pPr>
        <w:pStyle w:val="Heading2"/>
        <w:keepNext/>
        <w:spacing w:before="140" w:after="80"/>
      </w:pPr>
      <w:r>
        <w:t>Business flow</w:t>
      </w:r>
    </w:p>
    <w:p>
      <w:pPr>
        <w:pStyle w:val="ListNumber"/>
        <w:spacing w:after="60"/>
        <w:ind w:left="461" w:hanging="230"/>
      </w:pPr>
      <w:r>
        <w:t>Applicant submits the public form; the API validates input and writes an admissions row with an application number and a review status.</w:t>
      </w:r>
    </w:p>
    <w:p>
      <w:pPr>
        <w:pStyle w:val="ListNumber"/>
        <w:spacing w:after="60"/>
        <w:ind w:left="461" w:hanging="230"/>
      </w:pPr>
      <w:r>
        <w:t>An authorised Admin reviews the application. Rejection changes its status and is audited; approval calls sp_approve_admission.</w:t>
      </w:r>
    </w:p>
    <w:p>
      <w:pPr>
        <w:pStyle w:val="ListNumber"/>
        <w:spacing w:after="60"/>
        <w:ind w:left="461" w:hanging="230"/>
      </w:pPr>
      <w:r>
        <w:t>The approval procedure locks the application row, verifies it is still reviewable, resolves the program, current-year batch and STUDENT role, then creates the user, student and guardian, links the application, writes audit/notification rows and commits as one transaction.</w:t>
      </w:r>
    </w:p>
    <w:p>
      <w:pPr>
        <w:pStyle w:val="ListNumber"/>
        <w:spacing w:after="60"/>
        <w:ind w:left="461" w:hanging="230"/>
      </w:pPr>
      <w:r>
        <w:t>The latest backend creates a random temporary credential, stores only its bcrypt hash, marks the account for first-login password change, and returns the one-time credential only to the authorised admin response. Confirm the live UI/API before promising the presentation behavior.</w:t>
      </w:r>
    </w:p>
    <w:p>
      <w:pPr>
        <w:pStyle w:val="ListNumber"/>
        <w:spacing w:after="60"/>
        <w:ind w:left="461" w:hanging="230"/>
      </w:pPr>
      <w:r>
        <w:t>Other modules reference the same student_id; they do not create their own copy of the student.</w:t>
      </w:r>
    </w:p>
    <w:p>
      <w:pPr>
        <w:pStyle w:val="Heading2"/>
        <w:keepNext/>
        <w:spacing w:before="140" w:after="80"/>
      </w:pPr>
      <w:r>
        <w:t>How the rows connect</w:t>
      </w:r>
    </w:p>
    <w:p>
      <w:pPr>
        <w:pStyle w:val="ListBullet"/>
        <w:spacing w:after="60"/>
        <w:ind w:left="403" w:hanging="230"/>
      </w:pPr>
      <w:r>
        <w:t>users.user_id is unique in students.user_id: one login maps to at most one student profile; users.role_id references roles.role_id.</w:t>
      </w:r>
    </w:p>
    <w:p>
      <w:pPr>
        <w:pStyle w:val="ListBullet"/>
        <w:spacing w:after="60"/>
        <w:ind w:left="403" w:hanging="230"/>
      </w:pPr>
      <w:r>
        <w:t>students reference categories, departments, programs and batches by foreign key. Program and batch choices come from academic master data.</w:t>
      </w:r>
    </w:p>
    <w:p>
      <w:pPr>
        <w:pStyle w:val="ListBullet"/>
        <w:spacing w:after="60"/>
        <w:ind w:left="403" w:hanging="230"/>
      </w:pPr>
      <w:r>
        <w:t>admissions can link to students after approval; admissions also references its program, category, academic year and reviewing user.</w:t>
      </w:r>
    </w:p>
    <w:p>
      <w:pPr>
        <w:pStyle w:val="ListBullet"/>
        <w:spacing w:after="60"/>
        <w:ind w:left="403" w:hanging="230"/>
      </w:pPr>
      <w:r>
        <w:t>addresses and guardians are dependent student records; student_documents and student_status_history preserve supporting evidence and changes.</w:t>
      </w:r>
    </w:p>
    <w:p>
      <w:pPr>
        <w:pStyle w:val="ListBullet"/>
        <w:spacing w:after="60"/>
        <w:ind w:left="403" w:hanging="230"/>
      </w:pPr>
      <w:r>
        <w:t>After approval, the student_id is the join point for enrolments, attendance, exam registrations, fee bills, hostel applications and results.</w:t>
      </w:r>
    </w:p>
    <w:p>
      <w:pPr>
        <w:pStyle w:val="Heading1"/>
        <w:keepNext/>
        <w:spacing w:before="200" w:after="80"/>
      </w:pPr>
      <w:r>
        <w:t>6. DBMS objects and rules to defend</w:t>
      </w:r>
    </w:p>
    <w:p>
      <w:pPr>
        <w:pStyle w:val="ListBullet"/>
        <w:spacing w:after="60"/>
        <w:ind w:left="403" w:hanging="230"/>
      </w:pPr>
      <w:r>
        <w:t>Procedure: sp_approve_admission — review/approval, user + student creation and application linking in a transaction.</w:t>
      </w:r>
    </w:p>
    <w:p>
      <w:pPr>
        <w:pStyle w:val="ListBullet"/>
        <w:spacing w:after="60"/>
        <w:ind w:left="403" w:hanging="230"/>
      </w:pPr>
      <w:r>
        <w:t>Triggers: trg_admissions_bi_validate; trg_students_bi_validate; trg_students_bu_validate; trg_students_au_status_history.</w:t>
      </w:r>
    </w:p>
    <w:p>
      <w:pPr>
        <w:pStyle w:val="ListBullet"/>
        <w:spacing w:after="60"/>
        <w:ind w:left="403" w:hanging="230"/>
      </w:pPr>
      <w:r>
        <w:t>View: v_student_full_profile — read model for a joined profile (not a replacement base table).</w:t>
      </w:r>
    </w:p>
    <w:p>
      <w:pPr>
        <w:pStyle w:val="ListBullet"/>
        <w:spacing w:after="60"/>
        <w:ind w:left="403" w:hanging="230"/>
      </w:pPr>
      <w:r>
        <w:t>Constraints: unique login email, student email, roll_number, registration_number, application_no; foreign keys to users, categories, department, program, batch and academic year; lifecycle checks/status values.</w:t>
      </w:r>
    </w:p>
    <w:p>
      <w:pPr>
        <w:pStyle w:val="ListBullet"/>
        <w:spacing w:after="60"/>
        <w:ind w:left="403" w:hanging="230"/>
      </w:pPr>
      <w:r>
        <w:t>Migrations for an existing database: database/migrations/2026-10-10_approve_admission_credentials.sql and database/migrations/2026-10-10_unique_admission_email.sql. The base schema contains the current definition; preflight duplicate application emails before adding the unique key to older data.</w:t>
      </w:r>
    </w:p>
    <w:p>
      <w:pPr>
        <w:spacing w:after="100" w:line="252" w:lineRule="auto"/>
      </w:pPr>
      <w:r>
        <w:t>Use the ER diagram for cardinality, the data dictionary for exact column types/keys, and the SQL definition for actual enforcement. A view is a read model; it is not a base table. A UI validation message is not a database constraint.</w:t>
      </w:r>
    </w:p>
    <w:p>
      <w:pPr>
        <w:pStyle w:val="Heading1"/>
        <w:keepNext/>
        <w:spacing w:before="200" w:after="80"/>
      </w:pPr>
      <w:r>
        <w:t>7. Live demonstration sequence</w:t>
      </w:r>
    </w:p>
    <w:p>
      <w:pPr>
        <w:pStyle w:val="ListNumber"/>
        <w:spacing w:after="60"/>
        <w:ind w:left="461" w:hanging="230"/>
      </w:pPr>
      <w:r>
        <w:t>Use a fresh, unique email ending in example.com; do not enter a real applicant’s personal data.</w:t>
      </w:r>
    </w:p>
    <w:p>
      <w:pPr>
        <w:pStyle w:val="ListNumber"/>
        <w:spacing w:after="60"/>
        <w:ind w:left="461" w:hanging="230"/>
      </w:pPr>
      <w:r>
        <w:t>Open /admissions/apply and submit a complete application; note the generated application number and status.</w:t>
      </w:r>
    </w:p>
    <w:p>
      <w:pPr>
        <w:pStyle w:val="ListNumber"/>
        <w:spacing w:after="60"/>
        <w:ind w:left="461" w:hanging="230"/>
      </w:pPr>
      <w:r>
        <w:t>Sign in as the seeded ADMIN demo account, open Admissions, inspect the row, then approve it. Show the server-confirmed response, created roll number, linked student and audit entry.</w:t>
      </w:r>
    </w:p>
    <w:p>
      <w:pPr>
        <w:pStyle w:val="ListNumber"/>
        <w:spacing w:after="60"/>
        <w:ind w:left="461" w:hanging="230"/>
      </w:pPr>
      <w:r>
        <w:t>Open the student detail page and show how addresses, guardian, documents/status history and cross-module summaries attach to one student.</w:t>
      </w:r>
    </w:p>
    <w:p>
      <w:pPr>
        <w:pStyle w:val="ListNumber"/>
        <w:spacing w:after="60"/>
        <w:ind w:left="461" w:hanging="230"/>
      </w:pPr>
      <w:r>
        <w:t>If time allows, use a second clearly synthetic application to demonstrate rejection and its status/audit trail.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7F4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65D"/>
                <w:sz w:val="20"/>
              </w:rPr>
              <w:t>Success-message rule</w:t>
            </w:r>
          </w:p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Only treat an operation as successful after the API confirms it. If the API/database is unavailable, switch to a recorded screenshot or explain the source path; do not imply that a frontend-only preview proves database behavior.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Test and verification plan</w:t>
      </w:r>
    </w:p>
    <w:p>
      <w:pPr>
        <w:pStyle w:val="ListBullet"/>
        <w:spacing w:after="60"/>
        <w:ind w:left="403" w:hanging="230"/>
      </w:pPr>
      <w:r>
        <w:t>tests/api/workflow.py: creates a synthetic student through the API, reads it back, soft-deletes it, submits a public application and approves the application through the workflow.</w:t>
      </w:r>
    </w:p>
    <w:p>
      <w:pPr>
        <w:pStyle w:val="ListBullet"/>
        <w:spacing w:after="60"/>
        <w:ind w:left="403" w:hanging="230"/>
      </w:pPr>
      <w:r>
        <w:t>tests/api/smoke.sh: documented route/status and role-authorization coverage; run against the same seeded database and API build you present.</w:t>
      </w:r>
    </w:p>
    <w:p>
      <w:pPr>
        <w:pStyle w:val="ListBullet"/>
        <w:spacing w:after="60"/>
        <w:ind w:left="403" w:hanging="230"/>
      </w:pPr>
      <w:r>
        <w:t>tests/db/test_rules.sql: database-side rule checks; inspect the admission/student assertions before selecting a claim to demonstrate.</w:t>
      </w:r>
    </w:p>
    <w:p>
      <w:pPr>
        <w:pStyle w:val="ListBullet"/>
        <w:spacing w:after="60"/>
        <w:ind w:left="403" w:hanging="230"/>
      </w:pPr>
      <w:r>
        <w:t>Builds: npm run build in backend and frontend. Database-backed tests need MariaDB/MySQL and the API; they cannot be inferred from a frontend-only preview.</w:t>
      </w:r>
    </w:p>
    <w:p>
      <w:pPr>
        <w:pStyle w:val="Heading2"/>
        <w:keepNext/>
        <w:spacing w:before="140" w:after="80"/>
      </w:pPr>
      <w:r>
        <w:t>Commands to run from the repository root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frontend &amp;&amp; npm run build)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bash tests/api/smoke.sh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python3 tests/api/workflow.py</w:t>
      </w:r>
    </w:p>
    <w:p>
      <w:pPr>
        <w:keepLines/>
        <w:spacing w:after="30"/>
        <w:ind w:left="230"/>
      </w:pPr>
      <w:r>
        <w:rPr>
          <w:rFonts w:ascii="Consolas" w:hAnsi="Consolas"/>
          <w:color w:val="1F4E79"/>
          <w:sz w:val="16"/>
        </w:rPr>
        <w:t>(cd backend &amp;&amp; npm run test:db)</w:t>
      </w:r>
    </w:p>
    <w:p>
      <w:pPr>
        <w:spacing w:after="100" w:line="252" w:lineRule="auto"/>
      </w:pPr>
      <w:r>
        <w:t>The API/database commands require the matching service and a seeded disposable database. Use the exact current output in your presentation; do not copy an old pass count from a report without reproducing it.</w:t>
      </w:r>
    </w:p>
    <w:p>
      <w:pPr>
        <w:pStyle w:val="Heading1"/>
        <w:keepNext/>
        <w:spacing w:before="200" w:after="80"/>
      </w:pPr>
      <w:r>
        <w:t>9. Likely viva questions with model answers</w:t>
      </w:r>
    </w:p>
    <w:p>
      <w:pPr>
        <w:keepNext/>
        <w:spacing w:before="100" w:after="20"/>
      </w:pPr>
      <w:r>
        <w:rPr>
          <w:b/>
          <w:color w:val="17365D"/>
        </w:rPr>
        <w:t>Q1. Why keep admissions separate from students?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An application is a candidate workflow with a review lifecycle; a student is an active institutional master used by downstream modules. Keeping separate rows prevents unapproved candidates from becoming enrolled student records.</w:t>
      </w:r>
    </w:p>
    <w:p>
      <w:pPr>
        <w:keepNext/>
        <w:spacing w:before="100" w:after="20"/>
      </w:pPr>
      <w:r>
        <w:rPr>
          <w:b/>
          <w:color w:val="17365D"/>
        </w:rPr>
        <w:t>Q2. What does the approval transaction protect?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It makes account creation, student creation, guardian insertion, application linkage, audit and notification an all-or-nothing unit. If an insert or constraint fails, the procedure rolls back instead of leaving a half-approved record.</w:t>
      </w:r>
    </w:p>
    <w:p>
      <w:pPr>
        <w:keepNext/>
        <w:spacing w:before="100" w:after="20"/>
      </w:pPr>
      <w:r>
        <w:rPr>
          <w:b/>
          <w:color w:val="17365D"/>
        </w:rPr>
        <w:t>Q3. How does the system prevent a student from having duplicate identity values?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Unique constraints protect roll_number, registration_number, email and user linkage at the database level; request validation provides clearer early messages but is not the final integrity boundary.</w:t>
      </w:r>
    </w:p>
    <w:p>
      <w:pPr>
        <w:keepNext/>
        <w:spacing w:before="100" w:after="20"/>
      </w:pPr>
      <w:r>
        <w:rPr>
          <w:b/>
          <w:color w:val="17365D"/>
        </w:rPr>
        <w:t>Q4. Why do students and faculty have separate profile tables from users?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users is the shared authentication identity. The student/faculty tables hold role-specific domain attributes and each has a unique FK to users, so login and domain data remain separated without duplicate credentials.</w:t>
      </w:r>
    </w:p>
    <w:p>
      <w:pPr>
        <w:keepNext/>
        <w:spacing w:before="100" w:after="20"/>
      </w:pPr>
      <w:r>
        <w:rPr>
          <w:b/>
          <w:color w:val="17365D"/>
        </w:rPr>
        <w:t>Q5. Why are addresses and guardians separate tables?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A person may have different address types and more than one guardian. Separate dependent rows avoid repeating groups and make the relationships explicit.</w:t>
      </w:r>
    </w:p>
    <w:p>
      <w:pPr>
        <w:keepNext/>
        <w:spacing w:before="100" w:after="20"/>
      </w:pPr>
      <w:r>
        <w:rPr>
          <w:b/>
          <w:color w:val="17365D"/>
        </w:rPr>
        <w:t>Q6. What is the temporary-password design?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service generates a random one-time password and hashes it with bcrypt before storage. The database receives a hash, not plaintext; the account is marked for first-login change. The one-time plaintext is not meant to be recoverable later.</w:t>
      </w:r>
    </w:p>
    <w:p>
      <w:pPr>
        <w:keepNext/>
        <w:spacing w:before="100" w:after="20"/>
      </w:pPr>
      <w:r>
        <w:rPr>
          <w:b/>
          <w:color w:val="17365D"/>
        </w:rPr>
        <w:t>Q7. How is Admin-only approval enforced?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frontend can hide controls, but the backend route applies JWT authentication and role checks. The procedure enforces lifecycle/data integrity; it does not replace API authorization.</w:t>
      </w:r>
    </w:p>
    <w:p>
      <w:pPr>
        <w:keepNext/>
        <w:spacing w:before="100" w:after="20"/>
      </w:pPr>
      <w:r>
        <w:rPr>
          <w:b/>
          <w:color w:val="17365D"/>
        </w:rPr>
        <w:t>Q8. Are the seeded student records real PICT students?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No. Student, faculty, attendance, marks, fees and hostel rows are generated demo data. The real institute identity/logo is separate from those synthetic records.</w:t>
      </w:r>
    </w:p>
    <w:p>
      <w:pPr>
        <w:keepNext/>
        <w:spacing w:before="100" w:after="20"/>
      </w:pPr>
      <w:r>
        <w:rPr>
          <w:b/>
          <w:color w:val="17365D"/>
        </w:rPr>
        <w:t>Q9. Why does the approval routine need a current-year batch?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student row has a batch FK. The procedure selects an active batch for the chosen program and academic year; if that master data is absent, approval is refused rather than inserting an orphan or mismatched student.</w:t>
      </w:r>
    </w:p>
    <w:p>
      <w:pPr>
        <w:keepNext/>
        <w:spacing w:before="100" w:after="20"/>
      </w:pPr>
      <w:r>
        <w:rPr>
          <w:b/>
          <w:color w:val="17365D"/>
        </w:rPr>
        <w:t>Q10. What if duplicate applications race at the same time?</w:t>
      </w:r>
    </w:p>
    <w:p>
      <w:pPr>
        <w:spacing w:after="80" w:line="247" w:lineRule="auto"/>
        <w:ind w:left="259"/>
      </w:pPr>
      <w:r>
        <w:rPr>
          <w:b/>
          <w:color w:val="1F7A8C"/>
        </w:rPr>
        <w:t xml:space="preserve">Answer: </w:t>
      </w:r>
      <w:r>
        <w:t>The API can give an early friendly check, while the unique admissions email key is the concurrency-safe final guard. The database constraint wins even if two requests pass the same pre-check.</w:t>
      </w:r>
    </w:p>
    <w:p>
      <w:pPr>
        <w:pStyle w:val="Heading1"/>
        <w:keepNext/>
        <w:spacing w:before="200" w:after="80"/>
      </w:pPr>
      <w:r>
        <w:t>10. Group rehearsal checklist</w:t>
      </w:r>
    </w:p>
    <w:p>
      <w:pPr>
        <w:pStyle w:val="ListBullet"/>
        <w:spacing w:after="60"/>
        <w:ind w:left="403" w:hanging="230"/>
      </w:pPr>
      <w:r>
        <w:t>Be able to trace one application number to admissions.admission_id, students.student_id and users.user_id.</w:t>
      </w:r>
    </w:p>
    <w:p>
      <w:pPr>
        <w:pStyle w:val="ListBullet"/>
        <w:spacing w:after="60"/>
        <w:ind w:left="403" w:hanging="230"/>
      </w:pPr>
      <w:r>
        <w:t>Name the exact approval procedure and explain the transaction in under 30 seconds.</w:t>
      </w:r>
    </w:p>
    <w:p>
      <w:pPr>
        <w:pStyle w:val="ListBullet"/>
        <w:spacing w:after="60"/>
        <w:ind w:left="403" w:hanging="230"/>
      </w:pPr>
      <w:r>
        <w:t>Show where email/roll/registration uniqueness is enforced and what error the API returns.</w:t>
      </w:r>
    </w:p>
    <w:p>
      <w:pPr>
        <w:pStyle w:val="ListBullet"/>
        <w:spacing w:after="60"/>
        <w:ind w:left="403" w:hanging="230"/>
      </w:pPr>
      <w:r>
        <w:t>Use only a disposable database and synthetic email; capture the successful approval response before the session.</w:t>
      </w:r>
    </w:p>
    <w:p>
      <w:pPr>
        <w:pStyle w:val="Heading1"/>
        <w:keepNext/>
        <w:spacing w:before="200" w:after="80"/>
      </w:pPr>
      <w:r>
        <w:t>Repository references</w:t>
      </w:r>
    </w:p>
    <w:p>
      <w:pPr>
        <w:pStyle w:val="ListBullet"/>
        <w:spacing w:after="60"/>
        <w:ind w:left="403" w:hanging="230"/>
      </w:pPr>
      <w:r>
        <w:t>docs/MODULE_INTEGRATION.md §3 Module 1</w:t>
      </w:r>
    </w:p>
    <w:p>
      <w:pPr>
        <w:pStyle w:val="ListBullet"/>
        <w:spacing w:after="60"/>
        <w:ind w:left="403" w:hanging="230"/>
      </w:pPr>
      <w:r>
        <w:t>docs/DATA_DICTIONARY.md §§0–1</w:t>
      </w:r>
    </w:p>
    <w:p>
      <w:pPr>
        <w:pStyle w:val="ListBullet"/>
        <w:spacing w:after="60"/>
        <w:ind w:left="403" w:hanging="230"/>
      </w:pPr>
      <w:r>
        <w:t>docs/ER_DIAGRAMS.md and docs/er/er_module1_student_admission.svg</w:t>
      </w:r>
    </w:p>
    <w:p>
      <w:pPr>
        <w:pStyle w:val="ListBullet"/>
        <w:spacing w:after="60"/>
        <w:ind w:left="403" w:hanging="230"/>
      </w:pPr>
      <w:r>
        <w:t>database/05_procedures.sql: sp_approve_admission</w:t>
      </w:r>
    </w:p>
    <w:p>
      <w:pPr>
        <w:pStyle w:val="ListBullet"/>
        <w:spacing w:after="60"/>
        <w:ind w:left="403" w:hanging="230"/>
      </w:pPr>
      <w:r>
        <w:t>database/06_triggers.sql: admission/student guards</w:t>
      </w:r>
    </w:p>
    <w:p>
      <w:pPr>
        <w:pStyle w:val="ListBullet"/>
        <w:spacing w:after="60"/>
        <w:ind w:left="403" w:hanging="230"/>
      </w:pPr>
      <w:r>
        <w:t>database/migrations/</w:t>
      </w:r>
    </w:p>
    <w:p>
      <w:pPr>
        <w:pStyle w:val="ListBullet"/>
        <w:spacing w:after="60"/>
        <w:ind w:left="403" w:hanging="230"/>
      </w:pPr>
      <w:r>
        <w:t>tests/api/workflow.py</w:t>
      </w:r>
    </w:p>
    <w:p>
      <w:pPr>
        <w:spacing w:after="100" w:line="252" w:lineRule="auto"/>
      </w:pPr>
      <w:r>
        <w:t>Prepared from university-erp; all generated people, attendance, marks, fee and hostel records are demo data unless a source explicitly identifies institution-level facts. Prepared 17 October 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5B6573"/>
        <w:sz w:val="16"/>
      </w:rPr>
      <w:t>DBMS M7 • Study and viva preparation • Generated demo data only</w:t>
    </w:r>
  </w:p>
  <w:p>
    <w:pPr>
      <w:jc w:val="right"/>
    </w:pPr>
    <w:r>
      <w:rPr>
        <w:color w:val="5B65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6"/>
      </w:rPr>
      <w:t>PICT ERP  |  Group 1 · Student &amp; Admission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7A8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1 · Student &amp; Admission</dc:title>
  <dc:subject>Repository-grounded DBMS module and viva preparation</dc:subject>
  <dc:creator>University ERP M7 Study Guide</dc:creator>
  <cp:keywords>PICT ERP, DBMS, viva, study guide, MariaDB,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