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ict-logo-256.png"/>
                    <pic:cNvPicPr/>
                  </pic:nvPicPr>
                  <pic:blipFill>
                    <a:blip r:embed="rId11"/>
                    <a:stretch>
                      <a:fillRect/>
                    </a:stretch>
                  </pic:blipFill>
                  <pic:spPr>
                    <a:xfrm>
                      <a:off x="0" y="0"/>
                      <a:ext cx="914400" cy="914400"/>
                    </a:xfrm>
                    <a:prstGeom prst="rect"/>
                  </pic:spPr>
                </pic:pic>
              </a:graphicData>
            </a:graphic>
          </wp:inline>
        </w:drawing>
      </w:r>
    </w:p>
    <w:p>
      <w:pPr>
        <w:spacing w:before="100" w:after="40"/>
        <w:jc w:val="center"/>
      </w:pPr>
      <w:r>
        <w:rPr>
          <w:b/>
          <w:color w:val="1F7A8C"/>
          <w:sz w:val="22"/>
        </w:rPr>
        <w:t>PICT • UNIVERSITY HIGHER EDUCATION ERP</w:t>
      </w:r>
    </w:p>
    <w:p>
      <w:pPr>
        <w:pStyle w:val="Title"/>
        <w:spacing w:before="200" w:after="140"/>
        <w:jc w:val="center"/>
      </w:pPr>
      <w:r>
        <w:t>Module 4 Study Guide</w:t>
      </w:r>
    </w:p>
    <w:p>
      <w:pPr>
        <w:spacing w:after="200"/>
        <w:jc w:val="center"/>
      </w:pPr>
      <w:r>
        <w:rPr>
          <w:color w:val="1F4E79"/>
          <w:sz w:val="28"/>
        </w:rPr>
        <w:t>Examination &amp; Results</w:t>
      </w:r>
    </w:p>
    <w:p>
      <w:pPr>
        <w:spacing w:after="360"/>
        <w:jc w:val="center"/>
      </w:pPr>
      <w:r>
        <w:rPr>
          <w:b/>
          <w:color w:val="17365D"/>
          <w:sz w:val="22"/>
        </w:rPr>
        <w:t>GROUP 4  •  MODULE 4</w:t>
      </w:r>
    </w:p>
    <w:p>
      <w:pPr>
        <w:spacing w:after="120"/>
        <w:jc w:val="center"/>
      </w:pPr>
      <w:r>
        <w:t>Repository-grounded edition • 17 October 2026</w:t>
      </w:r>
    </w:p>
    <w:p>
      <w:pPr>
        <w:spacing w:after="80"/>
        <w:jc w:val="center"/>
      </w:pPr>
      <w:r>
        <w:t>Prepared from the checked-in project docs, SQL schema, source paths and test scripts.</w:t>
      </w:r>
    </w:p>
    <w:p>
      <w:pPr>
        <w:spacing w:after="320"/>
        <w:jc w:val="center"/>
      </w:pPr>
      <w:r>
        <w:rPr>
          <w:color w:val="5B6573"/>
          <w:sz w:val="18"/>
        </w:rPr>
        <w:t>Presenters: ______________________________________________</w:t>
      </w:r>
    </w:p>
    <w:tbl>
      <w:tblPr>
        <w:tblW w:type="auto" w:w="0"/>
        <w:tblLayout w:type="autofit"/>
        <w:tblLook w:firstColumn="1" w:firstRow="1" w:lastColumn="0" w:lastRow="0" w:noHBand="0" w:noVBand="1" w:val="04A0"/>
      </w:tblPr>
      <w:tblGrid>
        <w:gridCol w:w="9835"/>
      </w:tblGrid>
      <w:tr>
        <w:tc>
          <w:tcPr>
            <w:tcW w:type="dxa" w:w="9835"/>
            <w:shd w:fill="E7F4F3"/>
            <w:tcMar>
              <w:top w:w="120" w:type="dxa"/>
              <w:start w:w="150" w:type="dxa"/>
              <w:bottom w:w="120" w:type="dxa"/>
              <w:end w:w="150" w:type="dxa"/>
            </w:tcMar>
          </w:tcPr>
          <w:p>
            <w:pPr>
              <w:spacing w:after="60"/>
            </w:pPr>
            <w:r/>
            <w:r>
              <w:rPr>
                <w:rFonts w:ascii="Calibri" w:hAnsi="Calibri"/>
                <w:b/>
                <w:color w:val="17365D"/>
                <w:sz w:val="20"/>
              </w:rPr>
              <w:t>Defense rule</w:t>
            </w:r>
          </w:p>
          <w:p>
            <w:pPr>
              <w:spacing w:after="0"/>
            </w:pPr>
            <w:r>
              <w:rPr>
                <w:rFonts w:ascii="Calibri" w:hAnsi="Calibri"/>
                <w:color w:val="263238"/>
                <w:sz w:val="18"/>
              </w:rPr>
              <w:t>Explain what the current source and a reproducible test prove. Distinguish documented intent from verified behavior, and label seeded people/transactions as generated demo data.</w:t>
            </w:r>
          </w:p>
        </w:tc>
      </w:tr>
    </w:tbl>
    <w:p>
      <w:pPr>
        <w:spacing w:after="0"/>
      </w:pPr>
    </w:p>
    <w:p>
      <w:r>
        <w:br w:type="page"/>
      </w:r>
    </w:p>
    <w:p>
      <w:pPr>
        <w:pStyle w:val="Heading1"/>
        <w:keepNext/>
        <w:spacing w:before="200" w:after="80"/>
      </w:pPr>
      <w:r>
        <w:t>1. What the group owns</w:t>
      </w:r>
    </w:p>
    <w:p>
      <w:pPr>
        <w:spacing w:after="100" w:line="252" w:lineRule="auto"/>
      </w:pPr>
      <w:r>
        <w:t>Schedule examinations, enforce eligibility at registration, issue hall-ticket numbers, record marks, derive grades/points, process semester performance and publish results to students.</w:t>
      </w:r>
    </w:p>
    <w:tbl>
      <w:tblPr>
        <w:tblW w:type="auto" w:w="0"/>
        <w:tblLayout w:type="autofit"/>
        <w:tblLook w:firstColumn="1" w:firstRow="1" w:lastColumn="0" w:lastRow="0" w:noHBand="0" w:noVBand="1" w:val="04A0"/>
      </w:tblPr>
      <w:tblGrid>
        <w:gridCol w:w="9835"/>
      </w:tblGrid>
      <w:tr>
        <w:tc>
          <w:tcPr>
            <w:tcW w:type="dxa" w:w="9835"/>
            <w:shd w:fill="EAF1F8"/>
            <w:tcMar>
              <w:top w:w="120" w:type="dxa"/>
              <w:start w:w="150" w:type="dxa"/>
              <w:bottom w:w="120" w:type="dxa"/>
              <w:end w:w="150" w:type="dxa"/>
            </w:tcMar>
          </w:tcPr>
          <w:p>
            <w:pPr>
              <w:spacing w:after="60"/>
            </w:pPr>
            <w:r/>
            <w:r>
              <w:rPr>
                <w:rFonts w:ascii="Calibri" w:hAnsi="Calibri"/>
                <w:b/>
                <w:color w:val="17365D"/>
                <w:sz w:val="20"/>
              </w:rPr>
              <w:t>One-sentence answer</w:t>
            </w:r>
          </w:p>
          <w:p>
            <w:pPr>
              <w:spacing w:after="0"/>
            </w:pPr>
            <w:r>
              <w:rPr>
                <w:rFonts w:ascii="Calibri" w:hAnsi="Calibri"/>
                <w:color w:val="263238"/>
                <w:sz w:val="18"/>
              </w:rPr>
              <w:t>The Examination &amp; Results module owns its domain workflow and tables, but integrates with the shared users, students/faculty, academic masters and audit/notification services rather than becoming a separate application.</w:t>
            </w:r>
          </w:p>
        </w:tc>
      </w:tr>
    </w:tbl>
    <w:p>
      <w:pPr>
        <w:spacing w:after="0"/>
      </w:pPr>
    </w:p>
    <w:p>
      <w:pPr>
        <w:pStyle w:val="Heading1"/>
        <w:keepNext/>
        <w:spacing w:before="200" w:after="80"/>
      </w:pPr>
      <w:r>
        <w:t>2. Files to study and present</w:t>
      </w:r>
    </w:p>
    <w:p>
      <w:pPr>
        <w:spacing w:after="100" w:line="252" w:lineRule="auto"/>
      </w:pPr>
      <w:r>
        <w:t>Read the UI and API paths first; then trace one write down to its stored procedure/constraint and one read back from the database.</w:t>
      </w:r>
    </w:p>
    <w:p>
      <w:pPr>
        <w:pStyle w:val="Heading2"/>
        <w:keepNext/>
        <w:spacing w:before="140" w:after="80"/>
      </w:pPr>
      <w:r>
        <w:t>Frontend pages</w:t>
      </w:r>
    </w:p>
    <w:p>
      <w:pPr>
        <w:keepLines/>
        <w:spacing w:after="30"/>
        <w:ind w:left="230"/>
      </w:pPr>
      <w:r>
        <w:rPr>
          <w:rFonts w:ascii="Consolas" w:hAnsi="Consolas"/>
          <w:color w:val="1F4E79"/>
          <w:sz w:val="16"/>
        </w:rPr>
        <w:t>frontend/src/pages/exams/ExamsPage.tsx</w:t>
      </w:r>
    </w:p>
    <w:p>
      <w:pPr>
        <w:keepLines/>
        <w:spacing w:after="30"/>
        <w:ind w:left="230"/>
      </w:pPr>
      <w:r>
        <w:rPr>
          <w:rFonts w:ascii="Consolas" w:hAnsi="Consolas"/>
          <w:color w:val="1F4E79"/>
          <w:sz w:val="16"/>
        </w:rPr>
        <w:t>frontend/src/pages/exams/ExamRegistrationsPage.tsx</w:t>
      </w:r>
    </w:p>
    <w:p>
      <w:pPr>
        <w:keepLines/>
        <w:spacing w:after="30"/>
        <w:ind w:left="230"/>
      </w:pPr>
      <w:r>
        <w:rPr>
          <w:rFonts w:ascii="Consolas" w:hAnsi="Consolas"/>
          <w:color w:val="1F4E79"/>
          <w:sz w:val="16"/>
        </w:rPr>
        <w:t>frontend/src/pages/exams/MarksPage.tsx</w:t>
      </w:r>
    </w:p>
    <w:p>
      <w:pPr>
        <w:keepLines/>
        <w:spacing w:after="30"/>
        <w:ind w:left="230"/>
      </w:pPr>
      <w:r>
        <w:rPr>
          <w:rFonts w:ascii="Consolas" w:hAnsi="Consolas"/>
          <w:color w:val="1F4E79"/>
          <w:sz w:val="16"/>
        </w:rPr>
        <w:t>frontend/src/pages/exams/ResultsPage.tsx</w:t>
      </w:r>
    </w:p>
    <w:p>
      <w:pPr>
        <w:keepLines/>
        <w:spacing w:after="30"/>
        <w:ind w:left="230"/>
      </w:pPr>
      <w:r>
        <w:rPr>
          <w:rFonts w:ascii="Consolas" w:hAnsi="Consolas"/>
          <w:color w:val="1F4E79"/>
          <w:sz w:val="16"/>
        </w:rPr>
        <w:t>frontend/src/pages/exams/HallTicketPage.tsx</w:t>
      </w:r>
    </w:p>
    <w:p>
      <w:pPr>
        <w:pStyle w:val="Heading2"/>
        <w:keepNext/>
        <w:spacing w:before="140" w:after="80"/>
      </w:pPr>
      <w:r>
        <w:t>Backend route-to-data path</w:t>
      </w:r>
    </w:p>
    <w:p>
      <w:pPr>
        <w:keepLines/>
        <w:spacing w:after="30"/>
        <w:ind w:left="230"/>
      </w:pPr>
      <w:r>
        <w:rPr>
          <w:rFonts w:ascii="Consolas" w:hAnsi="Consolas"/>
          <w:color w:val="1F4E79"/>
          <w:sz w:val="16"/>
        </w:rPr>
        <w:t>backend/src/routes/exam.routes.ts</w:t>
      </w:r>
    </w:p>
    <w:p>
      <w:pPr>
        <w:keepLines/>
        <w:spacing w:after="30"/>
        <w:ind w:left="230"/>
      </w:pPr>
      <w:r>
        <w:rPr>
          <w:rFonts w:ascii="Consolas" w:hAnsi="Consolas"/>
          <w:color w:val="1F4E79"/>
          <w:sz w:val="16"/>
        </w:rPr>
        <w:t>backend/src/controllers/exam.controller.ts</w:t>
      </w:r>
    </w:p>
    <w:p>
      <w:pPr>
        <w:keepLines/>
        <w:spacing w:after="30"/>
        <w:ind w:left="230"/>
      </w:pPr>
      <w:r>
        <w:rPr>
          <w:rFonts w:ascii="Consolas" w:hAnsi="Consolas"/>
          <w:color w:val="1F4E79"/>
          <w:sz w:val="16"/>
        </w:rPr>
        <w:t>backend/src/services/exam.service.ts</w:t>
      </w:r>
    </w:p>
    <w:p>
      <w:pPr>
        <w:keepLines/>
        <w:spacing w:after="30"/>
        <w:ind w:left="230"/>
      </w:pPr>
      <w:r>
        <w:rPr>
          <w:rFonts w:ascii="Consolas" w:hAnsi="Consolas"/>
          <w:color w:val="1F4E79"/>
          <w:sz w:val="16"/>
        </w:rPr>
        <w:t>backend/src/repositories/exam.repository.ts</w:t>
      </w:r>
    </w:p>
    <w:p>
      <w:pPr>
        <w:keepLines/>
        <w:spacing w:after="30"/>
        <w:ind w:left="230"/>
      </w:pPr>
      <w:r>
        <w:rPr>
          <w:rFonts w:ascii="Consolas" w:hAnsi="Consolas"/>
          <w:color w:val="1F4E79"/>
          <w:sz w:val="16"/>
        </w:rPr>
        <w:t>frontend/src/App.tsx</w:t>
      </w:r>
    </w:p>
    <w:p>
      <w:pPr>
        <w:keepLines/>
        <w:spacing w:after="30"/>
        <w:ind w:left="230"/>
      </w:pPr>
      <w:r>
        <w:rPr>
          <w:rFonts w:ascii="Consolas" w:hAnsi="Consolas"/>
          <w:color w:val="1F4E79"/>
          <w:sz w:val="16"/>
        </w:rPr>
        <w:t>frontend/src/components/AppShell.tsx</w:t>
      </w:r>
    </w:p>
    <w:p>
      <w:pPr>
        <w:keepLines/>
        <w:spacing w:after="30"/>
        <w:ind w:left="230"/>
      </w:pPr>
      <w:r>
        <w:rPr>
          <w:rFonts w:ascii="Consolas" w:hAnsi="Consolas"/>
          <w:color w:val="1F4E79"/>
          <w:sz w:val="16"/>
        </w:rPr>
        <w:t>frontend/src/lib/api.ts</w:t>
      </w:r>
    </w:p>
    <w:p>
      <w:pPr>
        <w:keepLines/>
        <w:spacing w:after="30"/>
        <w:ind w:left="230"/>
      </w:pPr>
      <w:r>
        <w:rPr>
          <w:rFonts w:ascii="Consolas" w:hAnsi="Consolas"/>
          <w:color w:val="1F4E79"/>
          <w:sz w:val="16"/>
        </w:rPr>
        <w:t>backend/src/routes/index.ts</w:t>
      </w:r>
    </w:p>
    <w:p>
      <w:pPr>
        <w:keepLines/>
        <w:spacing w:after="30"/>
        <w:ind w:left="230"/>
      </w:pPr>
      <w:r>
        <w:rPr>
          <w:rFonts w:ascii="Consolas" w:hAnsi="Consolas"/>
          <w:color w:val="1F4E79"/>
          <w:sz w:val="16"/>
        </w:rPr>
        <w:t>backend/src/middleware/auth.ts</w:t>
      </w:r>
    </w:p>
    <w:p>
      <w:pPr>
        <w:keepLines/>
        <w:spacing w:after="30"/>
        <w:ind w:left="230"/>
      </w:pPr>
      <w:r>
        <w:rPr>
          <w:rFonts w:ascii="Consolas" w:hAnsi="Consolas"/>
          <w:color w:val="1F4E79"/>
          <w:sz w:val="16"/>
        </w:rPr>
        <w:t>backend/src/middleware/validate.ts</w:t>
      </w:r>
    </w:p>
    <w:p>
      <w:pPr>
        <w:keepLines/>
        <w:spacing w:after="30"/>
        <w:ind w:left="230"/>
      </w:pPr>
      <w:r>
        <w:rPr>
          <w:rFonts w:ascii="Consolas" w:hAnsi="Consolas"/>
          <w:color w:val="1F4E79"/>
          <w:sz w:val="16"/>
        </w:rPr>
        <w:t>backend/src/config/database.ts</w:t>
      </w:r>
    </w:p>
    <w:p>
      <w:pPr>
        <w:pStyle w:val="Heading1"/>
        <w:keepNext/>
        <w:spacing w:before="200" w:after="80"/>
      </w:pPr>
      <w:r>
        <w:t>Stack and request architecture</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356"/>
            <w:vAlign w:val="center"/>
            <w:tcMar>
              <w:top w:w="65" w:type="dxa"/>
              <w:start w:w="85" w:type="dxa"/>
              <w:bottom w:w="65" w:type="dxa"/>
              <w:end w:w="85" w:type="dxa"/>
            </w:tcMar>
            <w:shd w:fill="17365D"/>
          </w:tcPr>
          <w:p>
            <w:pPr>
              <w:spacing w:after="0" w:before="0"/>
            </w:pPr>
            <w:r/>
            <w:r>
              <w:rPr>
                <w:rFonts w:ascii="Calibri" w:hAnsi="Calibri"/>
                <w:b/>
                <w:color w:val="FFFFFF"/>
                <w:sz w:val="16"/>
              </w:rPr>
              <w:t>Layer</w:t>
            </w:r>
          </w:p>
        </w:tc>
        <w:tc>
          <w:tcPr>
            <w:tcW w:type="dxa" w:w="3458"/>
            <w:vAlign w:val="center"/>
            <w:tcMar>
              <w:top w:w="65" w:type="dxa"/>
              <w:start w:w="85" w:type="dxa"/>
              <w:bottom w:w="65" w:type="dxa"/>
              <w:end w:w="85" w:type="dxa"/>
            </w:tcMar>
            <w:shd w:fill="17365D"/>
          </w:tcPr>
          <w:p>
            <w:pPr>
              <w:spacing w:after="0" w:before="0"/>
            </w:pPr>
            <w:r/>
            <w:r>
              <w:rPr>
                <w:rFonts w:ascii="Calibri" w:hAnsi="Calibri"/>
                <w:b/>
                <w:color w:val="FFFFFF"/>
                <w:sz w:val="16"/>
              </w:rPr>
              <w:t>What this project uses</w:t>
            </w:r>
          </w:p>
        </w:tc>
        <w:tc>
          <w:tcPr>
            <w:tcW w:type="dxa" w:w="4949"/>
            <w:vAlign w:val="center"/>
            <w:tcMar>
              <w:top w:w="65" w:type="dxa"/>
              <w:start w:w="85" w:type="dxa"/>
              <w:bottom w:w="65" w:type="dxa"/>
              <w:end w:w="85" w:type="dxa"/>
            </w:tcMar>
            <w:shd w:fill="17365D"/>
          </w:tcPr>
          <w:p>
            <w:pPr>
              <w:spacing w:after="0" w:before="0"/>
            </w:pPr>
            <w:r/>
            <w:r>
              <w:rPr>
                <w:rFonts w:ascii="Calibri" w:hAnsi="Calibri"/>
                <w:b/>
                <w:color w:val="FFFFFF"/>
                <w:sz w:val="16"/>
              </w:rPr>
              <w:t>Viva point</w:t>
            </w:r>
          </w:p>
        </w:tc>
      </w:tr>
      <w:tr>
        <w:tc>
          <w:tcPr>
            <w:tcW w:type="dxa" w:w="1356"/>
            <w:vAlign w:val="center"/>
            <w:tcMar>
              <w:top w:w="65" w:type="dxa"/>
              <w:start w:w="85" w:type="dxa"/>
              <w:bottom w:w="65" w:type="dxa"/>
              <w:end w:w="85" w:type="dxa"/>
            </w:tcMar>
          </w:tcPr>
          <w:p>
            <w:pPr>
              <w:spacing w:after="0" w:before="0"/>
            </w:pPr>
            <w:r/>
            <w:r>
              <w:rPr>
                <w:rFonts w:ascii="Calibri" w:hAnsi="Calibri"/>
                <w:b w:val="0"/>
                <w:color w:val="263238"/>
                <w:sz w:val="16"/>
              </w:rPr>
              <w:t>Frontend</w:t>
            </w:r>
          </w:p>
        </w:tc>
        <w:tc>
          <w:tcPr>
            <w:tcW w:type="dxa" w:w="3458"/>
            <w:vAlign w:val="center"/>
            <w:tcMar>
              <w:top w:w="65" w:type="dxa"/>
              <w:start w:w="85" w:type="dxa"/>
              <w:bottom w:w="65" w:type="dxa"/>
              <w:end w:w="85" w:type="dxa"/>
            </w:tcMar>
          </w:tcPr>
          <w:p>
            <w:pPr>
              <w:spacing w:after="0" w:before="0"/>
            </w:pPr>
            <w:r/>
            <w:r>
              <w:rPr>
                <w:rFonts w:ascii="Calibri" w:hAnsi="Calibri"/>
                <w:b w:val="0"/>
                <w:color w:val="263238"/>
                <w:sz w:val="16"/>
              </w:rPr>
              <w:t>React 18 + TypeScript + Tailwind + Vite + React Router + Axios</w:t>
            </w:r>
          </w:p>
        </w:tc>
        <w:tc>
          <w:tcPr>
            <w:tcW w:type="dxa" w:w="4949"/>
            <w:vAlign w:val="center"/>
            <w:tcMar>
              <w:top w:w="65" w:type="dxa"/>
              <w:start w:w="85" w:type="dxa"/>
              <w:bottom w:w="65" w:type="dxa"/>
              <w:end w:w="85" w:type="dxa"/>
            </w:tcMar>
          </w:tcPr>
          <w:p>
            <w:pPr>
              <w:spacing w:after="0" w:before="0"/>
            </w:pPr>
            <w:r/>
            <w:r>
              <w:rPr>
                <w:rFonts w:ascii="Calibri" w:hAnsi="Calibri"/>
                <w:b w:val="0"/>
                <w:color w:val="263238"/>
                <w:sz w:val="16"/>
              </w:rPr>
              <w:t>Role-aware SPA; modules are lazy-loaded and share one dashboard shell.</w:t>
            </w:r>
          </w:p>
        </w:tc>
      </w:tr>
      <w:tr>
        <w:tc>
          <w:tcPr>
            <w:tcW w:type="dxa" w:w="1356"/>
            <w:vAlign w:val="center"/>
            <w:tcMar>
              <w:top w:w="65" w:type="dxa"/>
              <w:start w:w="85" w:type="dxa"/>
              <w:bottom w:w="65" w:type="dxa"/>
              <w:end w:w="85" w:type="dxa"/>
            </w:tcMar>
            <w:shd w:fill="F5F7FA"/>
          </w:tcPr>
          <w:p>
            <w:pPr>
              <w:spacing w:after="0" w:before="0"/>
            </w:pPr>
            <w:r/>
            <w:r>
              <w:rPr>
                <w:rFonts w:ascii="Calibri" w:hAnsi="Calibri"/>
                <w:b w:val="0"/>
                <w:color w:val="263238"/>
                <w:sz w:val="16"/>
              </w:rPr>
              <w:t>API</w:t>
            </w:r>
          </w:p>
        </w:tc>
        <w:tc>
          <w:tcPr>
            <w:tcW w:type="dxa" w:w="3458"/>
            <w:vAlign w:val="center"/>
            <w:tcMar>
              <w:top w:w="65" w:type="dxa"/>
              <w:start w:w="85" w:type="dxa"/>
              <w:bottom w:w="65" w:type="dxa"/>
              <w:end w:w="85" w:type="dxa"/>
            </w:tcMar>
            <w:shd w:fill="F5F7FA"/>
          </w:tcPr>
          <w:p>
            <w:pPr>
              <w:spacing w:after="0" w:before="0"/>
            </w:pPr>
            <w:r/>
            <w:r>
              <w:rPr>
                <w:rFonts w:ascii="Calibri" w:hAnsi="Calibri"/>
                <w:b w:val="0"/>
                <w:color w:val="263238"/>
                <w:sz w:val="16"/>
              </w:rPr>
              <w:t>Node 20 + Express + TypeScript + Zod + mysql2</w:t>
            </w:r>
          </w:p>
        </w:tc>
        <w:tc>
          <w:tcPr>
            <w:tcW w:type="dxa" w:w="4949"/>
            <w:vAlign w:val="center"/>
            <w:tcMar>
              <w:top w:w="65" w:type="dxa"/>
              <w:start w:w="85" w:type="dxa"/>
              <w:bottom w:w="65" w:type="dxa"/>
              <w:end w:w="85" w:type="dxa"/>
            </w:tcMar>
            <w:shd w:fill="F5F7FA"/>
          </w:tcPr>
          <w:p>
            <w:pPr>
              <w:spacing w:after="0" w:before="0"/>
            </w:pPr>
            <w:r/>
            <w:r>
              <w:rPr>
                <w:rFonts w:ascii="Calibri" w:hAnsi="Calibri"/>
                <w:b w:val="0"/>
                <w:color w:val="263238"/>
                <w:sz w:val="16"/>
              </w:rPr>
              <w:t>Routes → auth/role/validation middleware → controller → service → repository.</w:t>
            </w:r>
          </w:p>
        </w:tc>
      </w:tr>
      <w:tr>
        <w:tc>
          <w:tcPr>
            <w:tcW w:type="dxa" w:w="1356"/>
            <w:vAlign w:val="center"/>
            <w:tcMar>
              <w:top w:w="65" w:type="dxa"/>
              <w:start w:w="85" w:type="dxa"/>
              <w:bottom w:w="65" w:type="dxa"/>
              <w:end w:w="85" w:type="dxa"/>
            </w:tcMar>
          </w:tcPr>
          <w:p>
            <w:pPr>
              <w:spacing w:after="0" w:before="0"/>
            </w:pPr>
            <w:r/>
            <w:r>
              <w:rPr>
                <w:rFonts w:ascii="Calibri" w:hAnsi="Calibri"/>
                <w:b w:val="0"/>
                <w:color w:val="263238"/>
                <w:sz w:val="16"/>
              </w:rPr>
              <w:t>Database</w:t>
            </w:r>
          </w:p>
        </w:tc>
        <w:tc>
          <w:tcPr>
            <w:tcW w:type="dxa" w:w="3458"/>
            <w:vAlign w:val="center"/>
            <w:tcMar>
              <w:top w:w="65" w:type="dxa"/>
              <w:start w:w="85" w:type="dxa"/>
              <w:bottom w:w="65" w:type="dxa"/>
              <w:end w:w="85" w:type="dxa"/>
            </w:tcMar>
          </w:tcPr>
          <w:p>
            <w:pPr>
              <w:spacing w:after="0" w:before="0"/>
            </w:pPr>
            <w:r/>
            <w:r>
              <w:rPr>
                <w:rFonts w:ascii="Calibri" w:hAnsi="Calibri"/>
                <w:b w:val="0"/>
                <w:color w:val="263238"/>
                <w:sz w:val="16"/>
              </w:rPr>
              <w:t>MySQL 8 / MariaDB 10.6+</w:t>
            </w:r>
          </w:p>
        </w:tc>
        <w:tc>
          <w:tcPr>
            <w:tcW w:type="dxa" w:w="4949"/>
            <w:vAlign w:val="center"/>
            <w:tcMar>
              <w:top w:w="65" w:type="dxa"/>
              <w:start w:w="85" w:type="dxa"/>
              <w:bottom w:w="65" w:type="dxa"/>
              <w:end w:w="85" w:type="dxa"/>
            </w:tcMar>
          </w:tcPr>
          <w:p>
            <w:pPr>
              <w:spacing w:after="0" w:before="0"/>
            </w:pPr>
            <w:r/>
            <w:r>
              <w:rPr>
                <w:rFonts w:ascii="Calibri" w:hAnsi="Calibri"/>
                <w:b w:val="0"/>
                <w:color w:val="263238"/>
                <w:sz w:val="16"/>
              </w:rPr>
              <w:t>One relational source of truth; SQL constraints and business objects enforce integrity.</w:t>
            </w:r>
          </w:p>
        </w:tc>
      </w:tr>
      <w:tr>
        <w:tc>
          <w:tcPr>
            <w:tcW w:type="dxa" w:w="1356"/>
            <w:vAlign w:val="center"/>
            <w:tcMar>
              <w:top w:w="65" w:type="dxa"/>
              <w:start w:w="85" w:type="dxa"/>
              <w:bottom w:w="65" w:type="dxa"/>
              <w:end w:w="85" w:type="dxa"/>
            </w:tcMar>
            <w:shd w:fill="F5F7FA"/>
          </w:tcPr>
          <w:p>
            <w:pPr>
              <w:spacing w:after="0" w:before="0"/>
            </w:pPr>
            <w:r/>
            <w:r>
              <w:rPr>
                <w:rFonts w:ascii="Calibri" w:hAnsi="Calibri"/>
                <w:b w:val="0"/>
                <w:color w:val="263238"/>
                <w:sz w:val="16"/>
              </w:rPr>
              <w:t>Optional</w:t>
            </w:r>
          </w:p>
        </w:tc>
        <w:tc>
          <w:tcPr>
            <w:tcW w:type="dxa" w:w="3458"/>
            <w:vAlign w:val="center"/>
            <w:tcMar>
              <w:top w:w="65" w:type="dxa"/>
              <w:start w:w="85" w:type="dxa"/>
              <w:bottom w:w="65" w:type="dxa"/>
              <w:end w:w="85" w:type="dxa"/>
            </w:tcMar>
            <w:shd w:fill="F5F7FA"/>
          </w:tcPr>
          <w:p>
            <w:pPr>
              <w:spacing w:after="0" w:before="0"/>
            </w:pPr>
            <w:r/>
            <w:r>
              <w:rPr>
                <w:rFonts w:ascii="Calibri" w:hAnsi="Calibri"/>
                <w:b w:val="0"/>
                <w:color w:val="263238"/>
                <w:sz w:val="16"/>
              </w:rPr>
              <w:t>MongoDB event sink; disabled/off by default</w:t>
            </w:r>
          </w:p>
        </w:tc>
        <w:tc>
          <w:tcPr>
            <w:tcW w:type="dxa" w:w="4949"/>
            <w:vAlign w:val="center"/>
            <w:tcMar>
              <w:top w:w="65" w:type="dxa"/>
              <w:start w:w="85" w:type="dxa"/>
              <w:bottom w:w="65" w:type="dxa"/>
              <w:end w:w="85" w:type="dxa"/>
            </w:tcMar>
            <w:shd w:fill="F5F7FA"/>
          </w:tcPr>
          <w:p>
            <w:pPr>
              <w:spacing w:after="0" w:before="0"/>
            </w:pPr>
            <w:r/>
            <w:r>
              <w:rPr>
                <w:rFonts w:ascii="Calibri" w:hAnsi="Calibri"/>
                <w:b w:val="0"/>
                <w:color w:val="263238"/>
                <w:sz w:val="16"/>
              </w:rPr>
              <w:t>Not used for the transactional ERP records or business-rule source of truth.</w:t>
            </w:r>
          </w:p>
        </w:tc>
      </w:tr>
    </w:tbl>
    <w:p>
      <w:pPr>
        <w:spacing w:after="0"/>
      </w:pPr>
    </w:p>
    <w:p>
      <w:pPr>
        <w:spacing w:after="100" w:line="252" w:lineRule="auto"/>
      </w:pPr>
      <w:r>
        <w:t>Browser requests use relative /api/v1 URLs through the Vite /api proxy. Repository SQL uses parameterized values. Frontend role gates are for navigation; backend JWT/RBAC and row-level service scoping are the security boundary.</w:t>
      </w:r>
    </w:p>
    <w:p>
      <w:pPr>
        <w:pStyle w:val="Heading1"/>
        <w:keepNext/>
        <w:spacing w:before="200" w:after="80"/>
      </w:pPr>
      <w:r>
        <w:t>3. API surface and role</w:t>
      </w:r>
    </w:p>
    <w:p>
      <w:pPr>
        <w:pStyle w:val="ListBullet"/>
        <w:spacing w:after="60"/>
        <w:ind w:left="403" w:hanging="230"/>
      </w:pPr>
      <w:r>
        <w:t>Exams/schedules: /api/v1/exams and /api/v1/exams/:id/schedules.</w:t>
      </w:r>
    </w:p>
    <w:p>
      <w:pPr>
        <w:pStyle w:val="ListBullet"/>
        <w:spacing w:after="60"/>
        <w:ind w:left="403" w:hanging="230"/>
      </w:pPr>
      <w:r>
        <w:t>Eligibility/registration: GET /api/v1/exams/registrations/eligibility and POST /api/v1/exams/registrations.</w:t>
      </w:r>
    </w:p>
    <w:p>
      <w:pPr>
        <w:pStyle w:val="ListBullet"/>
        <w:spacing w:after="60"/>
        <w:ind w:left="403" w:hanging="230"/>
      </w:pPr>
      <w:r>
        <w:t>Marks/results: POST /api/v1/exams/marks, POST /api/v1/exams/results/process and POST /api/v1/exams/results/publish/:id.</w:t>
      </w:r>
    </w:p>
    <w:p>
      <w:pPr>
        <w:pStyle w:val="ListBullet"/>
        <w:spacing w:after="60"/>
        <w:ind w:left="403" w:hanging="230"/>
      </w:pPr>
      <w:r>
        <w:t>Student-facing: /api/v1/exams/hall-ticket/me, results and rankings; policy threshold endpoints are also under /exams/policy.</w:t>
      </w:r>
    </w:p>
    <w:p>
      <w:pPr>
        <w:spacing w:after="100" w:line="252" w:lineRule="auto"/>
      </w:pPr>
      <w:r>
        <w:t>API module prefix: /api/v1. The matching router is mounted from backend/src/routes/index.ts. Before the viva, inspect each route’s requireRole(...) list; never infer authorization from a hidden navigation link.</w:t>
      </w:r>
    </w:p>
    <w:p>
      <w:pPr>
        <w:pStyle w:val="Heading1"/>
        <w:keepNext/>
        <w:spacing w:before="200" w:after="80"/>
      </w:pPr>
      <w:r>
        <w:t>4. Tables, primary keys and foreign keys</w:t>
      </w:r>
    </w:p>
    <w:p>
      <w:pPr>
        <w:spacing w:after="100" w:line="252" w:lineRule="auto"/>
      </w:pPr>
      <w:r>
        <w:t>The following key map is generated from docs/DATA_DICTIONARY.md for this guide. It lists each table’s PK and the table’s declared outgoing FKs; composite unique constraints are described in the relationship/rule notes below.</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815"/>
            <w:vAlign w:val="center"/>
            <w:tcMar>
              <w:top w:w="65" w:type="dxa"/>
              <w:start w:w="85" w:type="dxa"/>
              <w:bottom w:w="65" w:type="dxa"/>
              <w:end w:w="85" w:type="dxa"/>
            </w:tcMar>
            <w:shd w:fill="17365D"/>
          </w:tcPr>
          <w:p>
            <w:pPr>
              <w:spacing w:after="0" w:before="0"/>
            </w:pPr>
            <w:r/>
            <w:r>
              <w:rPr>
                <w:rFonts w:ascii="Calibri" w:hAnsi="Calibri"/>
                <w:b/>
                <w:color w:val="FFFFFF"/>
                <w:sz w:val="16"/>
              </w:rPr>
              <w:t>Table</w:t>
            </w:r>
          </w:p>
        </w:tc>
        <w:tc>
          <w:tcPr>
            <w:tcW w:type="dxa" w:w="1652"/>
            <w:vAlign w:val="center"/>
            <w:tcMar>
              <w:top w:w="65" w:type="dxa"/>
              <w:start w:w="85" w:type="dxa"/>
              <w:bottom w:w="65" w:type="dxa"/>
              <w:end w:w="85" w:type="dxa"/>
            </w:tcMar>
            <w:shd w:fill="17365D"/>
          </w:tcPr>
          <w:p>
            <w:pPr>
              <w:spacing w:after="0" w:before="0"/>
            </w:pPr>
            <w:r/>
            <w:r>
              <w:rPr>
                <w:rFonts w:ascii="Calibri" w:hAnsi="Calibri"/>
                <w:b/>
                <w:color w:val="FFFFFF"/>
                <w:sz w:val="16"/>
              </w:rPr>
              <w:t>Primary key</w:t>
            </w:r>
          </w:p>
        </w:tc>
        <w:tc>
          <w:tcPr>
            <w:tcW w:type="dxa" w:w="6297"/>
            <w:vAlign w:val="center"/>
            <w:tcMar>
              <w:top w:w="65" w:type="dxa"/>
              <w:start w:w="85" w:type="dxa"/>
              <w:bottom w:w="65" w:type="dxa"/>
              <w:end w:w="85" w:type="dxa"/>
            </w:tcMar>
            <w:shd w:fill="17365D"/>
          </w:tcPr>
          <w:p>
            <w:pPr>
              <w:spacing w:after="0" w:before="0"/>
            </w:pPr>
            <w:r/>
            <w:r>
              <w:rPr>
                <w:rFonts w:ascii="Calibri" w:hAnsi="Calibri"/>
                <w:b/>
                <w:color w:val="FFFFFF"/>
                <w:sz w:val="16"/>
              </w:rPr>
              <w:t>Outgoing foreign keys (column → referenced table.column)</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users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user_id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`fk_users_role`: role_id → roles(role_id)</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students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student_id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`fk_students_batch`: batch_id → batches(batch_id), `fk_students_category`: category_id → categories(category_id), `fk_students_department`: department_id → departments(department_id), `fk_students_program`: program_id → programs(program_id), `fk_students_user`: user_id → users(user_id)</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academic_years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academic_year_id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semesters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semester_id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`fk_semesters_year`: academic_year_id → academic_years(academic_year_id)</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programs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program_id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`fk_programs_department`: department_id → departments(department_id)</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subjects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subject_id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`fk_subjects_department`: department_id → departments(department_id)</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course_offerings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offering_id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`fk_offerings_faculty`: faculty_id → faculty(faculty_id), `fk_offerings_program`: program_id → programs(program_id), `fk_offerings_section`: section_id → sections(section_id), `fk_offerings_semester`: semester_id → semesters(semester_id), `fk_offerings_subject`: subject_id → subjects(subject_id), `fk_offerings_year`: academic_year_id → academic_years(academic_year_id)</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enrollments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enrollment_id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`fk_enrollments_offering`: offering_id → course_offerings(offering_id), `fk_enrollments_student`: student_id → students(student_id), `fk_enrollments_user`: enrolled_by → users(user_id)</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student_fees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student_fee_id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`fk_student_fees_semester`: semester_id → semesters(semester_id), `fk_student_fees_structure`: fee_structure_id → fee_structures(fee_structure_id), `fk_student_fees_student`: student_id → students(student_id), `fk_student_fees_year`: academic_year_id → academic_years(academic_year_id)</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grades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grade_id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exams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exam_id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`fk_exams_semester`: semester_id → semesters(semester_id), `fk_exams_year`: academic_year_id → academic_years(academic_year_id)</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exam_schedules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schedule_id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`fk_es_exam`: exam_id → exams(exam_id), `fk_es_invigilator`: invigilator_id → faculty(faculty_id), `fk_es_program`: program_id → programs(program_id), `fk_es_subject`: subject_id → subjects(subject_id)</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exam_registrations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registration_id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`fk_er_exam`: exam_id → exams(exam_id), `fk_er_offering`: offering_id → course_offerings(offering_id), `fk_er_registered_by`: registered_by → users(user_id), `fk_er_schedule`: schedule_id → exam_schedules(schedule_id), `fk_er_student`: student_id → students(student_id)</w:t>
            </w:r>
          </w:p>
        </w:tc>
      </w:tr>
      <w:tr>
        <w:tc>
          <w:tcPr>
            <w:tcW w:type="dxa" w:w="1815"/>
            <w:vAlign w:val="center"/>
            <w:tcMar>
              <w:top w:w="65" w:type="dxa"/>
              <w:start w:w="85" w:type="dxa"/>
              <w:bottom w:w="65" w:type="dxa"/>
              <w:end w:w="85" w:type="dxa"/>
            </w:tcMar>
            <w:shd w:fill="F5F7FA"/>
          </w:tcPr>
          <w:p>
            <w:pPr>
              <w:spacing w:after="0" w:before="0"/>
            </w:pPr>
            <w:r/>
            <w:r>
              <w:rPr>
                <w:rFonts w:ascii="Calibri" w:hAnsi="Calibri"/>
                <w:b w:val="0"/>
                <w:color w:val="263238"/>
                <w:sz w:val="15"/>
              </w:rPr>
              <w:t>marks</w:t>
            </w:r>
          </w:p>
        </w:tc>
        <w:tc>
          <w:tcPr>
            <w:tcW w:type="dxa" w:w="1652"/>
            <w:vAlign w:val="center"/>
            <w:tcMar>
              <w:top w:w="65" w:type="dxa"/>
              <w:start w:w="85" w:type="dxa"/>
              <w:bottom w:w="65" w:type="dxa"/>
              <w:end w:w="85" w:type="dxa"/>
            </w:tcMar>
            <w:shd w:fill="F5F7FA"/>
          </w:tcPr>
          <w:p>
            <w:pPr>
              <w:spacing w:after="0" w:before="0"/>
            </w:pPr>
            <w:r/>
            <w:r>
              <w:rPr>
                <w:rFonts w:ascii="Calibri" w:hAnsi="Calibri"/>
                <w:b w:val="0"/>
                <w:color w:val="263238"/>
                <w:sz w:val="15"/>
              </w:rPr>
              <w:t>mark_id</w:t>
            </w:r>
          </w:p>
        </w:tc>
        <w:tc>
          <w:tcPr>
            <w:tcW w:type="dxa" w:w="6297"/>
            <w:vAlign w:val="center"/>
            <w:tcMar>
              <w:top w:w="65" w:type="dxa"/>
              <w:start w:w="85" w:type="dxa"/>
              <w:bottom w:w="65" w:type="dxa"/>
              <w:end w:w="85" w:type="dxa"/>
            </w:tcMar>
            <w:shd w:fill="F5F7FA"/>
          </w:tcPr>
          <w:p>
            <w:pPr>
              <w:spacing w:after="0" w:before="0"/>
            </w:pPr>
            <w:r/>
            <w:r>
              <w:rPr>
                <w:rFonts w:ascii="Calibri" w:hAnsi="Calibri"/>
                <w:b w:val="0"/>
                <w:color w:val="263238"/>
                <w:sz w:val="15"/>
              </w:rPr>
              <w:t>`fk_marks_entered_by`: entered_by → users(user_id), `fk_marks_registration`: registration_id → exam_registrations(registration_id)</w:t>
            </w:r>
          </w:p>
        </w:tc>
      </w:tr>
      <w:tr>
        <w:tc>
          <w:tcPr>
            <w:tcW w:type="dxa" w:w="1815"/>
            <w:vAlign w:val="center"/>
            <w:tcMar>
              <w:top w:w="65" w:type="dxa"/>
              <w:start w:w="85" w:type="dxa"/>
              <w:bottom w:w="65" w:type="dxa"/>
              <w:end w:w="85" w:type="dxa"/>
            </w:tcMar>
          </w:tcPr>
          <w:p>
            <w:pPr>
              <w:spacing w:after="0" w:before="0"/>
            </w:pPr>
            <w:r/>
            <w:r>
              <w:rPr>
                <w:rFonts w:ascii="Calibri" w:hAnsi="Calibri"/>
                <w:b w:val="0"/>
                <w:color w:val="263238"/>
                <w:sz w:val="15"/>
              </w:rPr>
              <w:t>results</w:t>
            </w:r>
          </w:p>
        </w:tc>
        <w:tc>
          <w:tcPr>
            <w:tcW w:type="dxa" w:w="1652"/>
            <w:vAlign w:val="center"/>
            <w:tcMar>
              <w:top w:w="65" w:type="dxa"/>
              <w:start w:w="85" w:type="dxa"/>
              <w:bottom w:w="65" w:type="dxa"/>
              <w:end w:w="85" w:type="dxa"/>
            </w:tcMar>
          </w:tcPr>
          <w:p>
            <w:pPr>
              <w:spacing w:after="0" w:before="0"/>
            </w:pPr>
            <w:r/>
            <w:r>
              <w:rPr>
                <w:rFonts w:ascii="Calibri" w:hAnsi="Calibri"/>
                <w:b w:val="0"/>
                <w:color w:val="263238"/>
                <w:sz w:val="15"/>
              </w:rPr>
              <w:t>result_id</w:t>
            </w:r>
          </w:p>
        </w:tc>
        <w:tc>
          <w:tcPr>
            <w:tcW w:type="dxa" w:w="6297"/>
            <w:vAlign w:val="center"/>
            <w:tcMar>
              <w:top w:w="65" w:type="dxa"/>
              <w:start w:w="85" w:type="dxa"/>
              <w:bottom w:w="65" w:type="dxa"/>
              <w:end w:w="85" w:type="dxa"/>
            </w:tcMar>
          </w:tcPr>
          <w:p>
            <w:pPr>
              <w:spacing w:after="0" w:before="0"/>
            </w:pPr>
            <w:r/>
            <w:r>
              <w:rPr>
                <w:rFonts w:ascii="Calibri" w:hAnsi="Calibri"/>
                <w:b w:val="0"/>
                <w:color w:val="263238"/>
                <w:sz w:val="15"/>
              </w:rPr>
              <w:t>`fk_results_exam`: exam_id → exams(exam_id), `fk_results_published_by`: published_by → users(user_id), `fk_results_semester`: semester_id → semesters(semester_id), `fk_results_student`: student_id → students(student_id)</w:t>
            </w:r>
          </w:p>
        </w:tc>
      </w:tr>
    </w:tbl>
    <w:p>
      <w:pPr>
        <w:spacing w:after="0"/>
      </w:pPr>
    </w:p>
    <w:p>
      <w:pPr>
        <w:pStyle w:val="Heading1"/>
        <w:keepNext/>
        <w:spacing w:before="200" w:after="80"/>
      </w:pPr>
      <w:r>
        <w:t>5. Workflow and relationships</w:t>
      </w:r>
    </w:p>
    <w:p>
      <w:pPr>
        <w:pStyle w:val="Heading2"/>
        <w:keepNext/>
        <w:spacing w:before="140" w:after="80"/>
      </w:pPr>
      <w:r>
        <w:t>Business flow</w:t>
      </w:r>
    </w:p>
    <w:p>
      <w:pPr>
        <w:pStyle w:val="ListNumber"/>
        <w:spacing w:after="60"/>
        <w:ind w:left="461" w:hanging="230"/>
      </w:pPr>
      <w:r>
        <w:t>An exam belongs to an academic year and semester. exam_schedules map the exam to a subject/program/date/time/room and maximum/minimum marks.</w:t>
      </w:r>
    </w:p>
    <w:p>
      <w:pPr>
        <w:pStyle w:val="ListNumber"/>
        <w:spacing w:after="60"/>
        <w:ind w:left="461" w:hanging="230"/>
      </w:pPr>
      <w:r>
        <w:t>A registration ties a student and course offering to an exam; a unique key blocks duplicate exam/student/offering registration.</w:t>
      </w:r>
    </w:p>
    <w:p>
      <w:pPr>
        <w:pStyle w:val="ListNumber"/>
        <w:spacing w:after="60"/>
        <w:ind w:left="461" w:hanging="230"/>
      </w:pPr>
      <w:r>
        <w:t>sp_register_student_for_exam recomputes offering attendance and compares it with exams.min_attendance_required. The exam-insert trigger independently verifies the student is enrolled and compares recomputed attendance with MIN_ATTENDANCE_PERCENTAGE.</w:t>
      </w:r>
    </w:p>
    <w:p>
      <w:pPr>
        <w:pStyle w:val="ListNumber"/>
        <w:spacing w:after="60"/>
        <w:ind w:left="461" w:hanging="230"/>
      </w:pPr>
      <w:r>
        <w:t>sp_enter_marks validates the maximum marks and derives percentage, grade and grade points; marks triggers validate/derive again on insert/update and audit edits.</w:t>
      </w:r>
    </w:p>
    <w:p>
      <w:pPr>
        <w:pStyle w:val="ListNumber"/>
        <w:spacing w:after="60"/>
        <w:ind w:left="461" w:hanging="230"/>
      </w:pPr>
      <w:r>
        <w:t>sp_process_semester_results computes SGPA/credits/backlogs/status, updates enrolment outcomes and writes results. sp_publish_exam_results flips publication flags, logs and notifies affected students.</w:t>
      </w:r>
    </w:p>
    <w:p>
      <w:pPr>
        <w:pStyle w:val="ListNumber"/>
        <w:spacing w:after="60"/>
        <w:ind w:left="461" w:hanging="230"/>
      </w:pPr>
      <w:r>
        <w:t>Hall-ticket numbers are stored against exam_registrations and exposed through the student endpoint/view after registration.</w:t>
      </w:r>
    </w:p>
    <w:p>
      <w:pPr>
        <w:pStyle w:val="Heading2"/>
        <w:keepNext/>
        <w:spacing w:before="140" w:after="80"/>
      </w:pPr>
      <w:r>
        <w:t>How the rows connect</w:t>
      </w:r>
    </w:p>
    <w:p>
      <w:pPr>
        <w:pStyle w:val="ListBullet"/>
        <w:spacing w:after="60"/>
        <w:ind w:left="403" w:hanging="230"/>
      </w:pPr>
      <w:r>
        <w:t>exams reference academic_years and semesters; exam_schedules reference exams, subjects, programs and optional faculty invigilators.</w:t>
      </w:r>
    </w:p>
    <w:p>
      <w:pPr>
        <w:pStyle w:val="ListBullet"/>
        <w:spacing w:after="60"/>
        <w:ind w:left="403" w:hanging="230"/>
      </w:pPr>
      <w:r>
        <w:t>exam_registrations reference exams, students, course_offerings, optional schedule and registering user.</w:t>
      </w:r>
    </w:p>
    <w:p>
      <w:pPr>
        <w:pStyle w:val="ListBullet"/>
        <w:spacing w:after="60"/>
        <w:ind w:left="403" w:hanging="230"/>
      </w:pPr>
      <w:r>
        <w:t>marks reference exam_registrations (normally one marks row per registration, protected by a unique key) and the user who entered them.</w:t>
      </w:r>
    </w:p>
    <w:p>
      <w:pPr>
        <w:pStyle w:val="ListBullet"/>
        <w:spacing w:after="60"/>
        <w:ind w:left="403" w:hanging="230"/>
      </w:pPr>
      <w:r>
        <w:t>results reference student, semester, exam and publishing user; grade master/function maps percentage to grade code/points.</w:t>
      </w:r>
    </w:p>
    <w:p>
      <w:pPr>
        <w:pStyle w:val="ListBullet"/>
        <w:spacing w:after="60"/>
        <w:ind w:left="403" w:hanging="230"/>
      </w:pPr>
      <w:r>
        <w:t>Course offerings and enrollments connect the academic module to the student’s exam eligibility.</w:t>
      </w:r>
    </w:p>
    <w:p>
      <w:pPr>
        <w:pStyle w:val="ListBullet"/>
        <w:spacing w:after="60"/>
        <w:ind w:left="403" w:hanging="230"/>
      </w:pPr>
      <w:r>
        <w:t>fn_student_outstanding_dues reads student_fees, but the current visible registration routine does not actually branch on the computed value; do not claim a working dues gate without resolving the source discrepancy described below.</w:t>
      </w:r>
    </w:p>
    <w:p>
      <w:pPr>
        <w:pStyle w:val="Heading1"/>
        <w:keepNext/>
        <w:spacing w:before="200" w:after="80"/>
      </w:pPr>
      <w:r>
        <w:t>6. DBMS objects and rules to defend</w:t>
      </w:r>
    </w:p>
    <w:p>
      <w:pPr>
        <w:pStyle w:val="ListBullet"/>
        <w:spacing w:after="60"/>
        <w:ind w:left="403" w:hanging="230"/>
      </w:pPr>
      <w:r>
        <w:t>Procedures: sp_register_student_for_exam; sp_enter_marks; sp_process_semester_results; sp_publish_exam_results.</w:t>
      </w:r>
    </w:p>
    <w:p>
      <w:pPr>
        <w:pStyle w:val="ListBullet"/>
        <w:spacing w:after="60"/>
        <w:ind w:left="403" w:hanging="230"/>
      </w:pPr>
      <w:r>
        <w:t>Functions: fn_grade_code, fn_grade_points, fn_calculate_sgpa, fn_calculate_student_cgpa.</w:t>
      </w:r>
    </w:p>
    <w:p>
      <w:pPr>
        <w:pStyle w:val="ListBullet"/>
        <w:spacing w:after="60"/>
        <w:ind w:left="403" w:hanging="230"/>
      </w:pPr>
      <w:r>
        <w:t>Triggers: trg_exam_reg_bi_eligibility; trg_exam_reg_ai_audit; trg_marks_bi_derive; trg_marks_bu_derive; trg_marks_au_audit.</w:t>
      </w:r>
    </w:p>
    <w:p>
      <w:pPr>
        <w:pStyle w:val="ListBullet"/>
        <w:spacing w:after="60"/>
        <w:ind w:left="403" w:hanging="230"/>
      </w:pPr>
      <w:r>
        <w:t>Views: v_exam_eligibility, v_exam_hall_ticket, v_student_rankings and v_subject_failure_rate.</w:t>
      </w:r>
    </w:p>
    <w:p>
      <w:pPr>
        <w:pStyle w:val="ListBullet"/>
        <w:spacing w:after="60"/>
        <w:ind w:left="403" w:hanging="230"/>
      </w:pPr>
      <w:r>
        <w:t>Attendance boundary: routine reads exams.min_attendance_required; insert trigger reads system_settings.MIN_ATTENDANCE_PERCENTAGE. Both should be aligned. Current comparison blocks values below the threshold, so the exact threshold is accepted.</w:t>
      </w:r>
    </w:p>
    <w:p>
      <w:pPr>
        <w:spacing w:after="100" w:line="252" w:lineRule="auto"/>
      </w:pPr>
      <w:r>
        <w:t>Use the ER diagram for cardinality, the data dictionary for exact column types/keys, and the SQL definition for actual enforcement. A view is a read model; it is not a base table. A UI validation message is not a database constraint.</w:t>
      </w:r>
    </w:p>
    <w:tbl>
      <w:tblPr>
        <w:tblW w:type="auto" w:w="0"/>
        <w:tblLayout w:type="autofit"/>
        <w:tblLook w:firstColumn="1" w:firstRow="1" w:lastColumn="0" w:lastRow="0" w:noHBand="0" w:noVBand="1" w:val="04A0"/>
      </w:tblPr>
      <w:tblGrid>
        <w:gridCol w:w="9835"/>
      </w:tblGrid>
      <w:tr>
        <w:tc>
          <w:tcPr>
            <w:tcW w:type="dxa" w:w="9835"/>
            <w:shd w:fill="FCE8E6"/>
            <w:tcMar>
              <w:top w:w="120" w:type="dxa"/>
              <w:start w:w="150" w:type="dxa"/>
              <w:bottom w:w="120" w:type="dxa"/>
              <w:end w:w="150" w:type="dxa"/>
            </w:tcMar>
          </w:tcPr>
          <w:p>
            <w:pPr>
              <w:spacing w:after="60"/>
            </w:pPr>
            <w:r/>
            <w:r>
              <w:rPr>
                <w:rFonts w:ascii="Calibri" w:hAnsi="Calibri"/>
                <w:b/>
                <w:color w:val="A61B1B"/>
                <w:sz w:val="20"/>
              </w:rPr>
              <w:t>Source/code discrepancy — answer carefully</w:t>
            </w:r>
          </w:p>
          <w:p>
            <w:pPr>
              <w:spacing w:after="0"/>
            </w:pPr>
            <w:r>
              <w:rPr>
                <w:rFonts w:ascii="Calibri" w:hAnsi="Calibri"/>
                <w:color w:val="263238"/>
                <w:sz w:val="18"/>
              </w:rPr>
              <w:t>Verified source discrepancy — fee gate: MODULE_INTEGRATION.md and README say pending fees block exam registration. In the current visible SQL, sp_register_student_for_exam calculates v_dues but never tests it; trg_exam_reg_bi_eligibility checks enrollment and attendance, not fees. The SQL test file verifies the dues function’s sum, but no inspected assertion proves that an indebted student is blocked. Present only the attendance gate as verified until this is fixed and retested.</w:t>
            </w:r>
          </w:p>
        </w:tc>
      </w:tr>
    </w:tbl>
    <w:p>
      <w:pPr>
        <w:spacing w:after="0"/>
      </w:pPr>
    </w:p>
    <w:p>
      <w:pPr>
        <w:pStyle w:val="Heading1"/>
        <w:keepNext/>
        <w:spacing w:before="200" w:after="80"/>
      </w:pPr>
      <w:r>
        <w:t>7. Live demonstration sequence</w:t>
      </w:r>
    </w:p>
    <w:p>
      <w:pPr>
        <w:pStyle w:val="ListNumber"/>
        <w:spacing w:after="60"/>
        <w:ind w:left="461" w:hanging="230"/>
      </w:pPr>
      <w:r>
        <w:t>Sign in as Exam Cell and open the registration/eligibility screen. Use a prepared low-attendance demo student to show the server’s refusal message.</w:t>
      </w:r>
    </w:p>
    <w:p>
      <w:pPr>
        <w:pStyle w:val="ListNumber"/>
        <w:spacing w:after="60"/>
        <w:ind w:left="461" w:hanging="230"/>
      </w:pPr>
      <w:r>
        <w:t>Explain the key path: student + offering + exam → exam_registrations; show the attendance snapshot and hall-ticket number for an eligible registration.</w:t>
      </w:r>
    </w:p>
    <w:p>
      <w:pPr>
        <w:pStyle w:val="ListNumber"/>
        <w:spacing w:after="60"/>
        <w:ind w:left="461" w:hanging="230"/>
      </w:pPr>
      <w:r>
        <w:t>Open a scheduled paper, enter a valid demo mark, then show the derived percentage/grade/points. If using a negative test, try a value above max_marks only on disposable data.</w:t>
      </w:r>
    </w:p>
    <w:p>
      <w:pPr>
        <w:pStyle w:val="ListNumber"/>
        <w:spacing w:after="60"/>
        <w:ind w:left="461" w:hanging="230"/>
      </w:pPr>
      <w:r>
        <w:t>Process a semester result, show SGPA/backlog/status and publish it; switch to a student view for the published result/hall ticket.</w:t>
      </w:r>
    </w:p>
    <w:p>
      <w:pPr>
        <w:pStyle w:val="ListNumber"/>
        <w:spacing w:after="60"/>
        <w:ind w:left="461" w:hanging="230"/>
      </w:pPr>
      <w:r>
        <w:t>State the fee-gate discrepancy honestly: current visible SQL computes dues but has no conditional refusal on v_dues. Do not present this as a verified feature until corrected and retested.</w:t>
      </w:r>
    </w:p>
    <w:tbl>
      <w:tblPr>
        <w:tblW w:type="auto" w:w="0"/>
        <w:tblLayout w:type="autofit"/>
        <w:tblLook w:firstColumn="1" w:firstRow="1" w:lastColumn="0" w:lastRow="0" w:noHBand="0" w:noVBand="1" w:val="04A0"/>
      </w:tblPr>
      <w:tblGrid>
        <w:gridCol w:w="9835"/>
      </w:tblGrid>
      <w:tr>
        <w:tc>
          <w:tcPr>
            <w:tcW w:type="dxa" w:w="9835"/>
            <w:shd w:fill="E7F4F3"/>
            <w:tcMar>
              <w:top w:w="120" w:type="dxa"/>
              <w:start w:w="150" w:type="dxa"/>
              <w:bottom w:w="120" w:type="dxa"/>
              <w:end w:w="150" w:type="dxa"/>
            </w:tcMar>
          </w:tcPr>
          <w:p>
            <w:pPr>
              <w:spacing w:after="60"/>
            </w:pPr>
            <w:r/>
            <w:r>
              <w:rPr>
                <w:rFonts w:ascii="Calibri" w:hAnsi="Calibri"/>
                <w:b/>
                <w:color w:val="17365D"/>
                <w:sz w:val="20"/>
              </w:rPr>
              <w:t>Success-message rule</w:t>
            </w:r>
          </w:p>
          <w:p>
            <w:pPr>
              <w:spacing w:after="0"/>
            </w:pPr>
            <w:r>
              <w:rPr>
                <w:rFonts w:ascii="Calibri" w:hAnsi="Calibri"/>
                <w:color w:val="263238"/>
                <w:sz w:val="18"/>
              </w:rPr>
              <w:t>Only treat an operation as successful after the API confirms it. If the API/database is unavailable, switch to a recorded screenshot or explain the source path; do not imply that a frontend-only preview proves database behavior.</w:t>
            </w:r>
          </w:p>
        </w:tc>
      </w:tr>
    </w:tbl>
    <w:p>
      <w:pPr>
        <w:spacing w:after="0"/>
      </w:pPr>
    </w:p>
    <w:p>
      <w:pPr>
        <w:pStyle w:val="Heading1"/>
        <w:keepNext/>
        <w:spacing w:before="200" w:after="80"/>
      </w:pPr>
      <w:r>
        <w:t>8. Test and verification plan</w:t>
      </w:r>
    </w:p>
    <w:p>
      <w:pPr>
        <w:pStyle w:val="ListBullet"/>
        <w:spacing w:after="60"/>
        <w:ind w:left="403" w:hanging="230"/>
      </w:pPr>
      <w:r>
        <w:t>tests/db/test_rules.sql covers a below-75% direct insert refusal and the exactly-75% boundary, plus marks range/grade derivation assertions.</w:t>
      </w:r>
    </w:p>
    <w:p>
      <w:pPr>
        <w:pStyle w:val="ListBullet"/>
        <w:spacing w:after="60"/>
        <w:ind w:left="403" w:hanging="230"/>
      </w:pPr>
      <w:r>
        <w:t>tests/api/workflow.py reads eligibility and threshold, and conditionally attempts a registration refusal for a low-attendance student when open exam data exists.</w:t>
      </w:r>
    </w:p>
    <w:p>
      <w:pPr>
        <w:pStyle w:val="ListBullet"/>
        <w:spacing w:after="60"/>
        <w:ind w:left="403" w:hanging="230"/>
      </w:pPr>
      <w:r>
        <w:t>The current workflow.py does not perform its own marks-entry write despite an old comment at the top; use test_rules.sql for the marks checks unless the workflow script is updated.</w:t>
      </w:r>
    </w:p>
    <w:p>
      <w:pPr>
        <w:pStyle w:val="ListBullet"/>
        <w:spacing w:after="60"/>
        <w:ind w:left="403" w:hanging="230"/>
      </w:pPr>
      <w:r>
        <w:t>No inspected test proves that outstanding fees block registration. fn_student_outstanding_dues is tested as a calculation, not as a registration gate.</w:t>
      </w:r>
    </w:p>
    <w:p>
      <w:pPr>
        <w:pStyle w:val="Heading2"/>
        <w:keepNext/>
        <w:spacing w:before="140" w:after="80"/>
      </w:pPr>
      <w:r>
        <w:t>Commands to run from the repository root</w:t>
      </w:r>
    </w:p>
    <w:p>
      <w:pPr>
        <w:keepLines/>
        <w:spacing w:after="30"/>
        <w:ind w:left="230"/>
      </w:pPr>
      <w:r>
        <w:rPr>
          <w:rFonts w:ascii="Consolas" w:hAnsi="Consolas"/>
          <w:color w:val="1F4E79"/>
          <w:sz w:val="16"/>
        </w:rPr>
        <w:t>(cd backend &amp;&amp; npm run build)</w:t>
      </w:r>
    </w:p>
    <w:p>
      <w:pPr>
        <w:keepLines/>
        <w:spacing w:after="30"/>
        <w:ind w:left="230"/>
      </w:pPr>
      <w:r>
        <w:rPr>
          <w:rFonts w:ascii="Consolas" w:hAnsi="Consolas"/>
          <w:color w:val="1F4E79"/>
          <w:sz w:val="16"/>
        </w:rPr>
        <w:t>(cd frontend &amp;&amp; npm run build)</w:t>
      </w:r>
    </w:p>
    <w:p>
      <w:pPr>
        <w:keepLines/>
        <w:spacing w:after="30"/>
        <w:ind w:left="230"/>
      </w:pPr>
      <w:r>
        <w:rPr>
          <w:rFonts w:ascii="Consolas" w:hAnsi="Consolas"/>
          <w:color w:val="1F4E79"/>
          <w:sz w:val="16"/>
        </w:rPr>
        <w:t>bash tests/api/smoke.sh</w:t>
      </w:r>
    </w:p>
    <w:p>
      <w:pPr>
        <w:keepLines/>
        <w:spacing w:after="30"/>
        <w:ind w:left="230"/>
      </w:pPr>
      <w:r>
        <w:rPr>
          <w:rFonts w:ascii="Consolas" w:hAnsi="Consolas"/>
          <w:color w:val="1F4E79"/>
          <w:sz w:val="16"/>
        </w:rPr>
        <w:t>python3 tests/api/workflow.py</w:t>
      </w:r>
    </w:p>
    <w:p>
      <w:pPr>
        <w:keepLines/>
        <w:spacing w:after="30"/>
        <w:ind w:left="230"/>
      </w:pPr>
      <w:r>
        <w:rPr>
          <w:rFonts w:ascii="Consolas" w:hAnsi="Consolas"/>
          <w:color w:val="1F4E79"/>
          <w:sz w:val="16"/>
        </w:rPr>
        <w:t>(cd backend &amp;&amp; npm run test:db)</w:t>
      </w:r>
    </w:p>
    <w:p>
      <w:pPr>
        <w:spacing w:after="100" w:line="252" w:lineRule="auto"/>
      </w:pPr>
      <w:r>
        <w:t>The API/database commands require the matching service and a seeded disposable database. Use the exact current output in your presentation; do not copy an old pass count from a report without reproducing it.</w:t>
      </w:r>
    </w:p>
    <w:p>
      <w:pPr>
        <w:pStyle w:val="Heading1"/>
        <w:keepNext/>
        <w:spacing w:before="200" w:after="80"/>
      </w:pPr>
      <w:r>
        <w:t>9. Likely viva questions with model answers</w:t>
      </w:r>
    </w:p>
    <w:p>
      <w:pPr>
        <w:keepNext/>
        <w:spacing w:before="100" w:after="20"/>
      </w:pPr>
      <w:r>
        <w:rPr>
          <w:b/>
          <w:color w:val="17365D"/>
        </w:rPr>
        <w:t>Q1. What is the main exam-registration rule?</w:t>
      </w:r>
    </w:p>
    <w:p>
      <w:pPr>
        <w:spacing w:after="80" w:line="247" w:lineRule="auto"/>
        <w:ind w:left="259"/>
      </w:pPr>
      <w:r>
        <w:rPr>
          <w:b/>
          <w:color w:val="1F7A8C"/>
        </w:rPr>
        <w:t xml:space="preserve">Answer: </w:t>
      </w:r>
      <w:r>
        <w:t>The database recomputes attendance for the student and offering, checks enrollment and compares attendance to the configured threshold. The visible code enforces the attendance gate in both the stored procedure and the BEFORE INSERT trigger.</w:t>
      </w:r>
    </w:p>
    <w:p>
      <w:pPr>
        <w:keepNext/>
        <w:spacing w:before="100" w:after="20"/>
      </w:pPr>
      <w:r>
        <w:rPr>
          <w:b/>
          <w:color w:val="17365D"/>
        </w:rPr>
        <w:t>Q2. Does exactly 75% pass?</w:t>
      </w:r>
    </w:p>
    <w:p>
      <w:pPr>
        <w:spacing w:after="80" w:line="247" w:lineRule="auto"/>
        <w:ind w:left="259"/>
      </w:pPr>
      <w:r>
        <w:rPr>
          <w:b/>
          <w:color w:val="1F7A8C"/>
        </w:rPr>
        <w:t xml:space="preserve">Answer: </w:t>
      </w:r>
      <w:r>
        <w:t>Yes, the visible comparison is less-than-threshold; exactly 75.00% is not below 75. The SQL rules file has a boundary assertion.</w:t>
      </w:r>
    </w:p>
    <w:p>
      <w:pPr>
        <w:keepNext/>
        <w:spacing w:before="100" w:after="20"/>
      </w:pPr>
      <w:r>
        <w:rPr>
          <w:b/>
          <w:color w:val="17365D"/>
        </w:rPr>
        <w:t>Q3. Why have both a procedure and a trigger?</w:t>
      </w:r>
    </w:p>
    <w:p>
      <w:pPr>
        <w:spacing w:after="80" w:line="247" w:lineRule="auto"/>
        <w:ind w:left="259"/>
      </w:pPr>
      <w:r>
        <w:rPr>
          <w:b/>
          <w:color w:val="1F7A8C"/>
        </w:rPr>
        <w:t xml:space="preserve">Answer: </w:t>
      </w:r>
      <w:r>
        <w:t>The procedure provides the transactional business operation and human-readable result; the trigger protects the table if a write bypasses the API/procedure. They are defense-in-depth, but their threshold sources must remain aligned.</w:t>
      </w:r>
    </w:p>
    <w:p>
      <w:pPr>
        <w:keepNext/>
        <w:spacing w:before="100" w:after="20"/>
      </w:pPr>
      <w:r>
        <w:rPr>
          <w:b/>
          <w:color w:val="17365D"/>
        </w:rPr>
        <w:t>Q4. What is the verified status of the fee/dues eligibility gate?</w:t>
      </w:r>
    </w:p>
    <w:p>
      <w:pPr>
        <w:spacing w:after="80" w:line="247" w:lineRule="auto"/>
        <w:ind w:left="259"/>
      </w:pPr>
      <w:r>
        <w:rPr>
          <w:b/>
          <w:color w:val="1F7A8C"/>
        </w:rPr>
        <w:t xml:space="preserve">Answer: </w:t>
      </w:r>
      <w:r>
        <w:t>The documentation claims it blocks registration, and the routine computes v_dues using fn_student_outstanding_dues, but the current visible routine never tests v_dues and the trigger checks enrollment/attendance only. Therefore I would not claim the gate is enforced until the procedure/trigger and a fee-block test are corrected.</w:t>
      </w:r>
    </w:p>
    <w:p>
      <w:pPr>
        <w:keepNext/>
        <w:spacing w:before="100" w:after="20"/>
      </w:pPr>
      <w:r>
        <w:rPr>
          <w:b/>
          <w:color w:val="17365D"/>
        </w:rPr>
        <w:t>Q5. How do marks become a grade?</w:t>
      </w:r>
    </w:p>
    <w:p>
      <w:pPr>
        <w:spacing w:after="80" w:line="247" w:lineRule="auto"/>
        <w:ind w:left="259"/>
      </w:pPr>
      <w:r>
        <w:rPr>
          <w:b/>
          <w:color w:val="1F7A8C"/>
        </w:rPr>
        <w:t xml:space="preserve">Answer: </w:t>
      </w:r>
      <w:r>
        <w:t>The database validates marks against max_marks, derives a percentage and maps that percentage through grade rules/functions to a grade code and points. Insert/update triggers protect the derived values and an audit trigger records changes.</w:t>
      </w:r>
    </w:p>
    <w:p>
      <w:pPr>
        <w:keepNext/>
        <w:spacing w:before="100" w:after="20"/>
      </w:pPr>
      <w:r>
        <w:rPr>
          <w:b/>
          <w:color w:val="17365D"/>
        </w:rPr>
        <w:t>Q6. How is SGPA different from CGPA?</w:t>
      </w:r>
    </w:p>
    <w:p>
      <w:pPr>
        <w:spacing w:after="80" w:line="247" w:lineRule="auto"/>
        <w:ind w:left="259"/>
      </w:pPr>
      <w:r>
        <w:rPr>
          <w:b/>
          <w:color w:val="1F7A8C"/>
        </w:rPr>
        <w:t xml:space="preserve">Answer: </w:t>
      </w:r>
      <w:r>
        <w:t>SGPA summarizes a semester using subject credits and grade points; CGPA is the credit-weighted average across a student’s published semester results. The project defines standalone SGPA/CGPA functions; the inspected results procedure also contains its own aggregation SQL, so describe each implementation path accurately.</w:t>
      </w:r>
    </w:p>
    <w:p>
      <w:pPr>
        <w:keepNext/>
        <w:spacing w:before="100" w:after="20"/>
      </w:pPr>
      <w:r>
        <w:rPr>
          <w:b/>
          <w:color w:val="17365D"/>
        </w:rPr>
        <w:t>Q7. Why is exam_registrations an associative entity?</w:t>
      </w:r>
    </w:p>
    <w:p>
      <w:pPr>
        <w:spacing w:after="80" w:line="247" w:lineRule="auto"/>
        <w:ind w:left="259"/>
      </w:pPr>
      <w:r>
        <w:rPr>
          <w:b/>
          <w:color w:val="1F7A8C"/>
        </w:rPr>
        <w:t xml:space="preserve">Answer: </w:t>
      </w:r>
      <w:r>
        <w:t>It connects a student with an exam and offering and also stores registration-specific attributes such as attendance snapshot, eligibility reason, hall-ticket number and status.</w:t>
      </w:r>
    </w:p>
    <w:p>
      <w:pPr>
        <w:keepNext/>
        <w:spacing w:before="100" w:after="20"/>
      </w:pPr>
      <w:r>
        <w:rPr>
          <w:b/>
          <w:color w:val="17365D"/>
        </w:rPr>
        <w:t>Q8. How are duplicate registrations prevented?</w:t>
      </w:r>
    </w:p>
    <w:p>
      <w:pPr>
        <w:spacing w:after="80" w:line="247" w:lineRule="auto"/>
        <w:ind w:left="259"/>
      </w:pPr>
      <w:r>
        <w:rPr>
          <w:b/>
          <w:color w:val="1F7A8C"/>
        </w:rPr>
        <w:t xml:space="preserve">Answer: </w:t>
      </w:r>
      <w:r>
        <w:t>A composite unique key covers exam_id, student_id and offering_id; the procedure also checks for an existing registration and returns a clear error.</w:t>
      </w:r>
    </w:p>
    <w:p>
      <w:pPr>
        <w:keepNext/>
        <w:spacing w:before="100" w:after="20"/>
      </w:pPr>
      <w:r>
        <w:rPr>
          <w:b/>
          <w:color w:val="17365D"/>
        </w:rPr>
        <w:t>Q9. What happens when results are published?</w:t>
      </w:r>
    </w:p>
    <w:p>
      <w:pPr>
        <w:spacing w:after="80" w:line="247" w:lineRule="auto"/>
        <w:ind w:left="259"/>
      </w:pPr>
      <w:r>
        <w:rPr>
          <w:b/>
          <w:color w:val="1F7A8C"/>
        </w:rPr>
        <w:t xml:space="preserve">Answer: </w:t>
      </w:r>
      <w:r>
        <w:t>The publish procedure updates exam/semester publication flags, writes audit information and creates notifications; student-facing results are then exposed through the API/view.</w:t>
      </w:r>
    </w:p>
    <w:p>
      <w:pPr>
        <w:keepNext/>
        <w:spacing w:before="100" w:after="20"/>
      </w:pPr>
      <w:r>
        <w:rPr>
          <w:b/>
          <w:color w:val="17365D"/>
        </w:rPr>
        <w:t>Q10. What would you inspect if exam results show an incorrect grade?</w:t>
      </w:r>
    </w:p>
    <w:p>
      <w:pPr>
        <w:spacing w:after="80" w:line="247" w:lineRule="auto"/>
        <w:ind w:left="259"/>
      </w:pPr>
      <w:r>
        <w:rPr>
          <w:b/>
          <w:color w:val="1F7A8C"/>
        </w:rPr>
        <w:t xml:space="preserve">Answer: </w:t>
      </w:r>
      <w:r>
        <w:t>Inspect the marks row, its registration and schedule max_marks, the grade master/function boundaries, the derivation triggers, and the transaction/audit history before changing code.</w:t>
      </w:r>
    </w:p>
    <w:p>
      <w:pPr>
        <w:pStyle w:val="Heading1"/>
        <w:keepNext/>
        <w:spacing w:before="200" w:after="80"/>
      </w:pPr>
      <w:r>
        <w:t>10. Group rehearsal checklist</w:t>
      </w:r>
    </w:p>
    <w:p>
      <w:pPr>
        <w:pStyle w:val="ListBullet"/>
        <w:spacing w:after="60"/>
        <w:ind w:left="403" w:hanging="230"/>
      </w:pPr>
      <w:r>
        <w:t>Trace exam → schedule → registration → marks → result with exact PK/FK columns.</w:t>
      </w:r>
    </w:p>
    <w:p>
      <w:pPr>
        <w:pStyle w:val="ListBullet"/>
        <w:spacing w:after="60"/>
        <w:ind w:left="403" w:hanging="230"/>
      </w:pPr>
      <w:r>
        <w:t>Be ready to explain both the attendance threshold sources and the fee-gate discrepancy.</w:t>
      </w:r>
    </w:p>
    <w:p>
      <w:pPr>
        <w:pStyle w:val="ListBullet"/>
        <w:spacing w:after="60"/>
        <w:ind w:left="403" w:hanging="230"/>
      </w:pPr>
      <w:r>
        <w:t>Run the attendance boundary and marks tests on the current branch before quoting results.</w:t>
      </w:r>
    </w:p>
    <w:p>
      <w:pPr>
        <w:pStyle w:val="ListBullet"/>
        <w:spacing w:after="60"/>
        <w:ind w:left="403" w:hanging="230"/>
      </w:pPr>
      <w:r>
        <w:t>Use a test student/exam and do not publish or overwrite a real institution result; all seed records are generated demo data.</w:t>
      </w:r>
    </w:p>
    <w:p>
      <w:pPr>
        <w:pStyle w:val="Heading1"/>
        <w:keepNext/>
        <w:spacing w:before="200" w:after="80"/>
      </w:pPr>
      <w:r>
        <w:t>Repository references</w:t>
      </w:r>
    </w:p>
    <w:p>
      <w:pPr>
        <w:pStyle w:val="ListBullet"/>
        <w:spacing w:after="60"/>
        <w:ind w:left="403" w:hanging="230"/>
      </w:pPr>
      <w:r>
        <w:t>docs/MODULE_INTEGRATION.md §3 Module 4 and §6</w:t>
      </w:r>
    </w:p>
    <w:p>
      <w:pPr>
        <w:pStyle w:val="ListBullet"/>
        <w:spacing w:after="60"/>
        <w:ind w:left="403" w:hanging="230"/>
      </w:pPr>
      <w:r>
        <w:t>docs/DATA_DICTIONARY.md §4 Examination &amp; Results</w:t>
      </w:r>
    </w:p>
    <w:p>
      <w:pPr>
        <w:pStyle w:val="ListBullet"/>
        <w:spacing w:after="60"/>
        <w:ind w:left="403" w:hanging="230"/>
      </w:pPr>
      <w:r>
        <w:t>docs/ER_DIAGRAMS.md and docs/er/er_module4_examination_results.svg</w:t>
      </w:r>
    </w:p>
    <w:p>
      <w:pPr>
        <w:pStyle w:val="ListBullet"/>
        <w:spacing w:after="60"/>
        <w:ind w:left="403" w:hanging="230"/>
      </w:pPr>
      <w:r>
        <w:t>database/05_procedures.sql: registration, marks, result routines</w:t>
      </w:r>
    </w:p>
    <w:p>
      <w:pPr>
        <w:pStyle w:val="ListBullet"/>
        <w:spacing w:after="60"/>
        <w:ind w:left="403" w:hanging="230"/>
      </w:pPr>
      <w:r>
        <w:t>database/06_triggers.sql: exam/marks guards</w:t>
      </w:r>
    </w:p>
    <w:p>
      <w:pPr>
        <w:pStyle w:val="ListBullet"/>
        <w:spacing w:after="60"/>
        <w:ind w:left="403" w:hanging="230"/>
      </w:pPr>
      <w:r>
        <w:t>database/07_functions.sql: attendance, grade, SGPA/CGPA and dues functions</w:t>
      </w:r>
    </w:p>
    <w:p>
      <w:pPr>
        <w:pStyle w:val="ListBullet"/>
        <w:spacing w:after="60"/>
        <w:ind w:left="403" w:hanging="230"/>
      </w:pPr>
      <w:r>
        <w:t>tests/db/test_rules.sql</w:t>
      </w:r>
    </w:p>
    <w:p>
      <w:pPr>
        <w:pStyle w:val="ListBullet"/>
        <w:spacing w:after="60"/>
        <w:ind w:left="403" w:hanging="230"/>
      </w:pPr>
      <w:r>
        <w:t>tests/api/workflow.py</w:t>
      </w:r>
    </w:p>
    <w:p>
      <w:pPr>
        <w:spacing w:after="100" w:line="252" w:lineRule="auto"/>
      </w:pPr>
      <w:r>
        <w:t>Prepared from university-erp; all generated people, attendance, marks, fee and hostel records are demo data unless a source explicitly identifies institution-level facts. Prepared 17 October 2026.</w:t>
      </w:r>
    </w:p>
    <w:sectPr w:rsidR="00FC693F" w:rsidRPr="0006063C" w:rsidSect="00034616">
      <w:headerReference w:type="default" r:id="rId9"/>
      <w:footerReference w:type="default" r:id="rId10"/>
      <w:pgSz w:w="11909" w:h="16834"/>
      <w:pgMar w:top="965"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B6573"/>
        <w:sz w:val="16"/>
      </w:rPr>
      <w:t>DBMS M7 • Study and viva preparation • Generated demo data only</w:t>
    </w:r>
  </w:p>
  <w:p>
    <w:pPr>
      <w:jc w:val="right"/>
    </w:pPr>
    <w:r>
      <w:rPr>
        <w:color w:val="5B65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PICT ERP  |  Group 4 · Examination &amp;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7A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4 · Examination &amp; Results</dc:title>
  <dc:subject>Repository-grounded DBMS module and viva preparation</dc:subject>
  <dc:creator>University ERP M7 Study Guide</dc:creator>
  <cp:keywords>PICT ERP, DBMS, viva, study guide, MariaDB, MySQL</cp:keywords>
  <dc:description>generated by python-docx</dc:description>
  <cp:lastModifiedBy/>
  <cp:revision>1</cp:revision>
  <dcterms:created xsi:type="dcterms:W3CDTF">2013-12-23T23:15:00Z</dcterms:created>
  <dcterms:modified xsi:type="dcterms:W3CDTF">2013-12-23T23:15:00Z</dcterms:modified>
  <cp:category/>
</cp:coreProperties>
</file>