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914400" cy="914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ct-logo-256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00" w:after="40"/>
        <w:jc w:val="center"/>
      </w:pPr>
      <w:r>
        <w:rPr>
          <w:b/>
          <w:color w:val="1F7A8C"/>
          <w:sz w:val="22"/>
        </w:rPr>
        <w:t>PICT • UNIVERSITY HIGHER EDUCATION ERP</w:t>
      </w:r>
    </w:p>
    <w:p>
      <w:pPr>
        <w:pStyle w:val="Title"/>
        <w:spacing w:before="200" w:after="140"/>
        <w:jc w:val="center"/>
      </w:pPr>
      <w:r>
        <w:t>Module 5 Study Guide</w:t>
      </w:r>
    </w:p>
    <w:p>
      <w:pPr>
        <w:spacing w:after="200"/>
        <w:jc w:val="center"/>
      </w:pPr>
      <w:r>
        <w:rPr>
          <w:color w:val="1F4E79"/>
          <w:sz w:val="28"/>
        </w:rPr>
        <w:t>Fees &amp; Finance</w:t>
      </w:r>
    </w:p>
    <w:p>
      <w:pPr>
        <w:spacing w:after="360"/>
        <w:jc w:val="center"/>
      </w:pPr>
      <w:r>
        <w:rPr>
          <w:b/>
          <w:color w:val="17365D"/>
          <w:sz w:val="22"/>
        </w:rPr>
        <w:t>GROUP 5  •  MODULE 5</w:t>
      </w:r>
    </w:p>
    <w:p>
      <w:pPr>
        <w:spacing w:after="120"/>
        <w:jc w:val="center"/>
      </w:pPr>
      <w:r>
        <w:t>Repository-grounded edition • 17 October 2026</w:t>
      </w:r>
    </w:p>
    <w:p>
      <w:pPr>
        <w:spacing w:after="80"/>
        <w:jc w:val="center"/>
      </w:pPr>
      <w:r>
        <w:t>Prepared from the checked-in project docs, SQL schema, source paths and test scripts.</w:t>
      </w:r>
    </w:p>
    <w:p>
      <w:pPr>
        <w:spacing w:after="320"/>
        <w:jc w:val="center"/>
      </w:pPr>
      <w:r>
        <w:rPr>
          <w:color w:val="5B6573"/>
          <w:sz w:val="18"/>
        </w:rPr>
        <w:t>Presenters: ______________________________________________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835"/>
      </w:tblGrid>
      <w:tr>
        <w:tc>
          <w:tcPr>
            <w:tcW w:type="dxa" w:w="9835"/>
            <w:shd w:fill="E7F4F3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60"/>
            </w:pPr>
            <w:r/>
            <w:r>
              <w:rPr>
                <w:rFonts w:ascii="Calibri" w:hAnsi="Calibri"/>
                <w:b/>
                <w:color w:val="17365D"/>
                <w:sz w:val="20"/>
              </w:rPr>
              <w:t>Defense rule</w:t>
            </w:r>
          </w:p>
          <w:p>
            <w:pPr>
              <w:spacing w:after="0"/>
            </w:pPr>
            <w:r>
              <w:rPr>
                <w:rFonts w:ascii="Calibri" w:hAnsi="Calibri"/>
                <w:color w:val="263238"/>
                <w:sz w:val="18"/>
              </w:rPr>
              <w:t>Explain what the current source and a reproducible test prove. Distinguish documented intent from verified behavior, and label seeded people/transactions as generated demo data.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  <w:spacing w:before="200" w:after="80"/>
      </w:pPr>
      <w:r>
        <w:t>1. What the group owns</w:t>
      </w:r>
    </w:p>
    <w:p>
      <w:pPr>
        <w:spacing w:after="100" w:line="252" w:lineRule="auto"/>
      </w:pPr>
      <w:r>
        <w:t>Define fee structures, generate student bills, record payments and refunds, maintain a transaction ledger, apply scholarships/late charges, and provide fee status and collection reports.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835"/>
      </w:tblGrid>
      <w:tr>
        <w:tc>
          <w:tcPr>
            <w:tcW w:type="dxa" w:w="9835"/>
            <w:shd w:fill="EAF1F8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60"/>
            </w:pPr>
            <w:r/>
            <w:r>
              <w:rPr>
                <w:rFonts w:ascii="Calibri" w:hAnsi="Calibri"/>
                <w:b/>
                <w:color w:val="17365D"/>
                <w:sz w:val="20"/>
              </w:rPr>
              <w:t>One-sentence answer</w:t>
            </w:r>
          </w:p>
          <w:p>
            <w:pPr>
              <w:spacing w:after="0"/>
            </w:pPr>
            <w:r>
              <w:rPr>
                <w:rFonts w:ascii="Calibri" w:hAnsi="Calibri"/>
                <w:color w:val="263238"/>
                <w:sz w:val="18"/>
              </w:rPr>
              <w:t>The Fees &amp; Finance module owns its domain workflow and tables, but integrates with the shared users, students/faculty, academic masters and audit/notification services rather than becoming a separate application.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200" w:after="80"/>
      </w:pPr>
      <w:r>
        <w:t>2. Files to study and present</w:t>
      </w:r>
    </w:p>
    <w:p>
      <w:pPr>
        <w:spacing w:after="100" w:line="252" w:lineRule="auto"/>
      </w:pPr>
      <w:r>
        <w:t>Read the UI and API paths first; then trace one write down to its stored procedure/constraint and one read back from the database.</w:t>
      </w:r>
    </w:p>
    <w:p>
      <w:pPr>
        <w:pStyle w:val="Heading2"/>
        <w:keepNext/>
        <w:spacing w:before="140" w:after="80"/>
      </w:pPr>
      <w:r>
        <w:t>Frontend pages</w:t>
      </w:r>
    </w:p>
    <w:p>
      <w:pPr>
        <w:keepLines/>
        <w:spacing w:after="30"/>
        <w:ind w:left="230"/>
      </w:pPr>
      <w:r>
        <w:rPr>
          <w:rFonts w:ascii="Consolas" w:hAnsi="Consolas"/>
          <w:color w:val="1F4E79"/>
          <w:sz w:val="16"/>
        </w:rPr>
        <w:t>frontend/src/pages/fees/FeeStructuresPage.tsx</w:t>
      </w:r>
    </w:p>
    <w:p>
      <w:pPr>
        <w:keepLines/>
        <w:spacing w:after="30"/>
        <w:ind w:left="230"/>
      </w:pPr>
      <w:r>
        <w:rPr>
          <w:rFonts w:ascii="Consolas" w:hAnsi="Consolas"/>
          <w:color w:val="1F4E79"/>
          <w:sz w:val="16"/>
        </w:rPr>
        <w:t>frontend/src/pages/fees/BillsPage.tsx</w:t>
      </w:r>
    </w:p>
    <w:p>
      <w:pPr>
        <w:keepLines/>
        <w:spacing w:after="30"/>
        <w:ind w:left="230"/>
      </w:pPr>
      <w:r>
        <w:rPr>
          <w:rFonts w:ascii="Consolas" w:hAnsi="Consolas"/>
          <w:color w:val="1F4E79"/>
          <w:sz w:val="16"/>
        </w:rPr>
        <w:t>frontend/src/pages/fees/PaymentsPage.tsx</w:t>
      </w:r>
    </w:p>
    <w:p>
      <w:pPr>
        <w:keepLines/>
        <w:spacing w:after="30"/>
        <w:ind w:left="230"/>
      </w:pPr>
      <w:r>
        <w:rPr>
          <w:rFonts w:ascii="Consolas" w:hAnsi="Consolas"/>
          <w:color w:val="1F4E79"/>
          <w:sz w:val="16"/>
        </w:rPr>
        <w:t>frontend/src/pages/fees/DefaultersPage.tsx</w:t>
      </w:r>
    </w:p>
    <w:p>
      <w:pPr>
        <w:keepLines/>
        <w:spacing w:after="30"/>
        <w:ind w:left="230"/>
      </w:pPr>
      <w:r>
        <w:rPr>
          <w:rFonts w:ascii="Consolas" w:hAnsi="Consolas"/>
          <w:color w:val="1F4E79"/>
          <w:sz w:val="16"/>
        </w:rPr>
        <w:t>frontend/src/pages/fees/ScholarshipsPage.tsx</w:t>
      </w:r>
    </w:p>
    <w:p>
      <w:pPr>
        <w:keepLines/>
        <w:spacing w:after="30"/>
        <w:ind w:left="230"/>
      </w:pPr>
      <w:r>
        <w:rPr>
          <w:rFonts w:ascii="Consolas" w:hAnsi="Consolas"/>
          <w:color w:val="1F4E79"/>
          <w:sz w:val="16"/>
        </w:rPr>
        <w:t>frontend/src/pages/fees/MyFeesPage.tsx</w:t>
      </w:r>
    </w:p>
    <w:p>
      <w:pPr>
        <w:pStyle w:val="Heading2"/>
        <w:keepNext/>
        <w:spacing w:before="140" w:after="80"/>
      </w:pPr>
      <w:r>
        <w:t>Backend route-to-data path</w:t>
      </w:r>
    </w:p>
    <w:p>
      <w:pPr>
        <w:keepLines/>
        <w:spacing w:after="30"/>
        <w:ind w:left="230"/>
      </w:pPr>
      <w:r>
        <w:rPr>
          <w:rFonts w:ascii="Consolas" w:hAnsi="Consolas"/>
          <w:color w:val="1F4E79"/>
          <w:sz w:val="16"/>
        </w:rPr>
        <w:t>backend/src/routes/finance.routes.ts</w:t>
      </w:r>
    </w:p>
    <w:p>
      <w:pPr>
        <w:keepLines/>
        <w:spacing w:after="30"/>
        <w:ind w:left="230"/>
      </w:pPr>
      <w:r>
        <w:rPr>
          <w:rFonts w:ascii="Consolas" w:hAnsi="Consolas"/>
          <w:color w:val="1F4E79"/>
          <w:sz w:val="16"/>
        </w:rPr>
        <w:t>backend/src/controllers/finance.controller.ts</w:t>
      </w:r>
    </w:p>
    <w:p>
      <w:pPr>
        <w:keepLines/>
        <w:spacing w:after="30"/>
        <w:ind w:left="230"/>
      </w:pPr>
      <w:r>
        <w:rPr>
          <w:rFonts w:ascii="Consolas" w:hAnsi="Consolas"/>
          <w:color w:val="1F4E79"/>
          <w:sz w:val="16"/>
        </w:rPr>
        <w:t>backend/src/services/finance.service.ts</w:t>
      </w:r>
    </w:p>
    <w:p>
      <w:pPr>
        <w:keepLines/>
        <w:spacing w:after="30"/>
        <w:ind w:left="230"/>
      </w:pPr>
      <w:r>
        <w:rPr>
          <w:rFonts w:ascii="Consolas" w:hAnsi="Consolas"/>
          <w:color w:val="1F4E79"/>
          <w:sz w:val="16"/>
        </w:rPr>
        <w:t>backend/src/repositories/finance.repository.ts</w:t>
      </w:r>
    </w:p>
    <w:p>
      <w:pPr>
        <w:keepLines/>
        <w:spacing w:after="30"/>
        <w:ind w:left="230"/>
      </w:pPr>
      <w:r>
        <w:rPr>
          <w:rFonts w:ascii="Consolas" w:hAnsi="Consolas"/>
          <w:color w:val="1F4E79"/>
          <w:sz w:val="16"/>
        </w:rPr>
        <w:t>frontend/src/App.tsx</w:t>
      </w:r>
    </w:p>
    <w:p>
      <w:pPr>
        <w:keepLines/>
        <w:spacing w:after="30"/>
        <w:ind w:left="230"/>
      </w:pPr>
      <w:r>
        <w:rPr>
          <w:rFonts w:ascii="Consolas" w:hAnsi="Consolas"/>
          <w:color w:val="1F4E79"/>
          <w:sz w:val="16"/>
        </w:rPr>
        <w:t>frontend/src/components/AppShell.tsx</w:t>
      </w:r>
    </w:p>
    <w:p>
      <w:pPr>
        <w:keepLines/>
        <w:spacing w:after="30"/>
        <w:ind w:left="230"/>
      </w:pPr>
      <w:r>
        <w:rPr>
          <w:rFonts w:ascii="Consolas" w:hAnsi="Consolas"/>
          <w:color w:val="1F4E79"/>
          <w:sz w:val="16"/>
        </w:rPr>
        <w:t>frontend/src/lib/api.ts</w:t>
      </w:r>
    </w:p>
    <w:p>
      <w:pPr>
        <w:keepLines/>
        <w:spacing w:after="30"/>
        <w:ind w:left="230"/>
      </w:pPr>
      <w:r>
        <w:rPr>
          <w:rFonts w:ascii="Consolas" w:hAnsi="Consolas"/>
          <w:color w:val="1F4E79"/>
          <w:sz w:val="16"/>
        </w:rPr>
        <w:t>backend/src/routes/index.ts</w:t>
      </w:r>
    </w:p>
    <w:p>
      <w:pPr>
        <w:keepLines/>
        <w:spacing w:after="30"/>
        <w:ind w:left="230"/>
      </w:pPr>
      <w:r>
        <w:rPr>
          <w:rFonts w:ascii="Consolas" w:hAnsi="Consolas"/>
          <w:color w:val="1F4E79"/>
          <w:sz w:val="16"/>
        </w:rPr>
        <w:t>backend/src/middleware/auth.ts</w:t>
      </w:r>
    </w:p>
    <w:p>
      <w:pPr>
        <w:keepLines/>
        <w:spacing w:after="30"/>
        <w:ind w:left="230"/>
      </w:pPr>
      <w:r>
        <w:rPr>
          <w:rFonts w:ascii="Consolas" w:hAnsi="Consolas"/>
          <w:color w:val="1F4E79"/>
          <w:sz w:val="16"/>
        </w:rPr>
        <w:t>backend/src/middleware/validate.ts</w:t>
      </w:r>
    </w:p>
    <w:p>
      <w:pPr>
        <w:keepLines/>
        <w:spacing w:after="30"/>
        <w:ind w:left="230"/>
      </w:pPr>
      <w:r>
        <w:rPr>
          <w:rFonts w:ascii="Consolas" w:hAnsi="Consolas"/>
          <w:color w:val="1F4E79"/>
          <w:sz w:val="16"/>
        </w:rPr>
        <w:t>backend/src/config/database.ts</w:t>
      </w:r>
    </w:p>
    <w:p>
      <w:pPr>
        <w:pStyle w:val="Heading1"/>
        <w:keepNext/>
        <w:spacing w:before="200" w:after="80"/>
      </w:pPr>
      <w:r>
        <w:t>Stack and request architecture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78"/>
        <w:gridCol w:w="3278"/>
        <w:gridCol w:w="3278"/>
      </w:tblGrid>
      <w:tr>
        <w:trPr>
          <w:tblHeader w:val="true"/>
        </w:trPr>
        <w:tc>
          <w:tcPr>
            <w:tcW w:type="dxa" w:w="135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17365D"/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Layer</w:t>
            </w:r>
          </w:p>
        </w:tc>
        <w:tc>
          <w:tcPr>
            <w:tcW w:type="dxa" w:w="3458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17365D"/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What this project uses</w:t>
            </w:r>
          </w:p>
        </w:tc>
        <w:tc>
          <w:tcPr>
            <w:tcW w:type="dxa" w:w="4949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17365D"/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Viva point</w:t>
            </w:r>
          </w:p>
        </w:tc>
      </w:tr>
      <w:tr>
        <w:tc>
          <w:tcPr>
            <w:tcW w:type="dxa" w:w="135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color w:val="263238"/>
                <w:sz w:val="16"/>
              </w:rPr>
              <w:t>Frontend</w:t>
            </w:r>
          </w:p>
        </w:tc>
        <w:tc>
          <w:tcPr>
            <w:tcW w:type="dxa" w:w="3458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color w:val="263238"/>
                <w:sz w:val="16"/>
              </w:rPr>
              <w:t>React 18 + TypeScript + Tailwind + Vite + React Router + Axios</w:t>
            </w:r>
          </w:p>
        </w:tc>
        <w:tc>
          <w:tcPr>
            <w:tcW w:type="dxa" w:w="4949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color w:val="263238"/>
                <w:sz w:val="16"/>
              </w:rPr>
              <w:t>Role-aware SPA; modules are lazy-loaded and share one dashboard shell.</w:t>
            </w:r>
          </w:p>
        </w:tc>
      </w:tr>
      <w:tr>
        <w:tc>
          <w:tcPr>
            <w:tcW w:type="dxa" w:w="135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5F7FA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color w:val="263238"/>
                <w:sz w:val="16"/>
              </w:rPr>
              <w:t>API</w:t>
            </w:r>
          </w:p>
        </w:tc>
        <w:tc>
          <w:tcPr>
            <w:tcW w:type="dxa" w:w="3458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5F7FA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color w:val="263238"/>
                <w:sz w:val="16"/>
              </w:rPr>
              <w:t>Node 20 + Express + TypeScript + Zod + mysql2</w:t>
            </w:r>
          </w:p>
        </w:tc>
        <w:tc>
          <w:tcPr>
            <w:tcW w:type="dxa" w:w="4949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5F7FA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color w:val="263238"/>
                <w:sz w:val="16"/>
              </w:rPr>
              <w:t>Routes → auth/role/validation middleware → controller → service → repository.</w:t>
            </w:r>
          </w:p>
        </w:tc>
      </w:tr>
      <w:tr>
        <w:tc>
          <w:tcPr>
            <w:tcW w:type="dxa" w:w="135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color w:val="263238"/>
                <w:sz w:val="16"/>
              </w:rPr>
              <w:t>Database</w:t>
            </w:r>
          </w:p>
        </w:tc>
        <w:tc>
          <w:tcPr>
            <w:tcW w:type="dxa" w:w="3458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color w:val="263238"/>
                <w:sz w:val="16"/>
              </w:rPr>
              <w:t>MySQL 8 / MariaDB 10.6+</w:t>
            </w:r>
          </w:p>
        </w:tc>
        <w:tc>
          <w:tcPr>
            <w:tcW w:type="dxa" w:w="4949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color w:val="263238"/>
                <w:sz w:val="16"/>
              </w:rPr>
              <w:t>One relational source of truth; SQL constraints and business objects enforce integrity.</w:t>
            </w:r>
          </w:p>
        </w:tc>
      </w:tr>
      <w:tr>
        <w:tc>
          <w:tcPr>
            <w:tcW w:type="dxa" w:w="135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5F7FA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color w:val="263238"/>
                <w:sz w:val="16"/>
              </w:rPr>
              <w:t>Optional</w:t>
            </w:r>
          </w:p>
        </w:tc>
        <w:tc>
          <w:tcPr>
            <w:tcW w:type="dxa" w:w="3458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5F7FA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color w:val="263238"/>
                <w:sz w:val="16"/>
              </w:rPr>
              <w:t>MongoDB event sink; disabled/off by default</w:t>
            </w:r>
          </w:p>
        </w:tc>
        <w:tc>
          <w:tcPr>
            <w:tcW w:type="dxa" w:w="4949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5F7FA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color w:val="263238"/>
                <w:sz w:val="16"/>
              </w:rPr>
              <w:t>Not used for the transactional ERP records or business-rule source of truth.</w:t>
            </w:r>
          </w:p>
        </w:tc>
      </w:tr>
    </w:tbl>
    <w:p>
      <w:pPr>
        <w:spacing w:after="0"/>
      </w:pPr>
    </w:p>
    <w:p>
      <w:pPr>
        <w:spacing w:after="100" w:line="252" w:lineRule="auto"/>
      </w:pPr>
      <w:r>
        <w:t>Browser requests use relative /api/v1 URLs through the Vite /api proxy. Repository SQL uses parameterized values. Frontend role gates are for navigation; backend JWT/RBAC and row-level service scoping are the security boundary.</w:t>
      </w:r>
    </w:p>
    <w:p>
      <w:pPr>
        <w:pStyle w:val="Heading1"/>
        <w:keepNext/>
        <w:spacing w:before="200" w:after="80"/>
      </w:pPr>
      <w:r>
        <w:t>3. API surface and role</w:t>
      </w:r>
    </w:p>
    <w:p>
      <w:pPr>
        <w:pStyle w:val="ListBullet"/>
        <w:spacing w:after="60"/>
        <w:ind w:left="403" w:hanging="230"/>
      </w:pPr>
      <w:r>
        <w:t>Structures and bills: /api/v1/fees/structures, /api/v1/fees/bills, /bills/me, /bills/defaulters and ledger/report endpoints.</w:t>
      </w:r>
    </w:p>
    <w:p>
      <w:pPr>
        <w:pStyle w:val="ListBullet"/>
        <w:spacing w:after="60"/>
        <w:ind w:left="403" w:hanging="230"/>
      </w:pPr>
      <w:r>
        <w:t>Generate/apply charges: POST /api/v1/fees/generate and POST /api/v1/fees/apply-late-fees.</w:t>
      </w:r>
    </w:p>
    <w:p>
      <w:pPr>
        <w:pStyle w:val="ListBullet"/>
        <w:spacing w:after="60"/>
        <w:ind w:left="403" w:hanging="230"/>
      </w:pPr>
      <w:r>
        <w:t>Money operations: POST /api/v1/fees/payments, POST /api/v1/fees/payments/refund; scholarships, fines and GET /api/v1/fees/export/:kind.</w:t>
      </w:r>
    </w:p>
    <w:p>
      <w:pPr>
        <w:spacing w:after="100" w:line="252" w:lineRule="auto"/>
      </w:pPr>
      <w:r>
        <w:t>API module prefix: /api/v1. The matching router is mounted from backend/src/routes/index.ts. Before the viva, inspect each route’s requireRole(...) list; never infer authorization from a hidden navigation link.</w:t>
      </w:r>
    </w:p>
    <w:p>
      <w:pPr>
        <w:pStyle w:val="Heading1"/>
        <w:keepNext/>
        <w:spacing w:before="200" w:after="80"/>
      </w:pPr>
      <w:r>
        <w:t>4. Tables, primary keys and foreign keys</w:t>
      </w:r>
    </w:p>
    <w:p>
      <w:pPr>
        <w:spacing w:after="100" w:line="252" w:lineRule="auto"/>
      </w:pPr>
      <w:r>
        <w:t>The following key map is generated from docs/DATA_DICTIONARY.md for this guide. It lists each table’s PK and the table’s declared outgoing FKs; composite unique constraints are described in the relationship/rule notes below.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78"/>
        <w:gridCol w:w="3278"/>
        <w:gridCol w:w="3278"/>
      </w:tblGrid>
      <w:tr>
        <w:trPr>
          <w:tblHeader w:val="true"/>
        </w:trPr>
        <w:tc>
          <w:tcPr>
            <w:tcW w:type="dxa" w:w="1815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17365D"/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Table</w:t>
            </w:r>
          </w:p>
        </w:tc>
        <w:tc>
          <w:tcPr>
            <w:tcW w:type="dxa" w:w="165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17365D"/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Primary key</w:t>
            </w:r>
          </w:p>
        </w:tc>
        <w:tc>
          <w:tcPr>
            <w:tcW w:type="dxa" w:w="6297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17365D"/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Outgoing foreign keys (column → referenced table.column)</w:t>
            </w:r>
          </w:p>
        </w:tc>
      </w:tr>
      <w:tr>
        <w:tc>
          <w:tcPr>
            <w:tcW w:type="dxa" w:w="1815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color w:val="263238"/>
                <w:sz w:val="15"/>
              </w:rPr>
              <w:t>users</w:t>
            </w:r>
          </w:p>
        </w:tc>
        <w:tc>
          <w:tcPr>
            <w:tcW w:type="dxa" w:w="165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color w:val="263238"/>
                <w:sz w:val="15"/>
              </w:rPr>
              <w:t>user_id</w:t>
            </w:r>
          </w:p>
        </w:tc>
        <w:tc>
          <w:tcPr>
            <w:tcW w:type="dxa" w:w="6297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color w:val="263238"/>
                <w:sz w:val="15"/>
              </w:rPr>
              <w:t>`fk_users_role`: role_id → roles(role_id)</w:t>
            </w:r>
          </w:p>
        </w:tc>
      </w:tr>
      <w:tr>
        <w:tc>
          <w:tcPr>
            <w:tcW w:type="dxa" w:w="1815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5F7FA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color w:val="263238"/>
                <w:sz w:val="15"/>
              </w:rPr>
              <w:t>students</w:t>
            </w:r>
          </w:p>
        </w:tc>
        <w:tc>
          <w:tcPr>
            <w:tcW w:type="dxa" w:w="165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5F7FA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color w:val="263238"/>
                <w:sz w:val="15"/>
              </w:rPr>
              <w:t>student_id</w:t>
            </w:r>
          </w:p>
        </w:tc>
        <w:tc>
          <w:tcPr>
            <w:tcW w:type="dxa" w:w="6297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5F7FA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color w:val="263238"/>
                <w:sz w:val="15"/>
              </w:rPr>
              <w:t>`fk_students_batch`: batch_id → batches(batch_id), `fk_students_category`: category_id → categories(category_id), `fk_students_department`: department_id → departments(department_id), `fk_students_program`: program_id → programs(program_id), `fk_students_user`: user_id → users(user_id)</w:t>
            </w:r>
          </w:p>
        </w:tc>
      </w:tr>
      <w:tr>
        <w:tc>
          <w:tcPr>
            <w:tcW w:type="dxa" w:w="1815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color w:val="263238"/>
                <w:sz w:val="15"/>
              </w:rPr>
              <w:t>categories</w:t>
            </w:r>
          </w:p>
        </w:tc>
        <w:tc>
          <w:tcPr>
            <w:tcW w:type="dxa" w:w="165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color w:val="263238"/>
                <w:sz w:val="15"/>
              </w:rPr>
              <w:t>category_id</w:t>
            </w:r>
          </w:p>
        </w:tc>
        <w:tc>
          <w:tcPr>
            <w:tcW w:type="dxa" w:w="6297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color w:val="263238"/>
                <w:sz w:val="15"/>
              </w:rPr>
              <w:t>—</w:t>
            </w:r>
          </w:p>
        </w:tc>
      </w:tr>
      <w:tr>
        <w:tc>
          <w:tcPr>
            <w:tcW w:type="dxa" w:w="1815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5F7FA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color w:val="263238"/>
                <w:sz w:val="15"/>
              </w:rPr>
              <w:t>programs</w:t>
            </w:r>
          </w:p>
        </w:tc>
        <w:tc>
          <w:tcPr>
            <w:tcW w:type="dxa" w:w="165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5F7FA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color w:val="263238"/>
                <w:sz w:val="15"/>
              </w:rPr>
              <w:t>program_id</w:t>
            </w:r>
          </w:p>
        </w:tc>
        <w:tc>
          <w:tcPr>
            <w:tcW w:type="dxa" w:w="6297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5F7FA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color w:val="263238"/>
                <w:sz w:val="15"/>
              </w:rPr>
              <w:t>`fk_programs_department`: department_id → departments(department_id)</w:t>
            </w:r>
          </w:p>
        </w:tc>
      </w:tr>
      <w:tr>
        <w:tc>
          <w:tcPr>
            <w:tcW w:type="dxa" w:w="1815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color w:val="263238"/>
                <w:sz w:val="15"/>
              </w:rPr>
              <w:t>academic_years</w:t>
            </w:r>
          </w:p>
        </w:tc>
        <w:tc>
          <w:tcPr>
            <w:tcW w:type="dxa" w:w="165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color w:val="263238"/>
                <w:sz w:val="15"/>
              </w:rPr>
              <w:t>academic_year_id</w:t>
            </w:r>
          </w:p>
        </w:tc>
        <w:tc>
          <w:tcPr>
            <w:tcW w:type="dxa" w:w="6297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color w:val="263238"/>
                <w:sz w:val="15"/>
              </w:rPr>
              <w:t>—</w:t>
            </w:r>
          </w:p>
        </w:tc>
      </w:tr>
      <w:tr>
        <w:tc>
          <w:tcPr>
            <w:tcW w:type="dxa" w:w="1815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5F7FA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color w:val="263238"/>
                <w:sz w:val="15"/>
              </w:rPr>
              <w:t>semesters</w:t>
            </w:r>
          </w:p>
        </w:tc>
        <w:tc>
          <w:tcPr>
            <w:tcW w:type="dxa" w:w="165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5F7FA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color w:val="263238"/>
                <w:sz w:val="15"/>
              </w:rPr>
              <w:t>semester_id</w:t>
            </w:r>
          </w:p>
        </w:tc>
        <w:tc>
          <w:tcPr>
            <w:tcW w:type="dxa" w:w="6297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5F7FA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color w:val="263238"/>
                <w:sz w:val="15"/>
              </w:rPr>
              <w:t>`fk_semesters_year`: academic_year_id → academic_years(academic_year_id)</w:t>
            </w:r>
          </w:p>
        </w:tc>
      </w:tr>
      <w:tr>
        <w:tc>
          <w:tcPr>
            <w:tcW w:type="dxa" w:w="1815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color w:val="263238"/>
                <w:sz w:val="15"/>
              </w:rPr>
              <w:t>fee_structures</w:t>
            </w:r>
          </w:p>
        </w:tc>
        <w:tc>
          <w:tcPr>
            <w:tcW w:type="dxa" w:w="165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color w:val="263238"/>
                <w:sz w:val="15"/>
              </w:rPr>
              <w:t>fee_structure_id</w:t>
            </w:r>
          </w:p>
        </w:tc>
        <w:tc>
          <w:tcPr>
            <w:tcW w:type="dxa" w:w="6297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color w:val="263238"/>
                <w:sz w:val="15"/>
              </w:rPr>
              <w:t>`fk_fee_structures_category`: category_id → categories(category_id), `fk_fee_structures_program`: program_id → programs(program_id), `fk_fee_structures_year`: academic_year_id → academic_years(academic_year_id)</w:t>
            </w:r>
          </w:p>
        </w:tc>
      </w:tr>
      <w:tr>
        <w:tc>
          <w:tcPr>
            <w:tcW w:type="dxa" w:w="1815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5F7FA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color w:val="263238"/>
                <w:sz w:val="15"/>
              </w:rPr>
              <w:t>student_fees</w:t>
            </w:r>
          </w:p>
        </w:tc>
        <w:tc>
          <w:tcPr>
            <w:tcW w:type="dxa" w:w="165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5F7FA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color w:val="263238"/>
                <w:sz w:val="15"/>
              </w:rPr>
              <w:t>student_fee_id</w:t>
            </w:r>
          </w:p>
        </w:tc>
        <w:tc>
          <w:tcPr>
            <w:tcW w:type="dxa" w:w="6297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5F7FA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color w:val="263238"/>
                <w:sz w:val="15"/>
              </w:rPr>
              <w:t>`fk_student_fees_semester`: semester_id → semesters(semester_id), `fk_student_fees_structure`: fee_structure_id → fee_structures(fee_structure_id), `fk_student_fees_student`: student_id → students(student_id), `fk_student_fees_year`: academic_year_id → academic_years(academic_year_id)</w:t>
            </w:r>
          </w:p>
        </w:tc>
      </w:tr>
      <w:tr>
        <w:tc>
          <w:tcPr>
            <w:tcW w:type="dxa" w:w="1815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color w:val="263238"/>
                <w:sz w:val="15"/>
              </w:rPr>
              <w:t>payments</w:t>
            </w:r>
          </w:p>
        </w:tc>
        <w:tc>
          <w:tcPr>
            <w:tcW w:type="dxa" w:w="165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color w:val="263238"/>
                <w:sz w:val="15"/>
              </w:rPr>
              <w:t>payment_id</w:t>
            </w:r>
          </w:p>
        </w:tc>
        <w:tc>
          <w:tcPr>
            <w:tcW w:type="dxa" w:w="6297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color w:val="263238"/>
                <w:sz w:val="15"/>
              </w:rPr>
              <w:t>`fk_payments_fee`: student_fee_id → student_fees(student_fee_id), `fk_payments_receiver`: received_by → users(user_id), `fk_payments_student`: student_id → students(student_id)</w:t>
            </w:r>
          </w:p>
        </w:tc>
      </w:tr>
      <w:tr>
        <w:tc>
          <w:tcPr>
            <w:tcW w:type="dxa" w:w="1815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5F7FA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color w:val="263238"/>
                <w:sz w:val="15"/>
              </w:rPr>
              <w:t>scholarships</w:t>
            </w:r>
          </w:p>
        </w:tc>
        <w:tc>
          <w:tcPr>
            <w:tcW w:type="dxa" w:w="165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5F7FA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color w:val="263238"/>
                <w:sz w:val="15"/>
              </w:rPr>
              <w:t>scholarship_id</w:t>
            </w:r>
          </w:p>
        </w:tc>
        <w:tc>
          <w:tcPr>
            <w:tcW w:type="dxa" w:w="6297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5F7FA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color w:val="263238"/>
                <w:sz w:val="15"/>
              </w:rPr>
              <w:t>`fk_scholarships_year`: academic_year_id → academic_years(academic_year_id)</w:t>
            </w:r>
          </w:p>
        </w:tc>
      </w:tr>
      <w:tr>
        <w:tc>
          <w:tcPr>
            <w:tcW w:type="dxa" w:w="1815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color w:val="263238"/>
                <w:sz w:val="15"/>
              </w:rPr>
              <w:t>student_scholarships</w:t>
            </w:r>
          </w:p>
        </w:tc>
        <w:tc>
          <w:tcPr>
            <w:tcW w:type="dxa" w:w="165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color w:val="263238"/>
                <w:sz w:val="15"/>
              </w:rPr>
              <w:t>student_scholarship_id</w:t>
            </w:r>
          </w:p>
        </w:tc>
        <w:tc>
          <w:tcPr>
            <w:tcW w:type="dxa" w:w="6297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color w:val="263238"/>
                <w:sz w:val="15"/>
              </w:rPr>
              <w:t>`fk_ss_scholarship`: scholarship_id → scholarships(scholarship_id), `fk_ss_student`: student_id → students(student_id), `fk_ss_user`: sanctioned_by → users(user_id), `fk_ss_year`: academic_year_id → academic_years(academic_year_id)</w:t>
            </w:r>
          </w:p>
        </w:tc>
      </w:tr>
      <w:tr>
        <w:tc>
          <w:tcPr>
            <w:tcW w:type="dxa" w:w="1815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5F7FA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color w:val="263238"/>
                <w:sz w:val="15"/>
              </w:rPr>
              <w:t>fines</w:t>
            </w:r>
          </w:p>
        </w:tc>
        <w:tc>
          <w:tcPr>
            <w:tcW w:type="dxa" w:w="165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5F7FA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color w:val="263238"/>
                <w:sz w:val="15"/>
              </w:rPr>
              <w:t>fine_id</w:t>
            </w:r>
          </w:p>
        </w:tc>
        <w:tc>
          <w:tcPr>
            <w:tcW w:type="dxa" w:w="6297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5F7FA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color w:val="263238"/>
                <w:sz w:val="15"/>
              </w:rPr>
              <w:t>`fk_fines_fee`: student_fee_id → student_fees(student_fee_id), `fk_fines_student`: student_id → students(student_id), `fk_fines_user`: imposed_by → users(user_id)</w:t>
            </w:r>
          </w:p>
        </w:tc>
      </w:tr>
      <w:tr>
        <w:tc>
          <w:tcPr>
            <w:tcW w:type="dxa" w:w="1815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color w:val="263238"/>
                <w:sz w:val="15"/>
              </w:rPr>
              <w:t>refunds</w:t>
            </w:r>
          </w:p>
        </w:tc>
        <w:tc>
          <w:tcPr>
            <w:tcW w:type="dxa" w:w="165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color w:val="263238"/>
                <w:sz w:val="15"/>
              </w:rPr>
              <w:t>refund_id</w:t>
            </w:r>
          </w:p>
        </w:tc>
        <w:tc>
          <w:tcPr>
            <w:tcW w:type="dxa" w:w="6297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color w:val="263238"/>
                <w:sz w:val="15"/>
              </w:rPr>
              <w:t>`fk_refunds_payment`: payment_id → payments(payment_id), `fk_refunds_student`: student_id → students(student_id), `fk_refunds_user`: processed_by → users(user_id)</w:t>
            </w:r>
          </w:p>
        </w:tc>
      </w:tr>
      <w:tr>
        <w:tc>
          <w:tcPr>
            <w:tcW w:type="dxa" w:w="1815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5F7FA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color w:val="263238"/>
                <w:sz w:val="15"/>
              </w:rPr>
              <w:t>transactions</w:t>
            </w:r>
          </w:p>
        </w:tc>
        <w:tc>
          <w:tcPr>
            <w:tcW w:type="dxa" w:w="165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5F7FA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color w:val="263238"/>
                <w:sz w:val="15"/>
              </w:rPr>
              <w:t>transaction_id</w:t>
            </w:r>
          </w:p>
        </w:tc>
        <w:tc>
          <w:tcPr>
            <w:tcW w:type="dxa" w:w="6297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5F7FA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color w:val="263238"/>
                <w:sz w:val="15"/>
              </w:rPr>
              <w:t>`fk_txn_fee`: student_fee_id → student_fees(student_fee_id), `fk_txn_payment`: payment_id → payments(payment_id), `fk_txn_student`: student_id → students(student_id)</w:t>
            </w:r>
          </w:p>
        </w:tc>
      </w:tr>
      <w:tr>
        <w:tc>
          <w:tcPr>
            <w:tcW w:type="dxa" w:w="1815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color w:val="263238"/>
                <w:sz w:val="15"/>
              </w:rPr>
              <w:t>hostel_fees</w:t>
            </w:r>
          </w:p>
        </w:tc>
        <w:tc>
          <w:tcPr>
            <w:tcW w:type="dxa" w:w="165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color w:val="263238"/>
                <w:sz w:val="15"/>
              </w:rPr>
              <w:t>hostel_fee_id</w:t>
            </w:r>
          </w:p>
        </w:tc>
        <w:tc>
          <w:tcPr>
            <w:tcW w:type="dxa" w:w="6297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color w:val="263238"/>
                <w:sz w:val="15"/>
              </w:rPr>
              <w:t>`fk_hf_allocation`: allocation_id → room_allocations(allocation_id), `fk_hf_student`: student_id → students(student_id), `fk_hf_year`: academic_year_id → academic_years(academic_year_id)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200" w:after="80"/>
      </w:pPr>
      <w:r>
        <w:t>5. Workflow and relationships</w:t>
      </w:r>
    </w:p>
    <w:p>
      <w:pPr>
        <w:pStyle w:val="Heading2"/>
        <w:keepNext/>
        <w:spacing w:before="140" w:after="80"/>
      </w:pPr>
      <w:r>
        <w:t>Business flow</w:t>
      </w:r>
    </w:p>
    <w:p>
      <w:pPr>
        <w:pStyle w:val="ListNumber"/>
        <w:spacing w:after="60"/>
        <w:ind w:left="461" w:hanging="230"/>
      </w:pPr>
      <w:r>
        <w:t>fee_structures store program/category/year/semester pricing components and grace days; sp_generate_semester_fees creates one student_fees row for each eligible active student not already billed for that semester.</w:t>
      </w:r>
    </w:p>
    <w:p>
      <w:pPr>
        <w:pStyle w:val="ListNumber"/>
        <w:spacing w:after="60"/>
        <w:ind w:left="461" w:hanging="230"/>
      </w:pPr>
      <w:r>
        <w:t>A student_fees bill tracks total_amount, scholarship/discount, paid_amount, due_amount, due_date and status using DECIMAL money columns.</w:t>
      </w:r>
    </w:p>
    <w:p>
      <w:pPr>
        <w:pStyle w:val="ListNumber"/>
        <w:spacing w:after="60"/>
        <w:ind w:left="461" w:hanging="230"/>
      </w:pPr>
      <w:r>
        <w:t>sp_process_fee_payment validates a positive amount, an existing bill, amount not greater than current due and a nonduplicate transaction reference; it inserts a payment, generates a receipt, posts audit/notification data and commits.</w:t>
      </w:r>
    </w:p>
    <w:p>
      <w:pPr>
        <w:pStyle w:val="ListNumber"/>
        <w:spacing w:after="60"/>
        <w:ind w:left="461" w:hanging="230"/>
      </w:pPr>
      <w:r>
        <w:t>Payment triggers update the corresponding bill’s paid/due/status values and insert transaction-ledger rows; the generated receipt is tied to the payment PK.</w:t>
      </w:r>
    </w:p>
    <w:p>
      <w:pPr>
        <w:pStyle w:val="ListNumber"/>
        <w:spacing w:after="60"/>
        <w:ind w:left="461" w:hanging="230"/>
      </w:pPr>
      <w:r>
        <w:t>Late-fee processing uses fn_calculate_late_fee; scholarships are awarded in student_scholarships and can be credited when bills are generated.</w:t>
      </w:r>
    </w:p>
    <w:p>
      <w:pPr>
        <w:pStyle w:val="ListNumber"/>
        <w:spacing w:after="60"/>
        <w:ind w:left="461" w:hanging="230"/>
      </w:pPr>
      <w:r>
        <w:t>Refunds reference an original payment and student, preserving traceability rather than deleting the payment.</w:t>
      </w:r>
    </w:p>
    <w:p>
      <w:pPr>
        <w:pStyle w:val="Heading2"/>
        <w:keepNext/>
        <w:spacing w:before="140" w:after="80"/>
      </w:pPr>
      <w:r>
        <w:t>How the rows connect</w:t>
      </w:r>
    </w:p>
    <w:p>
      <w:pPr>
        <w:pStyle w:val="ListBullet"/>
        <w:spacing w:after="60"/>
        <w:ind w:left="403" w:hanging="230"/>
      </w:pPr>
      <w:r>
        <w:t>fee_structures reference programs, academic years and optionally categories; a fee structure is reused to generate bills.</w:t>
      </w:r>
    </w:p>
    <w:p>
      <w:pPr>
        <w:pStyle w:val="ListBullet"/>
        <w:spacing w:after="60"/>
        <w:ind w:left="403" w:hanging="230"/>
      </w:pPr>
      <w:r>
        <w:t>student_fees reference students, fee_structures, semesters and academic years; one student can have many bills across terms.</w:t>
      </w:r>
    </w:p>
    <w:p>
      <w:pPr>
        <w:pStyle w:val="ListBullet"/>
        <w:spacing w:after="60"/>
        <w:ind w:left="403" w:hanging="230"/>
      </w:pPr>
      <w:r>
        <w:t>payments reference student_fees and students, plus the user who received the payment; refunds reference the payment and student.</w:t>
      </w:r>
    </w:p>
    <w:p>
      <w:pPr>
        <w:pStyle w:val="ListBullet"/>
        <w:spacing w:after="60"/>
        <w:ind w:left="403" w:hanging="230"/>
      </w:pPr>
      <w:r>
        <w:t>transactions link student_fees, optional payments and students; they are a bill/payment ledger, not a full general-ledger double-entry accounting system.</w:t>
      </w:r>
    </w:p>
    <w:p>
      <w:pPr>
        <w:pStyle w:val="ListBullet"/>
        <w:spacing w:after="60"/>
        <w:ind w:left="403" w:hanging="230"/>
      </w:pPr>
      <w:r>
        <w:t>student_scholarships link student + scholarship + academic year. fines can optionally reference the fee bill.</w:t>
      </w:r>
    </w:p>
    <w:p>
      <w:pPr>
        <w:pStyle w:val="ListBullet"/>
        <w:spacing w:after="60"/>
        <w:ind w:left="403" w:hanging="230"/>
      </w:pPr>
      <w:r>
        <w:t>hostel_fees reference room_allocations separately; hostel rent is not the same record as an academic fee bill.</w:t>
      </w:r>
    </w:p>
    <w:p>
      <w:pPr>
        <w:pStyle w:val="Heading1"/>
        <w:keepNext/>
        <w:spacing w:before="200" w:after="80"/>
      </w:pPr>
      <w:r>
        <w:t>6. DBMS objects and rules to defend</w:t>
      </w:r>
    </w:p>
    <w:p>
      <w:pPr>
        <w:pStyle w:val="ListBullet"/>
        <w:spacing w:after="60"/>
        <w:ind w:left="403" w:hanging="230"/>
      </w:pPr>
      <w:r>
        <w:t>Procedures: sp_generate_semester_fees, sp_process_fee_payment and sp_apply_late_fees.</w:t>
      </w:r>
    </w:p>
    <w:p>
      <w:pPr>
        <w:pStyle w:val="ListBullet"/>
        <w:spacing w:after="60"/>
        <w:ind w:left="403" w:hanging="230"/>
      </w:pPr>
      <w:r>
        <w:t>Functions: fn_calculate_late_fee and fn_student_outstanding_dues.</w:t>
      </w:r>
    </w:p>
    <w:p>
      <w:pPr>
        <w:pStyle w:val="ListBullet"/>
        <w:spacing w:after="60"/>
        <w:ind w:left="403" w:hanging="230"/>
      </w:pPr>
      <w:r>
        <w:t>Triggers: trg_student_fees_ai_audit; trg_student_fees_bu_audit; trg_payment_ai; trg_payment_au.</w:t>
      </w:r>
    </w:p>
    <w:p>
      <w:pPr>
        <w:pStyle w:val="ListBullet"/>
        <w:spacing w:after="60"/>
        <w:ind w:left="403" w:hanging="230"/>
      </w:pPr>
      <w:r>
        <w:t>Views: v_student_fee_status, v_daily_fee_collection and v_fee_collection_summary.</w:t>
      </w:r>
    </w:p>
    <w:p>
      <w:pPr>
        <w:pStyle w:val="ListBullet"/>
        <w:spacing w:after="60"/>
        <w:ind w:left="403" w:hanging="230"/>
      </w:pPr>
      <w:r>
        <w:t>Integrity: DECIMAL rather than floating-point for money; unique receipt/transaction references; FKs from payment/refund/ledger records; nonnegative/check constraints and transaction handling.</w:t>
      </w:r>
    </w:p>
    <w:p>
      <w:pPr>
        <w:spacing w:after="100" w:line="252" w:lineRule="auto"/>
      </w:pPr>
      <w:r>
        <w:t>Use the ER diagram for cardinality, the data dictionary for exact column types/keys, and the SQL definition for actual enforcement. A view is a read model; it is not a base table. A UI validation message is not a database constraint.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835"/>
      </w:tblGrid>
      <w:tr>
        <w:tc>
          <w:tcPr>
            <w:tcW w:type="dxa" w:w="9835"/>
            <w:shd w:fill="FCE8E6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60"/>
            </w:pPr>
            <w:r/>
            <w:r>
              <w:rPr>
                <w:rFonts w:ascii="Calibri" w:hAnsi="Calibri"/>
                <w:b/>
                <w:color w:val="A61B1B"/>
                <w:sz w:val="20"/>
              </w:rPr>
              <w:t>Source/code discrepancy — answer carefully</w:t>
            </w:r>
          </w:p>
          <w:p>
            <w:pPr>
              <w:spacing w:after="0"/>
            </w:pPr>
            <w:r>
              <w:rPr>
                <w:rFonts w:ascii="Calibri" w:hAnsi="Calibri"/>
                <w:color w:val="263238"/>
                <w:sz w:val="18"/>
              </w:rPr>
              <w:t>Cross-module claim to verify: the finance function fn_student_outstanding_dues correctly sums student_fees.due_amount for PENDING/PARTIAL/OVERDUE bills, but the visible exam-registration procedure calculates this value without acting on it. Treat ‘fees block exam registration’ as a documented intent, not a currently verified rule, until a direct registration test proves it.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200" w:after="80"/>
      </w:pPr>
      <w:r>
        <w:t>7. Live demonstration sequence</w:t>
      </w:r>
    </w:p>
    <w:p>
      <w:pPr>
        <w:pStyle w:val="ListNumber"/>
        <w:spacing w:after="60"/>
        <w:ind w:left="461" w:hanging="230"/>
      </w:pPr>
      <w:r>
        <w:t>Sign in as the ACCOUNTANT demo role and open a known pending bill for generated demo student data.</w:t>
      </w:r>
    </w:p>
    <w:p>
      <w:pPr>
        <w:pStyle w:val="ListNumber"/>
        <w:spacing w:after="60"/>
        <w:ind w:left="461" w:hanging="230"/>
      </w:pPr>
      <w:r>
        <w:t>Record a small partial payment with a clearly fake reference (for example a VIVA-DEMO string). Show the receipt number and payment row.</w:t>
      </w:r>
    </w:p>
    <w:p>
      <w:pPr>
        <w:pStyle w:val="ListNumber"/>
        <w:spacing w:after="60"/>
        <w:ind w:left="461" w:hanging="230"/>
      </w:pPr>
      <w:r>
        <w:t>Refresh the bill and ledger: paid_amount should rise, due_amount fall, the status reflect PARTIAL or PAID, and a transaction/audit row appear.</w:t>
      </w:r>
    </w:p>
    <w:p>
      <w:pPr>
        <w:pStyle w:val="ListNumber"/>
        <w:spacing w:after="60"/>
        <w:ind w:left="461" w:hanging="230"/>
      </w:pPr>
      <w:r>
        <w:t>Show one collection or defaulter report. If demonstrating late fees, use a disposable seeded database and show the grace-date policy.</w:t>
      </w:r>
    </w:p>
    <w:p>
      <w:pPr>
        <w:pStyle w:val="ListNumber"/>
        <w:spacing w:after="60"/>
        <w:ind w:left="461" w:hanging="230"/>
      </w:pPr>
      <w:r>
        <w:t>Do not enter real card/bank credentials: this prototype records a payment event; it is not a payment-gateway integration.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835"/>
      </w:tblGrid>
      <w:tr>
        <w:tc>
          <w:tcPr>
            <w:tcW w:type="dxa" w:w="9835"/>
            <w:shd w:fill="E7F4F3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60"/>
            </w:pPr>
            <w:r/>
            <w:r>
              <w:rPr>
                <w:rFonts w:ascii="Calibri" w:hAnsi="Calibri"/>
                <w:b/>
                <w:color w:val="17365D"/>
                <w:sz w:val="20"/>
              </w:rPr>
              <w:t>Success-message rule</w:t>
            </w:r>
          </w:p>
          <w:p>
            <w:pPr>
              <w:spacing w:after="0"/>
            </w:pPr>
            <w:r>
              <w:rPr>
                <w:rFonts w:ascii="Calibri" w:hAnsi="Calibri"/>
                <w:color w:val="263238"/>
                <w:sz w:val="18"/>
              </w:rPr>
              <w:t>Only treat an operation as successful after the API confirms it. If the API/database is unavailable, switch to a recorded screenshot or explain the source path; do not imply that a frontend-only preview proves database behavior.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200" w:after="80"/>
      </w:pPr>
      <w:r>
        <w:t>8. Test and verification plan</w:t>
      </w:r>
    </w:p>
    <w:p>
      <w:pPr>
        <w:pStyle w:val="ListBullet"/>
        <w:spacing w:after="60"/>
        <w:ind w:left="403" w:hanging="230"/>
      </w:pPr>
      <w:r>
        <w:t>tests/api/workflow.py posts a payment against a pending bill, fetches the receipt/ledger and runs the late-fee endpoint; it also checks a fee-structure edit audit when prerequisites exist.</w:t>
      </w:r>
    </w:p>
    <w:p>
      <w:pPr>
        <w:pStyle w:val="ListBullet"/>
        <w:spacing w:after="60"/>
        <w:ind w:left="403" w:hanging="230"/>
      </w:pPr>
      <w:r>
        <w:t>tests/db/test_rules.sql covers database business-rule assertions; inspect current payment/ledger assertions before quoting exact totals.</w:t>
      </w:r>
    </w:p>
    <w:p>
      <w:pPr>
        <w:pStyle w:val="ListBullet"/>
        <w:spacing w:after="60"/>
        <w:ind w:left="403" w:hanging="230"/>
      </w:pPr>
      <w:r>
        <w:t>Build and API smoke tests should run against the same database schema and seed as the demo. Payment workflow mutates balances and is not a read-only test.</w:t>
      </w:r>
    </w:p>
    <w:p>
      <w:pPr>
        <w:pStyle w:val="ListBullet"/>
        <w:spacing w:after="60"/>
        <w:ind w:left="403" w:hanging="230"/>
      </w:pPr>
      <w:r>
        <w:t>Fee calculation and receipt generation need a running SQL database; a frontend-only preview cannot verify them.</w:t>
      </w:r>
    </w:p>
    <w:p>
      <w:pPr>
        <w:pStyle w:val="Heading2"/>
        <w:keepNext/>
        <w:spacing w:before="140" w:after="80"/>
      </w:pPr>
      <w:r>
        <w:t>Commands to run from the repository root</w:t>
      </w:r>
    </w:p>
    <w:p>
      <w:pPr>
        <w:keepLines/>
        <w:spacing w:after="30"/>
        <w:ind w:left="230"/>
      </w:pPr>
      <w:r>
        <w:rPr>
          <w:rFonts w:ascii="Consolas" w:hAnsi="Consolas"/>
          <w:color w:val="1F4E79"/>
          <w:sz w:val="16"/>
        </w:rPr>
        <w:t>(cd backend &amp;&amp; npm run build)</w:t>
      </w:r>
    </w:p>
    <w:p>
      <w:pPr>
        <w:keepLines/>
        <w:spacing w:after="30"/>
        <w:ind w:left="230"/>
      </w:pPr>
      <w:r>
        <w:rPr>
          <w:rFonts w:ascii="Consolas" w:hAnsi="Consolas"/>
          <w:color w:val="1F4E79"/>
          <w:sz w:val="16"/>
        </w:rPr>
        <w:t>(cd frontend &amp;&amp; npm run build)</w:t>
      </w:r>
    </w:p>
    <w:p>
      <w:pPr>
        <w:keepLines/>
        <w:spacing w:after="30"/>
        <w:ind w:left="230"/>
      </w:pPr>
      <w:r>
        <w:rPr>
          <w:rFonts w:ascii="Consolas" w:hAnsi="Consolas"/>
          <w:color w:val="1F4E79"/>
          <w:sz w:val="16"/>
        </w:rPr>
        <w:t>bash tests/api/smoke.sh</w:t>
      </w:r>
    </w:p>
    <w:p>
      <w:pPr>
        <w:keepLines/>
        <w:spacing w:after="30"/>
        <w:ind w:left="230"/>
      </w:pPr>
      <w:r>
        <w:rPr>
          <w:rFonts w:ascii="Consolas" w:hAnsi="Consolas"/>
          <w:color w:val="1F4E79"/>
          <w:sz w:val="16"/>
        </w:rPr>
        <w:t>python3 tests/api/workflow.py</w:t>
      </w:r>
    </w:p>
    <w:p>
      <w:pPr>
        <w:keepLines/>
        <w:spacing w:after="30"/>
        <w:ind w:left="230"/>
      </w:pPr>
      <w:r>
        <w:rPr>
          <w:rFonts w:ascii="Consolas" w:hAnsi="Consolas"/>
          <w:color w:val="1F4E79"/>
          <w:sz w:val="16"/>
        </w:rPr>
        <w:t>(cd backend &amp;&amp; npm run test:db)</w:t>
      </w:r>
    </w:p>
    <w:p>
      <w:pPr>
        <w:spacing w:after="100" w:line="252" w:lineRule="auto"/>
      </w:pPr>
      <w:r>
        <w:t>The API/database commands require the matching service and a seeded disposable database. Use the exact current output in your presentation; do not copy an old pass count from a report without reproducing it.</w:t>
      </w:r>
    </w:p>
    <w:p>
      <w:pPr>
        <w:pStyle w:val="Heading1"/>
        <w:keepNext/>
        <w:spacing w:before="200" w:after="80"/>
      </w:pPr>
      <w:r>
        <w:t>9. Likely viva questions with model answers</w:t>
      </w:r>
    </w:p>
    <w:p>
      <w:pPr>
        <w:keepNext/>
        <w:spacing w:before="100" w:after="20"/>
      </w:pPr>
      <w:r>
        <w:rPr>
          <w:b/>
          <w:color w:val="17365D"/>
        </w:rPr>
        <w:t>Q1. Why separate fee_structures, student_fees and payments?</w:t>
      </w:r>
    </w:p>
    <w:p>
      <w:pPr>
        <w:spacing w:after="80" w:line="247" w:lineRule="auto"/>
        <w:ind w:left="259"/>
      </w:pPr>
      <w:r>
        <w:rPr>
          <w:b/>
          <w:color w:val="1F7A8C"/>
        </w:rPr>
        <w:t xml:space="preserve">Answer: </w:t>
      </w:r>
      <w:r>
        <w:t>A structure is a reusable price template; student_fees is the student’s actual bill/snapshot for a term; payments are individual receipts/events against that bill. This preserves history if the template later changes.</w:t>
      </w:r>
    </w:p>
    <w:p>
      <w:pPr>
        <w:keepNext/>
        <w:spacing w:before="100" w:after="20"/>
      </w:pPr>
      <w:r>
        <w:rPr>
          <w:b/>
          <w:color w:val="17365D"/>
        </w:rPr>
        <w:t>Q2. Why use DECIMAL for money?</w:t>
      </w:r>
    </w:p>
    <w:p>
      <w:pPr>
        <w:spacing w:after="80" w:line="247" w:lineRule="auto"/>
        <w:ind w:left="259"/>
      </w:pPr>
      <w:r>
        <w:rPr>
          <w:b/>
          <w:color w:val="1F7A8C"/>
        </w:rPr>
        <w:t xml:space="preserve">Answer: </w:t>
      </w:r>
      <w:r>
        <w:t>DECIMAL stores exact base-10 values at the declared precision. Floating-point can introduce rounding artifacts in currency calculations.</w:t>
      </w:r>
    </w:p>
    <w:p>
      <w:pPr>
        <w:keepNext/>
        <w:spacing w:before="100" w:after="20"/>
      </w:pPr>
      <w:r>
        <w:rPr>
          <w:b/>
          <w:color w:val="17365D"/>
        </w:rPr>
        <w:t>Q3. What makes a payment atomic?</w:t>
      </w:r>
    </w:p>
    <w:p>
      <w:pPr>
        <w:spacing w:after="80" w:line="247" w:lineRule="auto"/>
        <w:ind w:left="259"/>
      </w:pPr>
      <w:r>
        <w:rPr>
          <w:b/>
          <w:color w:val="1F7A8C"/>
        </w:rPr>
        <w:t xml:space="preserve">Answer: </w:t>
      </w:r>
      <w:r>
        <w:t>The payment procedure validates the amount and bill, inserts the payment/receipt and relies on triggers to update bill and ledger state, with transaction boundaries and rollback on SQL exceptions.</w:t>
      </w:r>
    </w:p>
    <w:p>
      <w:pPr>
        <w:keepNext/>
        <w:spacing w:before="100" w:after="20"/>
      </w:pPr>
      <w:r>
        <w:rPr>
          <w:b/>
          <w:color w:val="17365D"/>
        </w:rPr>
        <w:t>Q4. What is stored in transactions?</w:t>
      </w:r>
    </w:p>
    <w:p>
      <w:pPr>
        <w:spacing w:after="80" w:line="247" w:lineRule="auto"/>
        <w:ind w:left="259"/>
      </w:pPr>
      <w:r>
        <w:rPr>
          <w:b/>
          <w:color w:val="1F7A8C"/>
        </w:rPr>
        <w:t xml:space="preserve">Answer: </w:t>
      </w:r>
      <w:r>
        <w:t>Bill/payment ledger entries that show debit/credit direction, amount and running balance for a student fee record. It is an auditable operational ledger, not a full chart-of-accounts double-entry general ledger.</w:t>
      </w:r>
    </w:p>
    <w:p>
      <w:pPr>
        <w:keepNext/>
        <w:spacing w:before="100" w:after="20"/>
      </w:pPr>
      <w:r>
        <w:rPr>
          <w:b/>
          <w:color w:val="17365D"/>
        </w:rPr>
        <w:t>Q5. How are duplicate receipts prevented?</w:t>
      </w:r>
    </w:p>
    <w:p>
      <w:pPr>
        <w:spacing w:after="80" w:line="247" w:lineRule="auto"/>
        <w:ind w:left="259"/>
      </w:pPr>
      <w:r>
        <w:rPr>
          <w:b/>
          <w:color w:val="1F7A8C"/>
        </w:rPr>
        <w:t xml:space="preserve">Answer: </w:t>
      </w:r>
      <w:r>
        <w:t>Unique keys on receipt/transaction identifiers provide the database-level guarantee; the procedure also checks a supplied transaction reference before insertion.</w:t>
      </w:r>
    </w:p>
    <w:p>
      <w:pPr>
        <w:keepNext/>
        <w:spacing w:before="100" w:after="20"/>
      </w:pPr>
      <w:r>
        <w:rPr>
          <w:b/>
          <w:color w:val="17365D"/>
        </w:rPr>
        <w:t>Q6. What happens with a partial payment?</w:t>
      </w:r>
    </w:p>
    <w:p>
      <w:pPr>
        <w:spacing w:after="80" w:line="247" w:lineRule="auto"/>
        <w:ind w:left="259"/>
      </w:pPr>
      <w:r>
        <w:rPr>
          <w:b/>
          <w:color w:val="1F7A8C"/>
        </w:rPr>
        <w:t xml:space="preserve">Answer: </w:t>
      </w:r>
      <w:r>
        <w:t>The payment row records the amount and receipt; triggers update paid_amount and due_amount, and the bill remains partial/pending according to the resulting due/status rule.</w:t>
      </w:r>
    </w:p>
    <w:p>
      <w:pPr>
        <w:keepNext/>
        <w:spacing w:before="100" w:after="20"/>
      </w:pPr>
      <w:r>
        <w:rPr>
          <w:b/>
          <w:color w:val="17365D"/>
        </w:rPr>
        <w:t>Q7. How is a scholarship applied?</w:t>
      </w:r>
    </w:p>
    <w:p>
      <w:pPr>
        <w:spacing w:after="80" w:line="247" w:lineRule="auto"/>
        <w:ind w:left="259"/>
      </w:pPr>
      <w:r>
        <w:rPr>
          <w:b/>
          <w:color w:val="1F7A8C"/>
        </w:rPr>
        <w:t xml:space="preserve">Answer: </w:t>
      </w:r>
      <w:r>
        <w:t>A scholarship scheme is a master row; a student award links student, scholarship and academic year. Fee generation can credit the approved amount against generated bills.</w:t>
      </w:r>
    </w:p>
    <w:p>
      <w:pPr>
        <w:keepNext/>
        <w:spacing w:before="100" w:after="20"/>
      </w:pPr>
      <w:r>
        <w:rPr>
          <w:b/>
          <w:color w:val="17365D"/>
        </w:rPr>
        <w:t>Q8. Is the fee system connected to a bank or UPI gateway?</w:t>
      </w:r>
    </w:p>
    <w:p>
      <w:pPr>
        <w:spacing w:after="80" w:line="247" w:lineRule="auto"/>
        <w:ind w:left="259"/>
      </w:pPr>
      <w:r>
        <w:rPr>
          <w:b/>
          <w:color w:val="1F7A8C"/>
        </w:rPr>
        <w:t xml:space="preserve">Answer: </w:t>
      </w:r>
      <w:r>
        <w:t>No. The prototype records payment mode and reference and generates an ERP receipt; external settlement/gateway processing is outside this project’s scope.</w:t>
      </w:r>
    </w:p>
    <w:p>
      <w:pPr>
        <w:keepNext/>
        <w:spacing w:before="100" w:after="20"/>
      </w:pPr>
      <w:r>
        <w:rPr>
          <w:b/>
          <w:color w:val="17365D"/>
        </w:rPr>
        <w:t>Q9. Do unpaid fees definitely block exam registration in the current source?</w:t>
      </w:r>
    </w:p>
    <w:p>
      <w:pPr>
        <w:spacing w:after="80" w:line="247" w:lineRule="auto"/>
        <w:ind w:left="259"/>
      </w:pPr>
      <w:r>
        <w:rPr>
          <w:b/>
          <w:color w:val="1F7A8C"/>
        </w:rPr>
        <w:t xml:space="preserve">Answer: </w:t>
      </w:r>
      <w:r>
        <w:t>The docs claim that they do, but the visible exam procedure only computes the dues function result and does not branch on it; the exam trigger also does not check dues. I would not claim the gate is enforced until fixed and covered by an API/SQL test.</w:t>
      </w:r>
    </w:p>
    <w:p>
      <w:pPr>
        <w:keepNext/>
        <w:spacing w:before="100" w:after="20"/>
      </w:pPr>
      <w:r>
        <w:rPr>
          <w:b/>
          <w:color w:val="17365D"/>
        </w:rPr>
        <w:t>Q10. Can a refund erase the original payment?</w:t>
      </w:r>
    </w:p>
    <w:p>
      <w:pPr>
        <w:spacing w:after="80" w:line="247" w:lineRule="auto"/>
        <w:ind w:left="259"/>
      </w:pPr>
      <w:r>
        <w:rPr>
          <w:b/>
          <w:color w:val="1F7A8C"/>
        </w:rPr>
        <w:t xml:space="preserve">Answer: </w:t>
      </w:r>
      <w:r>
        <w:t>No. A refund is a dependent record referencing the original payment, so the original transaction and its audit history remain traceable.</w:t>
      </w:r>
    </w:p>
    <w:p>
      <w:pPr>
        <w:pStyle w:val="Heading1"/>
        <w:keepNext/>
        <w:spacing w:before="200" w:after="80"/>
      </w:pPr>
      <w:r>
        <w:t>10. Group rehearsal checklist</w:t>
      </w:r>
    </w:p>
    <w:p>
      <w:pPr>
        <w:pStyle w:val="ListBullet"/>
        <w:spacing w:after="60"/>
        <w:ind w:left="403" w:hanging="230"/>
      </w:pPr>
      <w:r>
        <w:t>Write the bill arithmetic in words: total minus scholarship/discount minus paid, plus applicable late fee under the current rule.</w:t>
      </w:r>
    </w:p>
    <w:p>
      <w:pPr>
        <w:pStyle w:val="ListBullet"/>
        <w:spacing w:after="60"/>
        <w:ind w:left="403" w:hanging="230"/>
      </w:pPr>
      <w:r>
        <w:t>Know the PK/FK path from student_fees to payments to transactions/refunds.</w:t>
      </w:r>
    </w:p>
    <w:p>
      <w:pPr>
        <w:pStyle w:val="ListBullet"/>
        <w:spacing w:after="60"/>
        <w:ind w:left="403" w:hanging="230"/>
      </w:pPr>
      <w:r>
        <w:t>Demonstrate the receipt and updated balance only after the API confirms success.</w:t>
      </w:r>
    </w:p>
    <w:p>
      <w:pPr>
        <w:pStyle w:val="ListBullet"/>
        <w:spacing w:after="60"/>
        <w:ind w:left="403" w:hanging="230"/>
      </w:pPr>
      <w:r>
        <w:t>Disclose the exam-dues gate discrepancy; a dues function existing is not proof that registration enforces it.</w:t>
      </w:r>
    </w:p>
    <w:p>
      <w:pPr>
        <w:pStyle w:val="Heading1"/>
        <w:keepNext/>
        <w:spacing w:before="200" w:after="80"/>
      </w:pPr>
      <w:r>
        <w:t>Repository references</w:t>
      </w:r>
    </w:p>
    <w:p>
      <w:pPr>
        <w:pStyle w:val="ListBullet"/>
        <w:spacing w:after="60"/>
        <w:ind w:left="403" w:hanging="230"/>
      </w:pPr>
      <w:r>
        <w:t>docs/MODULE_INTEGRATION.md §3 Module 5, §6 and §7</w:t>
      </w:r>
    </w:p>
    <w:p>
      <w:pPr>
        <w:pStyle w:val="ListBullet"/>
        <w:spacing w:after="60"/>
        <w:ind w:left="403" w:hanging="230"/>
      </w:pPr>
      <w:r>
        <w:t>docs/DATA_DICTIONARY.md §5 Fees &amp; Finance</w:t>
      </w:r>
    </w:p>
    <w:p>
      <w:pPr>
        <w:pStyle w:val="ListBullet"/>
        <w:spacing w:after="60"/>
        <w:ind w:left="403" w:hanging="230"/>
      </w:pPr>
      <w:r>
        <w:t>docs/ER_DIAGRAMS.md and docs/er/er_module5_fees_finance.svg</w:t>
      </w:r>
    </w:p>
    <w:p>
      <w:pPr>
        <w:pStyle w:val="ListBullet"/>
        <w:spacing w:after="60"/>
        <w:ind w:left="403" w:hanging="230"/>
      </w:pPr>
      <w:r>
        <w:t>database/05_procedures.sql: fee procedures</w:t>
      </w:r>
    </w:p>
    <w:p>
      <w:pPr>
        <w:pStyle w:val="ListBullet"/>
        <w:spacing w:after="60"/>
        <w:ind w:left="403" w:hanging="230"/>
      </w:pPr>
      <w:r>
        <w:t>database/06_triggers.sql: fee/payment triggers</w:t>
      </w:r>
    </w:p>
    <w:p>
      <w:pPr>
        <w:pStyle w:val="ListBullet"/>
        <w:spacing w:after="60"/>
        <w:ind w:left="403" w:hanging="230"/>
      </w:pPr>
      <w:r>
        <w:t>database/07_functions.sql: late fee and outstanding dues</w:t>
      </w:r>
    </w:p>
    <w:p>
      <w:pPr>
        <w:pStyle w:val="ListBullet"/>
        <w:spacing w:after="60"/>
        <w:ind w:left="403" w:hanging="230"/>
      </w:pPr>
      <w:r>
        <w:t>tests/api/workflow.py: fee section</w:t>
      </w:r>
    </w:p>
    <w:p>
      <w:pPr>
        <w:spacing w:after="100" w:line="252" w:lineRule="auto"/>
      </w:pPr>
      <w:r>
        <w:t>Prepared from university-erp; all generated people, attendance, marks, fee and hostel records are demo data unless a source explicitly identifies institution-level facts. Prepared 17 October 2026.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965" w:right="1037" w:bottom="936" w:left="1037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rFonts w:ascii="Calibri" w:hAnsi="Calibri"/>
        <w:color w:val="5B6573"/>
        <w:sz w:val="16"/>
      </w:rPr>
      <w:t>DBMS M7 • Study and viva preparation • Generated demo data only</w:t>
    </w:r>
  </w:p>
  <w:p>
    <w:pPr>
      <w:jc w:val="right"/>
    </w:pPr>
    <w:r>
      <w:rPr>
        <w:color w:val="5B6573"/>
        <w:sz w:val="16"/>
      </w:rPr>
      <w:t xml:space="preserve">Page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5B6573"/>
        <w:sz w:val="16"/>
      </w:rPr>
      <w:t>PICT ERP  |  Group 5 · Fees &amp; Finance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Calibri" w:hAnsi="Calibri"/>
      <w:color w:val="263238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7365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4E79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7A8C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17365D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Group 5 · Fees &amp; Finance</dc:title>
  <dc:subject>Repository-grounded DBMS module and viva preparation</dc:subject>
  <dc:creator>University ERP M7 Study Guide</dc:creator>
  <cp:keywords>PICT ERP, DBMS, viva, study guide, MariaDB, MySQL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