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/>
          <w:b/>
          <w:sz w:val="40"/>
          <w:szCs w:val="40"/>
          <w:bCs/>
        </w:rPr>
        <w:t>Hannah Doyle</w:t>
      </w:r>
    </w:p>
    <w:p>
      <w:pPr>
        <w:spacing w:after="40"/>
      </w:pPr>
      <w:r>
        <w:rPr>
          <w:rFonts w:ascii="Arial" w:hAnsi="Arial" w:cs="Arial"/>
          <w:b w:val="0"/>
          <w:color w:val="1F3A5F"/>
          <w:sz w:val="22"/>
          <w:szCs w:val="22"/>
        </w:rPr>
        <w:t>AML Analyst</w:t>
      </w:r>
    </w:p>
    <w:p>
      <w:pPr>
        <w:spacing w:after="40"/>
      </w:pPr>
      <w:r>
        <w:rPr>
          <w:rFonts w:ascii="Arial" w:hAnsi="Arial" w:cs="Arial"/>
          <w:b w:val="0"/>
          <w:sz w:val="18"/>
          <w:szCs w:val="18"/>
        </w:rPr>
        <w:t>hannah_doyle@example.com  |  +966 57 XXX 9971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AML Analyst with less than a year in banking. Open to new opportunities.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AML Analyst | An exchange house, Al Khobar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2025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the KYC review backlog by 5%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Wrote credit papers for facilities up to 3 million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Raised 36 suspicious activity reports in a year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Bachelor of Finance, a university in Saudi Arabia, 2025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corporate lending, AML/KYC, Islamic finance, credit analysis,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(good)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United Kingdom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Al Khobar, Saudi Arabia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SAR 5,400 per month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Immediate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