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 w:cs="Arial"/>
                <w:b/>
                <w:sz w:val="36"/>
                <w:szCs w:val="36"/>
                <w:bCs/>
              </w:rPr>
              <w:t>Nikhil Varghese</w:t>
            </w:r>
          </w:p>
          <w:p>
            <w:r>
              <w:rPr>
                <w:rFonts w:ascii="Arial" w:hAnsi="Arial" w:cs="Arial"/>
                <w:b w:val="0"/>
                <w:sz w:val="22"/>
                <w:szCs w:val="22"/>
              </w:rPr>
              <w:t>Relationship Manager</w:t>
            </w:r>
          </w:p>
        </w:tc>
        <w:tc>
          <w:tcPr>
            <w:tcW w:type="dxa" w:w="5040"/>
          </w:tcPr>
          <w:p>
            <w:r>
              <w:rPr>
                <w:rFonts w:ascii="Arial" w:hAnsi="Arial" w:cs="Arial"/>
                <w:b w:val="0"/>
                <w:sz w:val="18"/>
                <w:szCs w:val="18"/>
              </w:rPr>
              <w:t>nikhil.varghese@example.org</w:t>
            </w:r>
          </w:p>
          <w:p>
            <w:r>
              <w:rPr>
                <w:rFonts w:ascii="Arial" w:hAnsi="Arial" w:cs="Arial"/>
                <w:b w:val="0"/>
                <w:sz w:val="18"/>
                <w:szCs w:val="18"/>
              </w:rPr>
              <w:t>+971 57 XXX 2531</w:t>
            </w:r>
          </w:p>
        </w:tc>
      </w:tr>
    </w:tbl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Profile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Relationship Manager with 6 years in banking. Available to relocate within the GCC.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Experience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Relationship Manager | A commercial bank, Sharjah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2022 to present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Kept overdue loans under 3% of the portfolio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Managed a portfolio of 49 SME clients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Led a branch team of 5</w:t>
      </w:r>
    </w:p>
    <w:p>
      <w:pPr>
        <w:spacing w:after="40"/>
      </w:pPr>
      <w:r>
        <w:rPr>
          <w:rFonts w:ascii="Arial" w:hAnsi="Arial" w:cs="Arial"/>
          <w:b/>
          <w:sz w:val="21"/>
          <w:szCs w:val="21"/>
          <w:bCs/>
        </w:rPr>
        <w:t>AML Analyst | A retail bank, Sharjah</w:t>
      </w:r>
    </w:p>
    <w:p>
      <w:pPr>
        <w:spacing w:after="40"/>
      </w:pPr>
      <w:r>
        <w:rPr>
          <w:rFonts w:ascii="Arial" w:hAnsi="Arial" w:cs="Arial"/>
          <w:b w:val="0"/>
          <w:color w:val="666666"/>
          <w:sz w:val="18"/>
          <w:szCs w:val="18"/>
        </w:rPr>
        <w:t>2020 to 2022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Led a team of 3 analysts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• Cut the KYC review backlog by 5%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Education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Bachelor of Finance, a university in UAE, 2020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Skills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AML/KYC, IFRS 9, Islamic finance, SME banking, MS Excel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Languages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English (fluent), Malayalam (native)</w:t>
      </w:r>
    </w:p>
    <w:p>
      <w:pPr>
        <w:spacing w:after="40" w:before="200"/>
      </w:pPr>
      <w:r>
        <w:rPr>
          <w:rFonts w:ascii="Arial" w:hAnsi="Arial" w:cs="Arial"/>
          <w:b/>
          <w:color w:val="1F3A5F"/>
          <w:sz w:val="24"/>
          <w:szCs w:val="24"/>
          <w:bCs/>
        </w:rPr>
        <w:t>Personal details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Nationality: Indian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Location: Sharjah, UAE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Marital status: Married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Visa status: Residence visa (employer sponsored)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Expected salary: USD 4,110 per month</w:t>
      </w:r>
    </w:p>
    <w:p>
      <w:pPr>
        <w:spacing w:after="40"/>
      </w:pPr>
      <w:r>
        <w:rPr>
          <w:rFonts w:ascii="Arial" w:hAnsi="Arial" w:cs="Arial"/>
          <w:b w:val="0"/>
          <w:sz w:val="20"/>
          <w:szCs w:val="20"/>
        </w:rPr>
        <w:t>Notice period: 30 days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