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Arial" w:hAnsi="Arial"/>
          <w:b/>
          <w:i w:val="0"/>
          <w:color w:val="B85C38"/>
          <w:sz w:val="18"/>
        </w:rPr>
        <w:t>APPRAISAL REVIEW</w:t>
      </w:r>
    </w:p>
    <w:p>
      <w:pPr>
        <w:spacing w:after="60"/>
      </w:pPr>
      <w:r>
        <w:rPr>
          <w:rFonts w:ascii="Arial" w:hAnsi="Arial"/>
          <w:b/>
          <w:i w:val="0"/>
          <w:color w:val="3A3A37"/>
          <w:sz w:val="48"/>
        </w:rPr>
        <w:t>Arizona Appraisal Quality Review</w:t>
      </w:r>
    </w:p>
    <w:p>
      <w:pPr>
        <w:spacing w:after="280"/>
      </w:pPr>
      <w:r>
        <w:rPr>
          <w:rFonts w:ascii="Arial" w:hAnsi="Arial"/>
          <w:b w:val="0"/>
          <w:i w:val="0"/>
          <w:color w:val="6A6964"/>
          <w:sz w:val="26"/>
        </w:rPr>
        <w:t>Closed repair files from the 2026 monsoon review window</w:t>
      </w:r>
    </w:p>
    <w:p>
      <w:pPr>
        <w:spacing w:after="40"/>
      </w:pPr>
      <w:r>
        <w:rPr>
          <w:rFonts w:ascii="Arial" w:hAnsi="Arial"/>
          <w:b/>
          <w:i w:val="0"/>
          <w:color w:val="3A3A37"/>
          <w:sz w:val="21"/>
        </w:rPr>
        <w:t xml:space="preserve">To: </w:t>
      </w:r>
      <w:r>
        <w:rPr>
          <w:rFonts w:ascii="Arial" w:hAnsi="Arial"/>
          <w:b w:val="0"/>
          <w:i w:val="0"/>
          <w:color w:val="3A3A37"/>
          <w:sz w:val="21"/>
        </w:rPr>
        <w:t>Director, Physical Damage</w:t>
      </w:r>
    </w:p>
    <w:p>
      <w:pPr>
        <w:spacing w:after="40"/>
      </w:pPr>
      <w:r>
        <w:rPr>
          <w:rFonts w:ascii="Arial" w:hAnsi="Arial"/>
          <w:b/>
          <w:i w:val="0"/>
          <w:color w:val="3A3A37"/>
          <w:sz w:val="21"/>
        </w:rPr>
        <w:t xml:space="preserve">From: </w:t>
      </w:r>
      <w:r>
        <w:rPr>
          <w:rFonts w:ascii="Arial" w:hAnsi="Arial"/>
          <w:b w:val="0"/>
          <w:i w:val="0"/>
          <w:color w:val="3A3A37"/>
          <w:sz w:val="21"/>
        </w:rPr>
        <w:t>Regional Appraisal Quality</w:t>
      </w:r>
    </w:p>
    <w:p>
      <w:pPr>
        <w:spacing w:after="40"/>
      </w:pPr>
      <w:r>
        <w:rPr>
          <w:rFonts w:ascii="Arial" w:hAnsi="Arial"/>
          <w:b/>
          <w:i w:val="0"/>
          <w:color w:val="3A3A37"/>
          <w:sz w:val="21"/>
        </w:rPr>
        <w:t xml:space="preserve">Date: </w:t>
      </w:r>
      <w:r>
        <w:rPr>
          <w:rFonts w:ascii="Arial" w:hAnsi="Arial"/>
          <w:b w:val="0"/>
          <w:i w:val="0"/>
          <w:color w:val="3A3A37"/>
          <w:sz w:val="21"/>
        </w:rPr>
        <w:t>September 2026</w:t>
      </w:r>
    </w:p>
    <w:p>
      <w:pPr>
        <w:spacing w:after="40"/>
      </w:pPr>
      <w:r>
        <w:rPr>
          <w:rFonts w:ascii="Arial" w:hAnsi="Arial"/>
          <w:b/>
          <w:i w:val="0"/>
          <w:color w:val="3A3A37"/>
          <w:sz w:val="21"/>
        </w:rPr>
        <w:t xml:space="preserve">Decision: </w:t>
      </w:r>
      <w:r>
        <w:rPr>
          <w:rFonts w:ascii="Arial" w:hAnsi="Arial"/>
          <w:b w:val="0"/>
          <w:i w:val="0"/>
          <w:color w:val="3A3A37"/>
          <w:sz w:val="21"/>
        </w:rPr>
        <w:t>Maintain the current rate matrix; apply targeted facility and appraiser controls</w:t>
      </w:r>
    </w:p>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E8DF"/>
          </w:tcPr>
          <w:p>
            <w:pPr>
              <w:spacing w:after="40"/>
            </w:pPr>
            <w:r>
              <w:rPr>
                <w:rFonts w:ascii="Arial" w:hAnsi="Arial"/>
                <w:b/>
                <w:i w:val="0"/>
                <w:color w:val="3A3A37"/>
                <w:sz w:val="22"/>
              </w:rPr>
              <w:t xml:space="preserve">Recommendation: </w:t>
            </w:r>
            <w:r>
              <w:rPr>
                <w:rFonts w:ascii="Arial" w:hAnsi="Arial"/>
                <w:b w:val="0"/>
                <w:i w:val="0"/>
                <w:color w:val="3A3A37"/>
                <w:sz w:val="22"/>
              </w:rPr>
              <w:t>Do not open a territory-wide labor-rate change. The rate threshold is not met, and nearly all monetary exposure is tied to Old Pueblo Auto Body (F-211). Route the six High files for manager review, place F-211 supplements above $250 under temporary supervisor preapproval, and put AP-204 on a limited one-hundred-percent review cycle.</w:t>
            </w:r>
          </w:p>
        </w:tc>
      </w:tr>
    </w:tbl>
    <w:p>
      <w:pPr>
        <w:spacing w:after="40"/>
      </w:pPr>
    </w:p>
    <w:p>
      <w:pPr>
        <w:pStyle w:val="Heading1"/>
      </w:pPr>
      <w:r>
        <w:t>Decision</w:t>
      </w:r>
    </w:p>
    <w:p>
      <w:r>
        <w:rPr>
          <w:rFonts w:ascii="Arial" w:hAnsi="Arial"/>
          <w:b w:val="0"/>
          <w:i w:val="0"/>
          <w:color w:val="3A3A37"/>
          <w:sz w:val="22"/>
        </w:rPr>
        <w:t>The review covered 32 closed-paid repair claims totaling $232,699.69. Fourteen claims had at least one monetary or sequencing exception, including six High and eight Moderate files. Monetary exposure is $4,500.75, or 1.9% of final repair paid. Unsupported non-labor approvals account for $4,243.25; unauthorized labor-rate variance adds $257.50.</w:t>
      </w:r>
    </w:p>
    <w:p>
      <w:r>
        <w:rPr>
          <w:rFonts w:ascii="Arial" w:hAnsi="Arial"/>
          <w:b w:val="0"/>
          <w:i w:val="0"/>
          <w:color w:val="3A3A37"/>
          <w:sz w:val="22"/>
        </w:rPr>
        <w:t>A broad rate response is not supported. Unauthorized rate variance appears on 9 of 32 claims (28.1%) and at three facilities. The standard requires at least 30 percent of reviewed claims, four facilities and consistent market support. The notes instead show isolated approvals and one heavily concentrated facility pattern. F-211 accounts for $4,414.75, or 98.1% of all monetary exposure.</w:t>
      </w:r>
    </w:p>
    <w:p>
      <w:pPr>
        <w:pStyle w:val="Heading1"/>
      </w:pPr>
      <w:r>
        <w:t>What the review found</w:t>
      </w:r>
    </w:p>
    <w:tbl>
      <w:tblPr>
        <w:tblStyle w:val="TableGrid"/>
        <w:tblW w:type="dxa" w:w="9360"/>
        <w:tblLayout w:type="fixed"/>
        <w:tblLook w:firstColumn="1" w:firstRow="1" w:lastColumn="0" w:lastRow="0" w:noHBand="0" w:noVBand="1" w:val="04A0"/>
        <w:jc w:val="left"/>
        <w:tblInd w:w="120" w:type="dxa"/>
      </w:tblPr>
      <w:tblGrid>
        <w:gridCol w:w="2700"/>
        <w:gridCol w:w="1800"/>
        <w:gridCol w:w="4860"/>
      </w:tblGrid>
      <w:tr>
        <w:trPr>
          <w:tblHeader w:val="true"/>
        </w:trPr>
        <w:tc>
          <w:tcPr>
            <w:tcW w:type="dxa" w:w="2700"/>
            <w:vAlign w:val="center"/>
            <w:tcMar>
              <w:top w:w="80" w:type="dxa"/>
              <w:start w:w="120" w:type="dxa"/>
              <w:bottom w:w="80" w:type="dxa"/>
              <w:end w:w="120" w:type="dxa"/>
            </w:tcMar>
            <w:shd w:fill="B85C38"/>
          </w:tcPr>
          <w:p>
            <w:pPr>
              <w:spacing w:after="0"/>
            </w:pPr>
            <w:r>
              <w:rPr>
                <w:rFonts w:ascii="Arial" w:hAnsi="Arial"/>
                <w:b/>
                <w:i w:val="0"/>
                <w:color w:val="FFFFFF"/>
                <w:sz w:val="18"/>
              </w:rPr>
              <w:t>Measure</w:t>
            </w:r>
          </w:p>
        </w:tc>
        <w:tc>
          <w:tcPr>
            <w:tcW w:type="dxa" w:w="1800"/>
            <w:vAlign w:val="center"/>
            <w:tcMar>
              <w:top w:w="80" w:type="dxa"/>
              <w:start w:w="120" w:type="dxa"/>
              <w:bottom w:w="80" w:type="dxa"/>
              <w:end w:w="120" w:type="dxa"/>
            </w:tcMar>
            <w:shd w:fill="B85C38"/>
          </w:tcPr>
          <w:p>
            <w:pPr>
              <w:spacing w:after="0"/>
            </w:pPr>
            <w:r>
              <w:rPr>
                <w:rFonts w:ascii="Arial" w:hAnsi="Arial"/>
                <w:b/>
                <w:i w:val="0"/>
                <w:color w:val="FFFFFF"/>
                <w:sz w:val="18"/>
              </w:rPr>
              <w:t>Result</w:t>
            </w:r>
          </w:p>
        </w:tc>
        <w:tc>
          <w:tcPr>
            <w:tcW w:type="dxa" w:w="4860"/>
            <w:vAlign w:val="center"/>
            <w:tcMar>
              <w:top w:w="80" w:type="dxa"/>
              <w:start w:w="120" w:type="dxa"/>
              <w:bottom w:w="80" w:type="dxa"/>
              <w:end w:w="120" w:type="dxa"/>
            </w:tcMar>
            <w:shd w:fill="B85C38"/>
          </w:tcPr>
          <w:p>
            <w:pPr>
              <w:spacing w:after="0"/>
            </w:pPr>
            <w:r>
              <w:rPr>
                <w:rFonts w:ascii="Arial" w:hAnsi="Arial"/>
                <w:b/>
                <w:i w:val="0"/>
                <w:color w:val="FFFFFF"/>
                <w:sz w:val="18"/>
              </w:rPr>
              <w:t>Management reading</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Claims reviewed</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32</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Full closed-paid population in the supplied extract</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Final repair paid</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$232,699.69</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Denominator for portfolio exposure</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Exception claims</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14 (43.8%)</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Six High; eight Moderate</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Unauthorized rate exposure</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$257.50</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9 claims</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Unsupported non-labor exposure</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$4,243.25</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6 claims</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Total monetary exposure</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$4,500.75</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1.9% of final repair paid</w:t>
            </w:r>
          </w:p>
        </w:tc>
      </w:tr>
      <w:tr>
        <w:tc>
          <w:tcPr>
            <w:tcW w:type="dxa" w:w="2700"/>
            <w:vAlign w:val="center"/>
            <w:tcMar>
              <w:top w:w="80" w:type="dxa"/>
              <w:start w:w="120" w:type="dxa"/>
              <w:bottom w:w="80" w:type="dxa"/>
              <w:end w:w="120" w:type="dxa"/>
            </w:tcMar>
          </w:tcPr>
          <w:p>
            <w:pPr>
              <w:spacing w:after="0"/>
            </w:pPr>
            <w:r>
              <w:rPr>
                <w:rFonts w:ascii="Arial" w:hAnsi="Arial"/>
                <w:b w:val="0"/>
                <w:i w:val="0"/>
                <w:color w:val="3A3A37"/>
                <w:sz w:val="18"/>
              </w:rPr>
              <w:t>Original approval sequence</w:t>
            </w:r>
          </w:p>
        </w:tc>
        <w:tc>
          <w:tcPr>
            <w:tcW w:type="dxa" w:w="1800"/>
            <w:vAlign w:val="center"/>
            <w:tcMar>
              <w:top w:w="80" w:type="dxa"/>
              <w:start w:w="120" w:type="dxa"/>
              <w:bottom w:w="80" w:type="dxa"/>
              <w:end w:w="120" w:type="dxa"/>
            </w:tcMar>
          </w:tcPr>
          <w:p>
            <w:pPr>
              <w:spacing w:after="0"/>
            </w:pPr>
            <w:r>
              <w:rPr>
                <w:rFonts w:ascii="Arial" w:hAnsi="Arial"/>
                <w:b w:val="0"/>
                <w:i w:val="0"/>
                <w:color w:val="3A3A37"/>
                <w:sz w:val="18"/>
              </w:rPr>
              <w:t>5 claims</w:t>
            </w:r>
          </w:p>
        </w:tc>
        <w:tc>
          <w:tcPr>
            <w:tcW w:type="dxa" w:w="4860"/>
            <w:vAlign w:val="center"/>
            <w:tcMar>
              <w:top w:w="80" w:type="dxa"/>
              <w:start w:w="120" w:type="dxa"/>
              <w:bottom w:w="80" w:type="dxa"/>
              <w:end w:w="120" w:type="dxa"/>
            </w:tcMar>
          </w:tcPr>
          <w:p>
            <w:pPr>
              <w:spacing w:after="0"/>
            </w:pPr>
            <w:r>
              <w:rPr>
                <w:rFonts w:ascii="Arial" w:hAnsi="Arial"/>
                <w:b w:val="0"/>
                <w:i w:val="0"/>
                <w:color w:val="3A3A37"/>
                <w:sz w:val="18"/>
              </w:rPr>
              <w:t>Approved before a qualified inspection</w:t>
            </w:r>
          </w:p>
        </w:tc>
      </w:tr>
      <w:tr>
        <w:tc>
          <w:tcPr>
            <w:tcW w:type="dxa" w:w="2700"/>
            <w:shd w:fill="FAF7F2"/>
            <w:vAlign w:val="center"/>
            <w:tcMar>
              <w:top w:w="80" w:type="dxa"/>
              <w:start w:w="120" w:type="dxa"/>
              <w:bottom w:w="80" w:type="dxa"/>
              <w:end w:w="120" w:type="dxa"/>
            </w:tcMar>
          </w:tcPr>
          <w:p>
            <w:pPr>
              <w:spacing w:after="0"/>
            </w:pPr>
            <w:r>
              <w:rPr>
                <w:rFonts w:ascii="Arial" w:hAnsi="Arial"/>
                <w:b w:val="0"/>
                <w:i w:val="0"/>
                <w:color w:val="3A3A37"/>
                <w:sz w:val="18"/>
              </w:rPr>
              <w:t>Late supplement support</w:t>
            </w:r>
          </w:p>
        </w:tc>
        <w:tc>
          <w:tcPr>
            <w:tcW w:type="dxa" w:w="1800"/>
            <w:shd w:fill="FAF7F2"/>
            <w:vAlign w:val="center"/>
            <w:tcMar>
              <w:top w:w="80" w:type="dxa"/>
              <w:start w:w="120" w:type="dxa"/>
              <w:bottom w:w="80" w:type="dxa"/>
              <w:end w:w="120" w:type="dxa"/>
            </w:tcMar>
          </w:tcPr>
          <w:p>
            <w:pPr>
              <w:spacing w:after="0"/>
            </w:pPr>
            <w:r>
              <w:rPr>
                <w:rFonts w:ascii="Arial" w:hAnsi="Arial"/>
                <w:b w:val="0"/>
                <w:i w:val="0"/>
                <w:color w:val="3A3A37"/>
                <w:sz w:val="18"/>
              </w:rPr>
              <w:t>4 claims</w:t>
            </w:r>
          </w:p>
        </w:tc>
        <w:tc>
          <w:tcPr>
            <w:tcW w:type="dxa" w:w="4860"/>
            <w:shd w:fill="FAF7F2"/>
            <w:vAlign w:val="center"/>
            <w:tcMar>
              <w:top w:w="80" w:type="dxa"/>
              <w:start w:w="120" w:type="dxa"/>
              <w:bottom w:w="80" w:type="dxa"/>
              <w:end w:w="120" w:type="dxa"/>
            </w:tcMar>
          </w:tcPr>
          <w:p>
            <w:pPr>
              <w:spacing w:after="0"/>
            </w:pPr>
            <w:r>
              <w:rPr>
                <w:rFonts w:ascii="Arial" w:hAnsi="Arial"/>
                <w:b w:val="0"/>
                <w:i w:val="0"/>
                <w:color w:val="3A3A37"/>
                <w:sz w:val="18"/>
              </w:rPr>
              <w:t>Evidence arrived after approval but before closure</w:t>
            </w:r>
          </w:p>
        </w:tc>
      </w:tr>
    </w:tbl>
    <w:p>
      <w:pPr>
        <w:spacing w:after="40"/>
      </w:pPr>
    </w:p>
    <w:p>
      <w:pPr>
        <w:pStyle w:val="Heading1"/>
      </w:pPr>
      <w:r>
        <w:t>Review basis</w:t>
      </w:r>
    </w:p>
    <w:p>
      <w:r>
        <w:rPr>
          <w:rFonts w:ascii="Arial" w:hAnsi="Arial"/>
          <w:b w:val="0"/>
          <w:i w:val="0"/>
          <w:color w:val="3A3A37"/>
          <w:sz w:val="22"/>
        </w:rPr>
        <w:t>Every claim was matched across the closed-claim, supplement and timeline extracts. Labor lines were tested against the county and operation ceiling effective on the approval date. Valid aluminum and remote premiums were retained only where facility eligibility and code requirements were satisfied. Non-labor approvals above $150 were tested for evidence by closure, and original approvals were tested against inspection order and FAST-8 requirements. Dollar exposure includes only excess labor above the permitted rate and unsupported non-labor approvals; sequencing-only events add no dollars.</w:t>
      </w:r>
    </w:p>
    <w:p>
      <w:r>
        <w:rPr>
          <w:rFonts w:ascii="Arial" w:hAnsi="Arial"/>
          <w:b w:val="0"/>
          <w:i w:val="0"/>
          <w:color w:val="3A3A37"/>
          <w:sz w:val="22"/>
        </w:rPr>
        <w:t>Valid special handling was left in place. ALUM-08 was supported on AZR-26-0706, AZR-26-0718 and AZR-26-0732. REMOTE-06 was supported on AZR-26-0712 and AZR-26-0728. EMERG-2 was valid on AZR-26-0711 and AZR-26-0728, while FAST-8 was valid on AZR-26-0703, AZR-26-0711 and AZR-26-0728. None of these events was counted as leakage.</w:t>
      </w:r>
    </w:p>
    <w:p>
      <w:pPr>
        <w:pStyle w:val="Heading1"/>
      </w:pPr>
      <w:r>
        <w:t>Claims requiring manager review</w:t>
      </w:r>
    </w:p>
    <w:tbl>
      <w:tblPr>
        <w:tblStyle w:val="TableGrid"/>
        <w:tblW w:type="dxa" w:w="9360"/>
        <w:tblLayout w:type="fixed"/>
        <w:tblLook w:firstColumn="1" w:firstRow="1" w:lastColumn="0" w:lastRow="0" w:noHBand="0" w:noVBand="1" w:val="04A0"/>
        <w:jc w:val="left"/>
        <w:tblInd w:w="120" w:type="dxa"/>
      </w:tblPr>
      <w:tblGrid>
        <w:gridCol w:w="1750"/>
        <w:gridCol w:w="1250"/>
        <w:gridCol w:w="1150"/>
        <w:gridCol w:w="1300"/>
        <w:gridCol w:w="3910"/>
      </w:tblGrid>
      <w:tr>
        <w:trPr>
          <w:tblHeader w:val="true"/>
        </w:trPr>
        <w:tc>
          <w:tcPr>
            <w:tcW w:type="dxa" w:w="1750"/>
            <w:vAlign w:val="center"/>
            <w:tcMar>
              <w:top w:w="80" w:type="dxa"/>
              <w:start w:w="120" w:type="dxa"/>
              <w:bottom w:w="80" w:type="dxa"/>
              <w:end w:w="120" w:type="dxa"/>
            </w:tcMar>
            <w:shd w:fill="B85C38"/>
          </w:tcPr>
          <w:p>
            <w:pPr>
              <w:spacing w:after="0"/>
            </w:pPr>
            <w:r>
              <w:rPr>
                <w:rFonts w:ascii="Arial" w:hAnsi="Arial"/>
                <w:b/>
                <w:i w:val="0"/>
                <w:color w:val="FFFFFF"/>
                <w:sz w:val="17"/>
              </w:rPr>
              <w:t>Claim</w:t>
            </w:r>
          </w:p>
        </w:tc>
        <w:tc>
          <w:tcPr>
            <w:tcW w:type="dxa" w:w="1250"/>
            <w:vAlign w:val="center"/>
            <w:tcMar>
              <w:top w:w="80" w:type="dxa"/>
              <w:start w:w="120" w:type="dxa"/>
              <w:bottom w:w="80" w:type="dxa"/>
              <w:end w:w="120" w:type="dxa"/>
            </w:tcMar>
            <w:shd w:fill="B85C38"/>
          </w:tcPr>
          <w:p>
            <w:pPr>
              <w:spacing w:after="0"/>
            </w:pPr>
            <w:r>
              <w:rPr>
                <w:rFonts w:ascii="Arial" w:hAnsi="Arial"/>
                <w:b/>
                <w:i w:val="0"/>
                <w:color w:val="FFFFFF"/>
                <w:sz w:val="17"/>
              </w:rPr>
              <w:t>Appraiser</w:t>
            </w:r>
          </w:p>
        </w:tc>
        <w:tc>
          <w:tcPr>
            <w:tcW w:type="dxa" w:w="1150"/>
            <w:vAlign w:val="center"/>
            <w:tcMar>
              <w:top w:w="80" w:type="dxa"/>
              <w:start w:w="120" w:type="dxa"/>
              <w:bottom w:w="80" w:type="dxa"/>
              <w:end w:w="120" w:type="dxa"/>
            </w:tcMar>
            <w:shd w:fill="B85C38"/>
          </w:tcPr>
          <w:p>
            <w:pPr>
              <w:spacing w:after="0"/>
            </w:pPr>
            <w:r>
              <w:rPr>
                <w:rFonts w:ascii="Arial" w:hAnsi="Arial"/>
                <w:b/>
                <w:i w:val="0"/>
                <w:color w:val="FFFFFF"/>
                <w:sz w:val="17"/>
              </w:rPr>
              <w:t>Facility</w:t>
            </w:r>
          </w:p>
        </w:tc>
        <w:tc>
          <w:tcPr>
            <w:tcW w:type="dxa" w:w="1300"/>
            <w:vAlign w:val="center"/>
            <w:tcMar>
              <w:top w:w="80" w:type="dxa"/>
              <w:start w:w="120" w:type="dxa"/>
              <w:bottom w:w="80" w:type="dxa"/>
              <w:end w:w="120" w:type="dxa"/>
            </w:tcMar>
            <w:shd w:fill="B85C38"/>
          </w:tcPr>
          <w:p>
            <w:pPr>
              <w:spacing w:after="0"/>
            </w:pPr>
            <w:r>
              <w:rPr>
                <w:rFonts w:ascii="Arial" w:hAnsi="Arial"/>
                <w:b/>
                <w:i w:val="0"/>
                <w:color w:val="FFFFFF"/>
                <w:sz w:val="17"/>
              </w:rPr>
              <w:t>Exposure</w:t>
            </w:r>
          </w:p>
        </w:tc>
        <w:tc>
          <w:tcPr>
            <w:tcW w:type="dxa" w:w="3910"/>
            <w:vAlign w:val="center"/>
            <w:tcMar>
              <w:top w:w="80" w:type="dxa"/>
              <w:start w:w="120" w:type="dxa"/>
              <w:bottom w:w="80" w:type="dxa"/>
              <w:end w:w="120" w:type="dxa"/>
            </w:tcMar>
            <w:shd w:fill="B85C38"/>
          </w:tcPr>
          <w:p>
            <w:pPr>
              <w:spacing w:after="0"/>
            </w:pPr>
            <w:r>
              <w:rPr>
                <w:rFonts w:ascii="Arial" w:hAnsi="Arial"/>
                <w:b/>
                <w:i w:val="0"/>
                <w:color w:val="FFFFFF"/>
                <w:sz w:val="17"/>
              </w:rPr>
              <w:t>Why High</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AZR-26-0709</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$656.25</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AZR-26-0714</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$940.40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AZR-26-0719</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$547.25</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AZR-26-0724</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AP-311</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$762.60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AZR-26-0727</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AP-427</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$496.90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AZR-26-0730</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AP-427</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$1,011.35</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 Missing support at closure; Original approval before qualified inspection</w:t>
            </w:r>
          </w:p>
        </w:tc>
      </w:tr>
    </w:tbl>
    <w:p>
      <w:pPr>
        <w:spacing w:after="40"/>
      </w:pPr>
    </w:p>
    <w:p>
      <w:r>
        <w:rPr>
          <w:rFonts w:ascii="Arial" w:hAnsi="Arial"/>
          <w:b w:val="0"/>
          <w:i w:val="0"/>
          <w:color w:val="3A3A37"/>
          <w:sz w:val="22"/>
        </w:rPr>
        <w:t>All six High files are tied to F-211 and combine an unauthorized rate with missing support at closure. Four also have an invalid original-approval sequence. Managers should start with these files; each has at least $500 of exposure or more than one critical exception type.</w:t>
      </w:r>
    </w:p>
    <w:p>
      <w:r>
        <w:br w:type="page"/>
      </w:r>
    </w:p>
    <w:p>
      <w:pPr>
        <w:pStyle w:val="Heading1"/>
      </w:pPr>
      <w:r>
        <w:t>Where the exposure sits</w:t>
      </w:r>
    </w:p>
    <w:tbl>
      <w:tblPr>
        <w:tblStyle w:val="TableGrid"/>
        <w:tblW w:type="dxa" w:w="9360"/>
        <w:tblLayout w:type="fixed"/>
        <w:tblLook w:firstColumn="1" w:firstRow="1" w:lastColumn="0" w:lastRow="0" w:noHBand="0" w:noVBand="1" w:val="04A0"/>
        <w:jc w:val="left"/>
        <w:tblInd w:w="120" w:type="dxa"/>
      </w:tblPr>
      <w:tblGrid>
        <w:gridCol w:w="2100"/>
        <w:gridCol w:w="1900"/>
        <w:gridCol w:w="2100"/>
        <w:gridCol w:w="3260"/>
      </w:tblGrid>
      <w:tr>
        <w:trPr>
          <w:tblHeader w:val="true"/>
        </w:trPr>
        <w:tc>
          <w:tcPr>
            <w:tcW w:type="dxa" w:w="2100"/>
            <w:vAlign w:val="center"/>
            <w:tcMar>
              <w:top w:w="80" w:type="dxa"/>
              <w:start w:w="120" w:type="dxa"/>
              <w:bottom w:w="80" w:type="dxa"/>
              <w:end w:w="120" w:type="dxa"/>
            </w:tcMar>
            <w:shd w:fill="B85C38"/>
          </w:tcPr>
          <w:p>
            <w:pPr>
              <w:spacing w:after="0"/>
            </w:pPr>
            <w:r>
              <w:rPr>
                <w:rFonts w:ascii="Arial" w:hAnsi="Arial"/>
                <w:b/>
                <w:i w:val="0"/>
                <w:color w:val="FFFFFF"/>
                <w:sz w:val="18"/>
              </w:rPr>
              <w:t>Appraiser ID</w:t>
            </w:r>
          </w:p>
        </w:tc>
        <w:tc>
          <w:tcPr>
            <w:tcW w:type="dxa" w:w="1900"/>
            <w:vAlign w:val="center"/>
            <w:tcMar>
              <w:top w:w="80" w:type="dxa"/>
              <w:start w:w="120" w:type="dxa"/>
              <w:bottom w:w="80" w:type="dxa"/>
              <w:end w:w="120" w:type="dxa"/>
            </w:tcMar>
            <w:shd w:fill="B85C38"/>
          </w:tcPr>
          <w:p>
            <w:pPr>
              <w:spacing w:after="0"/>
            </w:pPr>
            <w:r>
              <w:rPr>
                <w:rFonts w:ascii="Arial" w:hAnsi="Arial"/>
                <w:b/>
                <w:i w:val="0"/>
                <w:color w:val="FFFFFF"/>
                <w:sz w:val="18"/>
              </w:rPr>
              <w:t>Reviewed</w:t>
            </w:r>
          </w:p>
        </w:tc>
        <w:tc>
          <w:tcPr>
            <w:tcW w:type="dxa" w:w="2100"/>
            <w:vAlign w:val="center"/>
            <w:tcMar>
              <w:top w:w="80" w:type="dxa"/>
              <w:start w:w="120" w:type="dxa"/>
              <w:bottom w:w="80" w:type="dxa"/>
              <w:end w:w="120" w:type="dxa"/>
            </w:tcMar>
            <w:shd w:fill="B85C38"/>
          </w:tcPr>
          <w:p>
            <w:pPr>
              <w:spacing w:after="0"/>
            </w:pPr>
            <w:r>
              <w:rPr>
                <w:rFonts w:ascii="Arial" w:hAnsi="Arial"/>
                <w:b/>
                <w:i w:val="0"/>
                <w:color w:val="FFFFFF"/>
                <w:sz w:val="18"/>
              </w:rPr>
              <w:t>Exceptions</w:t>
            </w:r>
          </w:p>
        </w:tc>
        <w:tc>
          <w:tcPr>
            <w:tcW w:type="dxa" w:w="3260"/>
            <w:vAlign w:val="center"/>
            <w:tcMar>
              <w:top w:w="80" w:type="dxa"/>
              <w:start w:w="120" w:type="dxa"/>
              <w:bottom w:w="80" w:type="dxa"/>
              <w:end w:w="120" w:type="dxa"/>
            </w:tcMar>
            <w:shd w:fill="B85C38"/>
          </w:tcPr>
          <w:p>
            <w:pPr>
              <w:spacing w:after="0"/>
            </w:pPr>
            <w:r>
              <w:rPr>
                <w:rFonts w:ascii="Arial" w:hAnsi="Arial"/>
                <w:b/>
                <w:i w:val="0"/>
                <w:color w:val="FFFFFF"/>
                <w:sz w:val="18"/>
              </w:rPr>
              <w:t>Exposure</w:t>
            </w:r>
          </w:p>
        </w:tc>
      </w:tr>
      <w:tr>
        <w:tc>
          <w:tcPr>
            <w:tcW w:type="dxa" w:w="2100"/>
            <w:vAlign w:val="center"/>
            <w:tcMar>
              <w:top w:w="80" w:type="dxa"/>
              <w:start w:w="120" w:type="dxa"/>
              <w:bottom w:w="80" w:type="dxa"/>
              <w:end w:w="120" w:type="dxa"/>
            </w:tcMar>
          </w:tcPr>
          <w:p>
            <w:pPr>
              <w:spacing w:after="0"/>
            </w:pPr>
            <w:r>
              <w:rPr>
                <w:rFonts w:ascii="Arial" w:hAnsi="Arial"/>
                <w:b w:val="0"/>
                <w:i w:val="0"/>
                <w:color w:val="3A3A37"/>
                <w:sz w:val="18"/>
              </w:rPr>
              <w:t>AP-118</w:t>
            </w:r>
          </w:p>
        </w:tc>
        <w:tc>
          <w:tcPr>
            <w:tcW w:type="dxa" w:w="1900"/>
            <w:vAlign w:val="center"/>
            <w:tcMar>
              <w:top w:w="80" w:type="dxa"/>
              <w:start w:w="120" w:type="dxa"/>
              <w:bottom w:w="80" w:type="dxa"/>
              <w:end w:w="120" w:type="dxa"/>
            </w:tcMar>
          </w:tcPr>
          <w:p>
            <w:pPr>
              <w:spacing w:after="0"/>
            </w:pPr>
            <w:r>
              <w:rPr>
                <w:rFonts w:ascii="Arial" w:hAnsi="Arial"/>
                <w:b w:val="0"/>
                <w:i w:val="0"/>
                <w:color w:val="3A3A37"/>
                <w:sz w:val="18"/>
              </w:rPr>
              <w:t>8</w:t>
            </w:r>
          </w:p>
        </w:tc>
        <w:tc>
          <w:tcPr>
            <w:tcW w:type="dxa" w:w="2100"/>
            <w:vAlign w:val="center"/>
            <w:tcMar>
              <w:top w:w="80" w:type="dxa"/>
              <w:start w:w="120" w:type="dxa"/>
              <w:bottom w:w="80" w:type="dxa"/>
              <w:end w:w="120" w:type="dxa"/>
            </w:tcMar>
          </w:tcPr>
          <w:p>
            <w:pPr>
              <w:spacing w:after="0"/>
            </w:pPr>
            <w:r>
              <w:rPr>
                <w:rFonts w:ascii="Arial" w:hAnsi="Arial"/>
                <w:b w:val="0"/>
                <w:i w:val="0"/>
                <w:color w:val="3A3A37"/>
                <w:sz w:val="18"/>
              </w:rPr>
              <w:t>3</w:t>
            </w:r>
          </w:p>
        </w:tc>
        <w:tc>
          <w:tcPr>
            <w:tcW w:type="dxa" w:w="3260"/>
            <w:vAlign w:val="center"/>
            <w:tcMar>
              <w:top w:w="80" w:type="dxa"/>
              <w:start w:w="120" w:type="dxa"/>
              <w:bottom w:w="80" w:type="dxa"/>
              <w:end w:w="120" w:type="dxa"/>
            </w:tcMar>
          </w:tcPr>
          <w:p>
            <w:pPr>
              <w:spacing w:after="0"/>
            </w:pPr>
            <w:r>
              <w:rPr>
                <w:rFonts w:ascii="Arial" w:hAnsi="Arial"/>
                <w:b w:val="0"/>
                <w:i w:val="0"/>
                <w:color w:val="3A3A37"/>
                <w:sz w:val="18"/>
              </w:rPr>
              <w:t>$35.00</w:t>
            </w:r>
          </w:p>
        </w:tc>
      </w:tr>
      <w:tr>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AP-204</w:t>
            </w:r>
          </w:p>
        </w:tc>
        <w:tc>
          <w:tcPr>
            <w:tcW w:type="dxa" w:w="1900"/>
            <w:shd w:fill="FAF7F2"/>
            <w:vAlign w:val="center"/>
            <w:tcMar>
              <w:top w:w="80" w:type="dxa"/>
              <w:start w:w="120" w:type="dxa"/>
              <w:bottom w:w="80" w:type="dxa"/>
              <w:end w:w="120" w:type="dxa"/>
            </w:tcMar>
          </w:tcPr>
          <w:p>
            <w:pPr>
              <w:spacing w:after="0"/>
            </w:pPr>
            <w:r>
              <w:rPr>
                <w:rFonts w:ascii="Arial" w:hAnsi="Arial"/>
                <w:b w:val="0"/>
                <w:i w:val="0"/>
                <w:color w:val="3A3A37"/>
                <w:sz w:val="18"/>
              </w:rPr>
              <w:t>11</w:t>
            </w:r>
          </w:p>
        </w:tc>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5</w:t>
            </w:r>
          </w:p>
        </w:tc>
        <w:tc>
          <w:tcPr>
            <w:tcW w:type="dxa" w:w="3260"/>
            <w:shd w:fill="FAF7F2"/>
            <w:vAlign w:val="center"/>
            <w:tcMar>
              <w:top w:w="80" w:type="dxa"/>
              <w:start w:w="120" w:type="dxa"/>
              <w:bottom w:w="80" w:type="dxa"/>
              <w:end w:w="120" w:type="dxa"/>
            </w:tcMar>
          </w:tcPr>
          <w:p>
            <w:pPr>
              <w:spacing w:after="0"/>
            </w:pPr>
            <w:r>
              <w:rPr>
                <w:rFonts w:ascii="Arial" w:hAnsi="Arial"/>
                <w:b w:val="0"/>
                <w:i w:val="0"/>
                <w:color w:val="3A3A37"/>
                <w:sz w:val="18"/>
              </w:rPr>
              <w:t>$2,178.90</w:t>
            </w:r>
          </w:p>
        </w:tc>
      </w:tr>
      <w:tr>
        <w:tc>
          <w:tcPr>
            <w:tcW w:type="dxa" w:w="2100"/>
            <w:vAlign w:val="center"/>
            <w:tcMar>
              <w:top w:w="80" w:type="dxa"/>
              <w:start w:w="120" w:type="dxa"/>
              <w:bottom w:w="80" w:type="dxa"/>
              <w:end w:w="120" w:type="dxa"/>
            </w:tcMar>
          </w:tcPr>
          <w:p>
            <w:pPr>
              <w:spacing w:after="0"/>
            </w:pPr>
            <w:r>
              <w:rPr>
                <w:rFonts w:ascii="Arial" w:hAnsi="Arial"/>
                <w:b w:val="0"/>
                <w:i w:val="0"/>
                <w:color w:val="3A3A37"/>
                <w:sz w:val="18"/>
              </w:rPr>
              <w:t>AP-311</w:t>
            </w:r>
          </w:p>
        </w:tc>
        <w:tc>
          <w:tcPr>
            <w:tcW w:type="dxa" w:w="1900"/>
            <w:vAlign w:val="center"/>
            <w:tcMar>
              <w:top w:w="80" w:type="dxa"/>
              <w:start w:w="120" w:type="dxa"/>
              <w:bottom w:w="80" w:type="dxa"/>
              <w:end w:w="120" w:type="dxa"/>
            </w:tcMar>
          </w:tcPr>
          <w:p>
            <w:pPr>
              <w:spacing w:after="0"/>
            </w:pPr>
            <w:r>
              <w:rPr>
                <w:rFonts w:ascii="Arial" w:hAnsi="Arial"/>
                <w:b w:val="0"/>
                <w:i w:val="0"/>
                <w:color w:val="3A3A37"/>
                <w:sz w:val="18"/>
              </w:rPr>
              <w:t>6</w:t>
            </w:r>
          </w:p>
        </w:tc>
        <w:tc>
          <w:tcPr>
            <w:tcW w:type="dxa" w:w="2100"/>
            <w:vAlign w:val="center"/>
            <w:tcMar>
              <w:top w:w="80" w:type="dxa"/>
              <w:start w:w="120" w:type="dxa"/>
              <w:bottom w:w="80" w:type="dxa"/>
              <w:end w:w="120" w:type="dxa"/>
            </w:tcMar>
          </w:tcPr>
          <w:p>
            <w:pPr>
              <w:spacing w:after="0"/>
            </w:pPr>
            <w:r>
              <w:rPr>
                <w:rFonts w:ascii="Arial" w:hAnsi="Arial"/>
                <w:b w:val="0"/>
                <w:i w:val="0"/>
                <w:color w:val="3A3A37"/>
                <w:sz w:val="18"/>
              </w:rPr>
              <w:t>3</w:t>
            </w:r>
          </w:p>
        </w:tc>
        <w:tc>
          <w:tcPr>
            <w:tcW w:type="dxa" w:w="3260"/>
            <w:vAlign w:val="center"/>
            <w:tcMar>
              <w:top w:w="80" w:type="dxa"/>
              <w:start w:w="120" w:type="dxa"/>
              <w:bottom w:w="80" w:type="dxa"/>
              <w:end w:w="120" w:type="dxa"/>
            </w:tcMar>
          </w:tcPr>
          <w:p>
            <w:pPr>
              <w:spacing w:after="0"/>
            </w:pPr>
            <w:r>
              <w:rPr>
                <w:rFonts w:ascii="Arial" w:hAnsi="Arial"/>
                <w:b w:val="0"/>
                <w:i w:val="0"/>
                <w:color w:val="3A3A37"/>
                <w:sz w:val="18"/>
              </w:rPr>
              <w:t>$778.60</w:t>
            </w:r>
          </w:p>
        </w:tc>
      </w:tr>
      <w:tr>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AP-427</w:t>
            </w:r>
          </w:p>
        </w:tc>
        <w:tc>
          <w:tcPr>
            <w:tcW w:type="dxa" w:w="1900"/>
            <w:shd w:fill="FAF7F2"/>
            <w:vAlign w:val="center"/>
            <w:tcMar>
              <w:top w:w="80" w:type="dxa"/>
              <w:start w:w="120" w:type="dxa"/>
              <w:bottom w:w="80" w:type="dxa"/>
              <w:end w:w="120" w:type="dxa"/>
            </w:tcMar>
          </w:tcPr>
          <w:p>
            <w:pPr>
              <w:spacing w:after="0"/>
            </w:pPr>
            <w:r>
              <w:rPr>
                <w:rFonts w:ascii="Arial" w:hAnsi="Arial"/>
                <w:b w:val="0"/>
                <w:i w:val="0"/>
                <w:color w:val="3A3A37"/>
                <w:sz w:val="18"/>
              </w:rPr>
              <w:t>7</w:t>
            </w:r>
          </w:p>
        </w:tc>
        <w:tc>
          <w:tcPr>
            <w:tcW w:type="dxa" w:w="2100"/>
            <w:shd w:fill="FAF7F2"/>
            <w:vAlign w:val="center"/>
            <w:tcMar>
              <w:top w:w="80" w:type="dxa"/>
              <w:start w:w="120" w:type="dxa"/>
              <w:bottom w:w="80" w:type="dxa"/>
              <w:end w:w="120" w:type="dxa"/>
            </w:tcMar>
          </w:tcPr>
          <w:p>
            <w:pPr>
              <w:spacing w:after="0"/>
            </w:pPr>
            <w:r>
              <w:rPr>
                <w:rFonts w:ascii="Arial" w:hAnsi="Arial"/>
                <w:b w:val="0"/>
                <w:i w:val="0"/>
                <w:color w:val="3A3A37"/>
                <w:sz w:val="18"/>
              </w:rPr>
              <w:t>3</w:t>
            </w:r>
          </w:p>
        </w:tc>
        <w:tc>
          <w:tcPr>
            <w:tcW w:type="dxa" w:w="3260"/>
            <w:shd w:fill="FAF7F2"/>
            <w:vAlign w:val="center"/>
            <w:tcMar>
              <w:top w:w="80" w:type="dxa"/>
              <w:start w:w="120" w:type="dxa"/>
              <w:bottom w:w="80" w:type="dxa"/>
              <w:end w:w="120" w:type="dxa"/>
            </w:tcMar>
          </w:tcPr>
          <w:p>
            <w:pPr>
              <w:spacing w:after="0"/>
            </w:pPr>
            <w:r>
              <w:rPr>
                <w:rFonts w:ascii="Arial" w:hAnsi="Arial"/>
                <w:b w:val="0"/>
                <w:i w:val="0"/>
                <w:color w:val="3A3A37"/>
                <w:sz w:val="18"/>
              </w:rPr>
              <w:t>$1,508.25</w:t>
            </w:r>
          </w:p>
        </w:tc>
      </w:tr>
    </w:tbl>
    <w:p>
      <w:pPr>
        <w:spacing w:after="40"/>
      </w:pPr>
    </w:p>
    <w:p>
      <w:r>
        <w:rPr>
          <w:rFonts w:ascii="Arial" w:hAnsi="Arial"/>
          <w:b w:val="0"/>
          <w:i w:val="0"/>
          <w:color w:val="3A3A37"/>
          <w:sz w:val="22"/>
        </w:rPr>
        <w:t>AP-204 has five exception files in an eleven-file population and $2,178.90 of exposure, or 48.4% of the total. Of that $2,178.90, only $35.00 sits outside F-211 (booked at F-108 on AZR-26-0717); the remaining $2,143.90 of AP-204 exposure is booked at F-211. Portfolio-wide, $86.00 of the $4,500.75 total sits outside F-211 ($35.00 at F-108 and $51.00 at F-203). The main control problem is concentrated at one facility and crosses appraisers; AP-204 also needs coaching.</w:t>
      </w:r>
    </w:p>
    <w:tbl>
      <w:tblPr>
        <w:tblStyle w:val="TableGrid"/>
        <w:tblW w:type="dxa" w:w="9360"/>
        <w:tblLayout w:type="fixed"/>
        <w:tblLook w:firstColumn="1" w:firstRow="1" w:lastColumn="0" w:lastRow="0" w:noHBand="0" w:noVBand="1" w:val="04A0"/>
        <w:jc w:val="left"/>
        <w:tblInd w:w="120" w:type="dxa"/>
      </w:tblPr>
      <w:tblGrid>
        <w:gridCol w:w="1250"/>
        <w:gridCol w:w="3600"/>
        <w:gridCol w:w="1300"/>
        <w:gridCol w:w="1400"/>
        <w:gridCol w:w="1810"/>
      </w:tblGrid>
      <w:tr>
        <w:trPr>
          <w:tblHeader w:val="true"/>
        </w:trPr>
        <w:tc>
          <w:tcPr>
            <w:tcW w:type="dxa" w:w="1250"/>
            <w:vAlign w:val="center"/>
            <w:tcMar>
              <w:top w:w="80" w:type="dxa"/>
              <w:start w:w="120" w:type="dxa"/>
              <w:bottom w:w="80" w:type="dxa"/>
              <w:end w:w="120" w:type="dxa"/>
            </w:tcMar>
            <w:shd w:fill="B85C38"/>
          </w:tcPr>
          <w:p>
            <w:pPr>
              <w:spacing w:after="0"/>
            </w:pPr>
            <w:r>
              <w:rPr>
                <w:rFonts w:ascii="Arial" w:hAnsi="Arial"/>
                <w:b/>
                <w:i w:val="0"/>
                <w:color w:val="FFFFFF"/>
                <w:sz w:val="17"/>
              </w:rPr>
              <w:t>Facility</w:t>
            </w:r>
          </w:p>
        </w:tc>
        <w:tc>
          <w:tcPr>
            <w:tcW w:type="dxa" w:w="3600"/>
            <w:vAlign w:val="center"/>
            <w:tcMar>
              <w:top w:w="80" w:type="dxa"/>
              <w:start w:w="120" w:type="dxa"/>
              <w:bottom w:w="80" w:type="dxa"/>
              <w:end w:w="120" w:type="dxa"/>
            </w:tcMar>
            <w:shd w:fill="B85C38"/>
          </w:tcPr>
          <w:p>
            <w:pPr>
              <w:spacing w:after="0"/>
            </w:pPr>
            <w:r>
              <w:rPr>
                <w:rFonts w:ascii="Arial" w:hAnsi="Arial"/>
                <w:b/>
                <w:i w:val="0"/>
                <w:color w:val="FFFFFF"/>
                <w:sz w:val="17"/>
              </w:rPr>
              <w:t>Name</w:t>
            </w:r>
          </w:p>
        </w:tc>
        <w:tc>
          <w:tcPr>
            <w:tcW w:type="dxa" w:w="1300"/>
            <w:vAlign w:val="center"/>
            <w:tcMar>
              <w:top w:w="80" w:type="dxa"/>
              <w:start w:w="120" w:type="dxa"/>
              <w:bottom w:w="80" w:type="dxa"/>
              <w:end w:w="120" w:type="dxa"/>
            </w:tcMar>
            <w:shd w:fill="B85C38"/>
          </w:tcPr>
          <w:p>
            <w:pPr>
              <w:spacing w:after="0"/>
            </w:pPr>
            <w:r>
              <w:rPr>
                <w:rFonts w:ascii="Arial" w:hAnsi="Arial"/>
                <w:b/>
                <w:i w:val="0"/>
                <w:color w:val="FFFFFF"/>
                <w:sz w:val="17"/>
              </w:rPr>
              <w:t>Reviewed</w:t>
            </w:r>
          </w:p>
        </w:tc>
        <w:tc>
          <w:tcPr>
            <w:tcW w:type="dxa" w:w="1400"/>
            <w:vAlign w:val="center"/>
            <w:tcMar>
              <w:top w:w="80" w:type="dxa"/>
              <w:start w:w="120" w:type="dxa"/>
              <w:bottom w:w="80" w:type="dxa"/>
              <w:end w:w="120" w:type="dxa"/>
            </w:tcMar>
            <w:shd w:fill="B85C38"/>
          </w:tcPr>
          <w:p>
            <w:pPr>
              <w:spacing w:after="0"/>
            </w:pPr>
            <w:r>
              <w:rPr>
                <w:rFonts w:ascii="Arial" w:hAnsi="Arial"/>
                <w:b/>
                <w:i w:val="0"/>
                <w:color w:val="FFFFFF"/>
                <w:sz w:val="17"/>
              </w:rPr>
              <w:t>Exceptions</w:t>
            </w:r>
          </w:p>
        </w:tc>
        <w:tc>
          <w:tcPr>
            <w:tcW w:type="dxa" w:w="1810"/>
            <w:vAlign w:val="center"/>
            <w:tcMar>
              <w:top w:w="80" w:type="dxa"/>
              <w:start w:w="120" w:type="dxa"/>
              <w:bottom w:w="80" w:type="dxa"/>
              <w:end w:w="120" w:type="dxa"/>
            </w:tcMar>
            <w:shd w:fill="B85C38"/>
          </w:tcPr>
          <w:p>
            <w:pPr>
              <w:spacing w:after="0"/>
            </w:pPr>
            <w:r>
              <w:rPr>
                <w:rFonts w:ascii="Arial" w:hAnsi="Arial"/>
                <w:b/>
                <w:i w:val="0"/>
                <w:color w:val="FFFFFF"/>
                <w:sz w:val="17"/>
              </w:rPr>
              <w:t>Exposure</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F-101</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Phoenix Central Collision</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1</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Tempe Auto Body</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3</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$35.00</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F-117</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Desert Aluminum Works</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2</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0</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F-203</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Tucson Precision Collision</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2</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$51.00</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Old Pueblo Auto Body</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9</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7</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$4,414.75</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F-304</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Prescott Bodycraft</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3</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1</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vAlign w:val="center"/>
            <w:tcMar>
              <w:top w:w="80" w:type="dxa"/>
              <w:start w:w="120" w:type="dxa"/>
              <w:bottom w:w="80" w:type="dxa"/>
              <w:end w:w="120" w:type="dxa"/>
            </w:tcMar>
          </w:tcPr>
          <w:p>
            <w:pPr>
              <w:spacing w:after="0"/>
            </w:pPr>
            <w:r>
              <w:rPr>
                <w:rFonts w:ascii="Arial" w:hAnsi="Arial"/>
                <w:b w:val="0"/>
                <w:i w:val="0"/>
                <w:color w:val="3A3A37"/>
                <w:sz w:val="17"/>
              </w:rPr>
              <w:t>F-402</w:t>
            </w:r>
          </w:p>
        </w:tc>
        <w:tc>
          <w:tcPr>
            <w:tcW w:type="dxa" w:w="3600"/>
            <w:vAlign w:val="center"/>
            <w:tcMar>
              <w:top w:w="80" w:type="dxa"/>
              <w:start w:w="120" w:type="dxa"/>
              <w:bottom w:w="80" w:type="dxa"/>
              <w:end w:w="120" w:type="dxa"/>
            </w:tcMar>
          </w:tcPr>
          <w:p>
            <w:pPr>
              <w:spacing w:after="0"/>
            </w:pPr>
            <w:r>
              <w:rPr>
                <w:rFonts w:ascii="Arial" w:hAnsi="Arial"/>
                <w:b w:val="0"/>
                <w:i w:val="0"/>
                <w:color w:val="3A3A37"/>
                <w:sz w:val="17"/>
              </w:rPr>
              <w:t>Flagstaff Collision North</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4</w:t>
            </w:r>
          </w:p>
        </w:tc>
        <w:tc>
          <w:tcPr>
            <w:tcW w:type="dxa" w:w="1400"/>
            <w:vAlign w:val="center"/>
            <w:tcMar>
              <w:top w:w="80" w:type="dxa"/>
              <w:start w:w="120" w:type="dxa"/>
              <w:bottom w:w="80" w:type="dxa"/>
              <w:end w:w="120" w:type="dxa"/>
            </w:tcMar>
          </w:tcPr>
          <w:p>
            <w:pPr>
              <w:spacing w:after="0"/>
            </w:pPr>
            <w:r>
              <w:rPr>
                <w:rFonts w:ascii="Arial" w:hAnsi="Arial"/>
                <w:b w:val="0"/>
                <w:i w:val="0"/>
                <w:color w:val="3A3A37"/>
                <w:sz w:val="17"/>
              </w:rPr>
              <w:t>0</w:t>
            </w:r>
          </w:p>
        </w:tc>
        <w:tc>
          <w:tcPr>
            <w:tcW w:type="dxa" w:w="1810"/>
            <w:vAlign w:val="center"/>
            <w:tcMar>
              <w:top w:w="80" w:type="dxa"/>
              <w:start w:w="120" w:type="dxa"/>
              <w:bottom w:w="80" w:type="dxa"/>
              <w:end w:w="120" w:type="dxa"/>
            </w:tcMar>
          </w:tcPr>
          <w:p>
            <w:pPr>
              <w:spacing w:after="0"/>
            </w:pPr>
            <w:r>
              <w:rPr>
                <w:rFonts w:ascii="Arial" w:hAnsi="Arial"/>
                <w:b w:val="0"/>
                <w:i w:val="0"/>
                <w:color w:val="3A3A37"/>
                <w:sz w:val="17"/>
              </w:rPr>
              <w:t>$0.00</w:t>
            </w:r>
          </w:p>
        </w:tc>
      </w:tr>
      <w:tr>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F-409</w:t>
            </w:r>
          </w:p>
        </w:tc>
        <w:tc>
          <w:tcPr>
            <w:tcW w:type="dxa" w:w="3600"/>
            <w:shd w:fill="FAF7F2"/>
            <w:vAlign w:val="center"/>
            <w:tcMar>
              <w:top w:w="80" w:type="dxa"/>
              <w:start w:w="120" w:type="dxa"/>
              <w:bottom w:w="80" w:type="dxa"/>
              <w:end w:w="120" w:type="dxa"/>
            </w:tcMar>
          </w:tcPr>
          <w:p>
            <w:pPr>
              <w:spacing w:after="0"/>
            </w:pPr>
            <w:r>
              <w:rPr>
                <w:rFonts w:ascii="Arial" w:hAnsi="Arial"/>
                <w:b w:val="0"/>
                <w:i w:val="0"/>
                <w:color w:val="3A3A37"/>
                <w:sz w:val="17"/>
              </w:rPr>
              <w:t>High Country Auto Repair</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2</w:t>
            </w:r>
          </w:p>
        </w:tc>
        <w:tc>
          <w:tcPr>
            <w:tcW w:type="dxa" w:w="1400"/>
            <w:shd w:fill="FAF7F2"/>
            <w:vAlign w:val="center"/>
            <w:tcMar>
              <w:top w:w="80" w:type="dxa"/>
              <w:start w:w="120" w:type="dxa"/>
              <w:bottom w:w="80" w:type="dxa"/>
              <w:end w:w="120" w:type="dxa"/>
            </w:tcMar>
          </w:tcPr>
          <w:p>
            <w:pPr>
              <w:spacing w:after="0"/>
            </w:pPr>
            <w:r>
              <w:rPr>
                <w:rFonts w:ascii="Arial" w:hAnsi="Arial"/>
                <w:b w:val="0"/>
                <w:i w:val="0"/>
                <w:color w:val="3A3A37"/>
                <w:sz w:val="17"/>
              </w:rPr>
              <w:t>0</w:t>
            </w:r>
          </w:p>
        </w:tc>
        <w:tc>
          <w:tcPr>
            <w:tcW w:type="dxa" w:w="181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r>
    </w:tbl>
    <w:p>
      <w:pPr>
        <w:spacing w:after="40"/>
      </w:pPr>
    </w:p>
    <w:p>
      <w:pPr>
        <w:pStyle w:val="Heading1"/>
      </w:pPr>
      <w:r>
        <w:t>Other exceptions</w:t>
      </w:r>
    </w:p>
    <w:tbl>
      <w:tblPr>
        <w:tblStyle w:val="TableGrid"/>
        <w:tblW w:type="dxa" w:w="9360"/>
        <w:tblLayout w:type="fixed"/>
        <w:tblLook w:firstColumn="1" w:firstRow="1" w:lastColumn="0" w:lastRow="0" w:noHBand="0" w:noVBand="1" w:val="04A0"/>
        <w:jc w:val="left"/>
        <w:tblInd w:w="120" w:type="dxa"/>
      </w:tblPr>
      <w:tblGrid>
        <w:gridCol w:w="1750"/>
        <w:gridCol w:w="1250"/>
        <w:gridCol w:w="1150"/>
        <w:gridCol w:w="1300"/>
        <w:gridCol w:w="3910"/>
      </w:tblGrid>
      <w:tr>
        <w:trPr>
          <w:tblHeader w:val="true"/>
        </w:trPr>
        <w:tc>
          <w:tcPr>
            <w:tcW w:type="dxa" w:w="1750"/>
            <w:vAlign w:val="center"/>
            <w:tcMar>
              <w:top w:w="80" w:type="dxa"/>
              <w:start w:w="120" w:type="dxa"/>
              <w:bottom w:w="80" w:type="dxa"/>
              <w:end w:w="120" w:type="dxa"/>
            </w:tcMar>
            <w:shd w:fill="B85C38"/>
          </w:tcPr>
          <w:p>
            <w:pPr>
              <w:spacing w:after="0"/>
            </w:pPr>
            <w:r>
              <w:rPr>
                <w:rFonts w:ascii="Arial" w:hAnsi="Arial"/>
                <w:b/>
                <w:i w:val="0"/>
                <w:color w:val="FFFFFF"/>
                <w:sz w:val="17"/>
              </w:rPr>
              <w:t>Claim</w:t>
            </w:r>
          </w:p>
        </w:tc>
        <w:tc>
          <w:tcPr>
            <w:tcW w:type="dxa" w:w="1250"/>
            <w:vAlign w:val="center"/>
            <w:tcMar>
              <w:top w:w="80" w:type="dxa"/>
              <w:start w:w="120" w:type="dxa"/>
              <w:bottom w:w="80" w:type="dxa"/>
              <w:end w:w="120" w:type="dxa"/>
            </w:tcMar>
            <w:shd w:fill="B85C38"/>
          </w:tcPr>
          <w:p>
            <w:pPr>
              <w:spacing w:after="0"/>
            </w:pPr>
            <w:r>
              <w:rPr>
                <w:rFonts w:ascii="Arial" w:hAnsi="Arial"/>
                <w:b/>
                <w:i w:val="0"/>
                <w:color w:val="FFFFFF"/>
                <w:sz w:val="17"/>
              </w:rPr>
              <w:t>Appraiser</w:t>
            </w:r>
          </w:p>
        </w:tc>
        <w:tc>
          <w:tcPr>
            <w:tcW w:type="dxa" w:w="1150"/>
            <w:vAlign w:val="center"/>
            <w:tcMar>
              <w:top w:w="80" w:type="dxa"/>
              <w:start w:w="120" w:type="dxa"/>
              <w:bottom w:w="80" w:type="dxa"/>
              <w:end w:w="120" w:type="dxa"/>
            </w:tcMar>
            <w:shd w:fill="B85C38"/>
          </w:tcPr>
          <w:p>
            <w:pPr>
              <w:spacing w:after="0"/>
            </w:pPr>
            <w:r>
              <w:rPr>
                <w:rFonts w:ascii="Arial" w:hAnsi="Arial"/>
                <w:b/>
                <w:i w:val="0"/>
                <w:color w:val="FFFFFF"/>
                <w:sz w:val="17"/>
              </w:rPr>
              <w:t>Facility</w:t>
            </w:r>
          </w:p>
        </w:tc>
        <w:tc>
          <w:tcPr>
            <w:tcW w:type="dxa" w:w="1300"/>
            <w:vAlign w:val="center"/>
            <w:tcMar>
              <w:top w:w="80" w:type="dxa"/>
              <w:start w:w="120" w:type="dxa"/>
              <w:bottom w:w="80" w:type="dxa"/>
              <w:end w:w="120" w:type="dxa"/>
            </w:tcMar>
            <w:shd w:fill="B85C38"/>
          </w:tcPr>
          <w:p>
            <w:pPr>
              <w:spacing w:after="0"/>
            </w:pPr>
            <w:r>
              <w:rPr>
                <w:rFonts w:ascii="Arial" w:hAnsi="Arial"/>
                <w:b/>
                <w:i w:val="0"/>
                <w:color w:val="FFFFFF"/>
                <w:sz w:val="17"/>
              </w:rPr>
              <w:t>Exposure</w:t>
            </w:r>
          </w:p>
        </w:tc>
        <w:tc>
          <w:tcPr>
            <w:tcW w:type="dxa" w:w="3910"/>
            <w:vAlign w:val="center"/>
            <w:tcMar>
              <w:top w:w="80" w:type="dxa"/>
              <w:start w:w="120" w:type="dxa"/>
              <w:bottom w:w="80" w:type="dxa"/>
              <w:end w:w="120" w:type="dxa"/>
            </w:tcMar>
            <w:shd w:fill="B85C38"/>
          </w:tcPr>
          <w:p>
            <w:pPr>
              <w:spacing w:after="0"/>
            </w:pPr>
            <w:r>
              <w:rPr>
                <w:rFonts w:ascii="Arial" w:hAnsi="Arial"/>
                <w:b/>
                <w:i w:val="0"/>
                <w:color w:val="FFFFFF"/>
                <w:sz w:val="17"/>
              </w:rPr>
              <w:t>Control theme</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AZR-26-0704</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AP-118</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F-203</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$35.00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AZR-26-0705</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AP-118</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F-304</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AZR-26-0707</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AP-118</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F-101</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Original approval before qualified inspection</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AZR-26-0716</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F-211</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AZR-26-0717</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AP-204</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$35.00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Unauthorized labor rate</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AZR-26-0721</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AP-311</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F-203</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$16.00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Unauthorized labor rate</w:t>
            </w:r>
          </w:p>
        </w:tc>
      </w:tr>
      <w:tr>
        <w:tc>
          <w:tcPr>
            <w:tcW w:type="dxa" w:w="1750"/>
            <w:vAlign w:val="center"/>
            <w:tcMar>
              <w:top w:w="80" w:type="dxa"/>
              <w:start w:w="120" w:type="dxa"/>
              <w:bottom w:w="80" w:type="dxa"/>
              <w:end w:w="120" w:type="dxa"/>
            </w:tcMar>
          </w:tcPr>
          <w:p>
            <w:pPr>
              <w:spacing w:after="0"/>
            </w:pPr>
            <w:r>
              <w:rPr>
                <w:rFonts w:ascii="Arial" w:hAnsi="Arial"/>
                <w:b w:val="0"/>
                <w:i w:val="0"/>
                <w:color w:val="3A3A37"/>
                <w:sz w:val="17"/>
              </w:rPr>
              <w:t>AZR-26-0723</w:t>
            </w:r>
          </w:p>
        </w:tc>
        <w:tc>
          <w:tcPr>
            <w:tcW w:type="dxa" w:w="1250"/>
            <w:vAlign w:val="center"/>
            <w:tcMar>
              <w:top w:w="80" w:type="dxa"/>
              <w:start w:w="120" w:type="dxa"/>
              <w:bottom w:w="80" w:type="dxa"/>
              <w:end w:w="120" w:type="dxa"/>
            </w:tcMar>
          </w:tcPr>
          <w:p>
            <w:pPr>
              <w:spacing w:after="0"/>
            </w:pPr>
            <w:r>
              <w:rPr>
                <w:rFonts w:ascii="Arial" w:hAnsi="Arial"/>
                <w:b w:val="0"/>
                <w:i w:val="0"/>
                <w:color w:val="3A3A37"/>
                <w:sz w:val="17"/>
              </w:rPr>
              <w:t>AP-311</w:t>
            </w:r>
          </w:p>
        </w:tc>
        <w:tc>
          <w:tcPr>
            <w:tcW w:type="dxa" w:w="1150"/>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1300"/>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r>
        <w:tc>
          <w:tcPr>
            <w:tcW w:type="dxa" w:w="1750"/>
            <w:shd w:fill="FAF7F2"/>
            <w:vAlign w:val="center"/>
            <w:tcMar>
              <w:top w:w="80" w:type="dxa"/>
              <w:start w:w="120" w:type="dxa"/>
              <w:bottom w:w="80" w:type="dxa"/>
              <w:end w:w="120" w:type="dxa"/>
            </w:tcMar>
          </w:tcPr>
          <w:p>
            <w:pPr>
              <w:spacing w:after="0"/>
            </w:pPr>
            <w:r>
              <w:rPr>
                <w:rFonts w:ascii="Arial" w:hAnsi="Arial"/>
                <w:b w:val="0"/>
                <w:i w:val="0"/>
                <w:color w:val="3A3A37"/>
                <w:sz w:val="17"/>
              </w:rPr>
              <w:t>AZR-26-0731</w:t>
            </w:r>
          </w:p>
        </w:tc>
        <w:tc>
          <w:tcPr>
            <w:tcW w:type="dxa" w:w="1250"/>
            <w:shd w:fill="FAF7F2"/>
            <w:vAlign w:val="center"/>
            <w:tcMar>
              <w:top w:w="80" w:type="dxa"/>
              <w:start w:w="120" w:type="dxa"/>
              <w:bottom w:w="80" w:type="dxa"/>
              <w:end w:w="120" w:type="dxa"/>
            </w:tcMar>
          </w:tcPr>
          <w:p>
            <w:pPr>
              <w:spacing w:after="0"/>
            </w:pPr>
            <w:r>
              <w:rPr>
                <w:rFonts w:ascii="Arial" w:hAnsi="Arial"/>
                <w:b w:val="0"/>
                <w:i w:val="0"/>
                <w:color w:val="3A3A37"/>
                <w:sz w:val="17"/>
              </w:rPr>
              <w:t>AP-427</w:t>
            </w:r>
          </w:p>
        </w:tc>
        <w:tc>
          <w:tcPr>
            <w:tcW w:type="dxa" w:w="1150"/>
            <w:shd w:fill="FAF7F2"/>
            <w:vAlign w:val="center"/>
            <w:tcMar>
              <w:top w:w="80" w:type="dxa"/>
              <w:start w:w="120" w:type="dxa"/>
              <w:bottom w:w="80" w:type="dxa"/>
              <w:end w:w="120" w:type="dxa"/>
            </w:tcMar>
          </w:tcPr>
          <w:p>
            <w:pPr>
              <w:spacing w:after="0"/>
            </w:pPr>
            <w:r>
              <w:rPr>
                <w:rFonts w:ascii="Arial" w:hAnsi="Arial"/>
                <w:b w:val="0"/>
                <w:i w:val="0"/>
                <w:color w:val="3A3A37"/>
                <w:sz w:val="17"/>
              </w:rPr>
              <w:t>F-108</w:t>
            </w:r>
          </w:p>
        </w:tc>
        <w:tc>
          <w:tcPr>
            <w:tcW w:type="dxa" w:w="1300"/>
            <w:shd w:fill="FAF7F2"/>
            <w:vAlign w:val="center"/>
            <w:tcMar>
              <w:top w:w="80" w:type="dxa"/>
              <w:start w:w="120" w:type="dxa"/>
              <w:bottom w:w="80" w:type="dxa"/>
              <w:end w:w="120" w:type="dxa"/>
            </w:tcMar>
          </w:tcPr>
          <w:p>
            <w:pPr>
              <w:spacing w:after="0"/>
            </w:pPr>
            <w:r>
              <w:rPr>
                <w:rFonts w:ascii="Arial" w:hAnsi="Arial"/>
                <w:b w:val="0"/>
                <w:i w:val="0"/>
                <w:color w:val="3A3A37"/>
                <w:sz w:val="17"/>
              </w:rPr>
              <w:t>$0.00</w:t>
            </w:r>
          </w:p>
        </w:tc>
        <w:tc>
          <w:tcPr>
            <w:tcW w:type="dxa" w:w="3910"/>
            <w:shd w:fill="FAF7F2"/>
            <w:vAlign w:val="center"/>
            <w:tcMar>
              <w:top w:w="80" w:type="dxa"/>
              <w:start w:w="120" w:type="dxa"/>
              <w:bottom w:w="80" w:type="dxa"/>
              <w:end w:w="120" w:type="dxa"/>
            </w:tcMar>
          </w:tcPr>
          <w:p>
            <w:pPr>
              <w:spacing w:after="0"/>
            </w:pPr>
            <w:r>
              <w:rPr>
                <w:rFonts w:ascii="Arial" w:hAnsi="Arial"/>
                <w:b w:val="0"/>
                <w:i w:val="0"/>
                <w:color w:val="3A3A37"/>
                <w:sz w:val="17"/>
              </w:rPr>
              <w:t>Supplement support received after approval</w:t>
            </w:r>
          </w:p>
        </w:tc>
      </w:tr>
    </w:tbl>
    <w:p>
      <w:pPr>
        <w:spacing w:after="40"/>
      </w:pPr>
    </w:p>
    <w:p>
      <w:r>
        <w:rPr>
          <w:rFonts w:ascii="Arial" w:hAnsi="Arial"/>
          <w:b w:val="0"/>
          <w:i w:val="0"/>
          <w:color w:val="3A3A37"/>
          <w:sz w:val="22"/>
        </w:rPr>
        <w:t>Nine distinct claims have an approval-sequencing issue: 5 original estimates were approved before a qualified inspection, and 4 supplements received support after approval but before closure. Payment was eventually supported on the latter files, but approval happened before the required control was complete.</w:t>
      </w:r>
    </w:p>
    <w:p>
      <w:pPr>
        <w:pStyle w:val="Heading1"/>
      </w:pPr>
      <w:r>
        <w:t>Rate matrix</w:t>
      </w:r>
    </w:p>
    <w:tbl>
      <w:tblPr>
        <w:tblStyle w:val="TableGrid"/>
        <w:tblW w:type="dxa" w:w="9360"/>
        <w:tblLayout w:type="fixed"/>
        <w:tblLook w:firstColumn="1" w:firstRow="1" w:lastColumn="0" w:lastRow="0" w:noHBand="0" w:noVBand="1" w:val="04A0"/>
        <w:jc w:val="left"/>
        <w:tblInd w:w="120" w:type="dxa"/>
      </w:tblPr>
      <w:tblGrid>
        <w:gridCol w:w="4250"/>
        <w:gridCol w:w="3100"/>
        <w:gridCol w:w="2010"/>
      </w:tblGrid>
      <w:tr>
        <w:trPr>
          <w:tblHeader w:val="true"/>
        </w:trPr>
        <w:tc>
          <w:tcPr>
            <w:tcW w:type="dxa" w:w="4250"/>
            <w:vAlign w:val="center"/>
            <w:tcMar>
              <w:top w:w="80" w:type="dxa"/>
              <w:start w:w="120" w:type="dxa"/>
              <w:bottom w:w="80" w:type="dxa"/>
              <w:end w:w="120" w:type="dxa"/>
            </w:tcMar>
            <w:shd w:fill="B85C38"/>
          </w:tcPr>
          <w:p>
            <w:pPr>
              <w:spacing w:after="0"/>
            </w:pPr>
            <w:r>
              <w:rPr>
                <w:rFonts w:ascii="Arial" w:hAnsi="Arial"/>
                <w:b/>
                <w:i w:val="0"/>
                <w:color w:val="FFFFFF"/>
                <w:sz w:val="18"/>
              </w:rPr>
              <w:t>Standard test</w:t>
            </w:r>
          </w:p>
        </w:tc>
        <w:tc>
          <w:tcPr>
            <w:tcW w:type="dxa" w:w="3100"/>
            <w:vAlign w:val="center"/>
            <w:tcMar>
              <w:top w:w="80" w:type="dxa"/>
              <w:start w:w="120" w:type="dxa"/>
              <w:bottom w:w="80" w:type="dxa"/>
              <w:end w:w="120" w:type="dxa"/>
            </w:tcMar>
            <w:shd w:fill="B85C38"/>
          </w:tcPr>
          <w:p>
            <w:pPr>
              <w:spacing w:after="0"/>
            </w:pPr>
            <w:r>
              <w:rPr>
                <w:rFonts w:ascii="Arial" w:hAnsi="Arial"/>
                <w:b/>
                <w:i w:val="0"/>
                <w:color w:val="FFFFFF"/>
                <w:sz w:val="18"/>
              </w:rPr>
              <w:t>Observed</w:t>
            </w:r>
          </w:p>
        </w:tc>
        <w:tc>
          <w:tcPr>
            <w:tcW w:type="dxa" w:w="2010"/>
            <w:vAlign w:val="center"/>
            <w:tcMar>
              <w:top w:w="80" w:type="dxa"/>
              <w:start w:w="120" w:type="dxa"/>
              <w:bottom w:w="80" w:type="dxa"/>
              <w:end w:w="120" w:type="dxa"/>
            </w:tcMar>
            <w:shd w:fill="B85C38"/>
          </w:tcPr>
          <w:p>
            <w:pPr>
              <w:spacing w:after="0"/>
            </w:pPr>
            <w:r>
              <w:rPr>
                <w:rFonts w:ascii="Arial" w:hAnsi="Arial"/>
                <w:b/>
                <w:i w:val="0"/>
                <w:color w:val="FFFFFF"/>
                <w:sz w:val="18"/>
              </w:rPr>
              <w:t>Result</w:t>
            </w:r>
          </w:p>
        </w:tc>
      </w:tr>
      <w:tr>
        <w:tc>
          <w:tcPr>
            <w:tcW w:type="dxa" w:w="4250"/>
            <w:vAlign w:val="center"/>
            <w:tcMar>
              <w:top w:w="80" w:type="dxa"/>
              <w:start w:w="120" w:type="dxa"/>
              <w:bottom w:w="80" w:type="dxa"/>
              <w:end w:w="120" w:type="dxa"/>
            </w:tcMar>
          </w:tcPr>
          <w:p>
            <w:pPr>
              <w:spacing w:after="0"/>
            </w:pPr>
            <w:r>
              <w:rPr>
                <w:rFonts w:ascii="Arial" w:hAnsi="Arial"/>
                <w:b w:val="0"/>
                <w:i w:val="0"/>
                <w:color w:val="3A3A37"/>
                <w:sz w:val="18"/>
              </w:rPr>
              <w:t>Unauthorized rate exceptions on at least 30% of reviewed claims</w:t>
            </w:r>
          </w:p>
        </w:tc>
        <w:tc>
          <w:tcPr>
            <w:tcW w:type="dxa" w:w="3100"/>
            <w:vAlign w:val="center"/>
            <w:tcMar>
              <w:top w:w="80" w:type="dxa"/>
              <w:start w:w="120" w:type="dxa"/>
              <w:bottom w:w="80" w:type="dxa"/>
              <w:end w:w="120" w:type="dxa"/>
            </w:tcMar>
          </w:tcPr>
          <w:p>
            <w:pPr>
              <w:spacing w:after="0"/>
            </w:pPr>
            <w:r>
              <w:rPr>
                <w:rFonts w:ascii="Arial" w:hAnsi="Arial"/>
                <w:b w:val="0"/>
                <w:i w:val="0"/>
                <w:color w:val="3A3A37"/>
                <w:sz w:val="18"/>
              </w:rPr>
              <w:t>9 of 32 (28.1%)</w:t>
            </w:r>
          </w:p>
        </w:tc>
        <w:tc>
          <w:tcPr>
            <w:tcW w:type="dxa" w:w="2010"/>
            <w:vAlign w:val="center"/>
            <w:tcMar>
              <w:top w:w="80" w:type="dxa"/>
              <w:start w:w="120" w:type="dxa"/>
              <w:bottom w:w="80" w:type="dxa"/>
              <w:end w:w="120" w:type="dxa"/>
            </w:tcMar>
          </w:tcPr>
          <w:p>
            <w:pPr>
              <w:spacing w:after="0"/>
            </w:pPr>
            <w:r>
              <w:rPr>
                <w:rFonts w:ascii="Arial" w:hAnsi="Arial"/>
                <w:b w:val="0"/>
                <w:i w:val="0"/>
                <w:color w:val="3A3A37"/>
                <w:sz w:val="18"/>
              </w:rPr>
              <w:t>Not met</w:t>
            </w:r>
          </w:p>
        </w:tc>
      </w:tr>
      <w:tr>
        <w:tc>
          <w:tcPr>
            <w:tcW w:type="dxa" w:w="4250"/>
            <w:shd w:fill="FAF7F2"/>
            <w:vAlign w:val="center"/>
            <w:tcMar>
              <w:top w:w="80" w:type="dxa"/>
              <w:start w:w="120" w:type="dxa"/>
              <w:bottom w:w="80" w:type="dxa"/>
              <w:end w:w="120" w:type="dxa"/>
            </w:tcMar>
          </w:tcPr>
          <w:p>
            <w:pPr>
              <w:spacing w:after="0"/>
            </w:pPr>
            <w:r>
              <w:rPr>
                <w:rFonts w:ascii="Arial" w:hAnsi="Arial"/>
                <w:b w:val="0"/>
                <w:i w:val="0"/>
                <w:color w:val="3A3A37"/>
                <w:sz w:val="18"/>
              </w:rPr>
              <w:t>Exceptions at four or more facilities</w:t>
            </w:r>
          </w:p>
        </w:tc>
        <w:tc>
          <w:tcPr>
            <w:tcW w:type="dxa" w:w="3100"/>
            <w:shd w:fill="FAF7F2"/>
            <w:vAlign w:val="center"/>
            <w:tcMar>
              <w:top w:w="80" w:type="dxa"/>
              <w:start w:w="120" w:type="dxa"/>
              <w:bottom w:w="80" w:type="dxa"/>
              <w:end w:w="120" w:type="dxa"/>
            </w:tcMar>
          </w:tcPr>
          <w:p>
            <w:pPr>
              <w:spacing w:after="0"/>
            </w:pPr>
            <w:r>
              <w:rPr>
                <w:rFonts w:ascii="Arial" w:hAnsi="Arial"/>
                <w:b w:val="0"/>
                <w:i w:val="0"/>
                <w:color w:val="3A3A37"/>
                <w:sz w:val="18"/>
              </w:rPr>
              <w:t>3 facilities: F-108, F-203, F-211</w:t>
            </w:r>
          </w:p>
        </w:tc>
        <w:tc>
          <w:tcPr>
            <w:tcW w:type="dxa" w:w="2010"/>
            <w:shd w:fill="FAF7F2"/>
            <w:vAlign w:val="center"/>
            <w:tcMar>
              <w:top w:w="80" w:type="dxa"/>
              <w:start w:w="120" w:type="dxa"/>
              <w:bottom w:w="80" w:type="dxa"/>
              <w:end w:w="120" w:type="dxa"/>
            </w:tcMar>
          </w:tcPr>
          <w:p>
            <w:pPr>
              <w:spacing w:after="0"/>
            </w:pPr>
            <w:r>
              <w:rPr>
                <w:rFonts w:ascii="Arial" w:hAnsi="Arial"/>
                <w:b w:val="0"/>
                <w:i w:val="0"/>
                <w:color w:val="3A3A37"/>
                <w:sz w:val="18"/>
              </w:rPr>
              <w:t>Not met</w:t>
            </w:r>
          </w:p>
        </w:tc>
      </w:tr>
      <w:tr>
        <w:tc>
          <w:tcPr>
            <w:tcW w:type="dxa" w:w="4250"/>
            <w:vAlign w:val="center"/>
            <w:tcMar>
              <w:top w:w="80" w:type="dxa"/>
              <w:start w:w="120" w:type="dxa"/>
              <w:bottom w:w="80" w:type="dxa"/>
              <w:end w:w="120" w:type="dxa"/>
            </w:tcMar>
          </w:tcPr>
          <w:p>
            <w:pPr>
              <w:spacing w:after="0"/>
            </w:pPr>
            <w:r>
              <w:rPr>
                <w:rFonts w:ascii="Arial" w:hAnsi="Arial"/>
                <w:b w:val="0"/>
                <w:i w:val="0"/>
                <w:color w:val="3A3A37"/>
                <w:sz w:val="18"/>
              </w:rPr>
              <w:t>Notes show a consistent market condition</w:t>
            </w:r>
          </w:p>
        </w:tc>
        <w:tc>
          <w:tcPr>
            <w:tcW w:type="dxa" w:w="3100"/>
            <w:vAlign w:val="center"/>
            <w:tcMar>
              <w:top w:w="80" w:type="dxa"/>
              <w:start w:w="120" w:type="dxa"/>
              <w:bottom w:w="80" w:type="dxa"/>
              <w:end w:w="120" w:type="dxa"/>
            </w:tcMar>
          </w:tcPr>
          <w:p>
            <w:pPr>
              <w:spacing w:after="0"/>
            </w:pPr>
            <w:r>
              <w:rPr>
                <w:rFonts w:ascii="Arial" w:hAnsi="Arial"/>
                <w:b w:val="0"/>
                <w:i w:val="0"/>
                <w:color w:val="3A3A37"/>
                <w:sz w:val="18"/>
              </w:rPr>
              <w:t>Requests cite individual facility or subcontractor preference; no bulletin or market authorization</w:t>
            </w:r>
          </w:p>
        </w:tc>
        <w:tc>
          <w:tcPr>
            <w:tcW w:type="dxa" w:w="2010"/>
            <w:vAlign w:val="center"/>
            <w:tcMar>
              <w:top w:w="80" w:type="dxa"/>
              <w:start w:w="120" w:type="dxa"/>
              <w:bottom w:w="80" w:type="dxa"/>
              <w:end w:w="120" w:type="dxa"/>
            </w:tcMar>
          </w:tcPr>
          <w:p>
            <w:pPr>
              <w:spacing w:after="0"/>
            </w:pPr>
            <w:r>
              <w:rPr>
                <w:rFonts w:ascii="Arial" w:hAnsi="Arial"/>
                <w:b w:val="0"/>
                <w:i w:val="0"/>
                <w:color w:val="3A3A37"/>
                <w:sz w:val="18"/>
              </w:rPr>
              <w:t>Not met</w:t>
            </w:r>
          </w:p>
        </w:tc>
      </w:tr>
    </w:tbl>
    <w:p>
      <w:pPr>
        <w:spacing w:after="40"/>
      </w:pPr>
    </w:p>
    <w:p>
      <w:r>
        <w:rPr>
          <w:rFonts w:ascii="Arial" w:hAnsi="Arial"/>
          <w:b w:val="0"/>
          <w:i w:val="0"/>
          <w:color w:val="3A3A37"/>
          <w:sz w:val="22"/>
        </w:rPr>
        <w:t>None of the three conditions is met, so the current county and operation ceilings should remain in place. A territory-wide change would treat a concentrated control problem as a market-rate problem and blur the difference between valid specialty premiums and unsupported exceptions.</w:t>
      </w:r>
    </w:p>
    <w:p>
      <w:pPr>
        <w:pStyle w:val="Heading1"/>
      </w:pPr>
      <w:r>
        <w:t>Actions</w:t>
      </w:r>
    </w:p>
    <w:p>
      <w:pPr>
        <w:pStyle w:val="ListNumber"/>
      </w:pPr>
      <w:r>
        <w:rPr>
          <w:rFonts w:ascii="Arial" w:hAnsi="Arial"/>
          <w:b w:val="0"/>
          <w:i w:val="0"/>
          <w:color w:val="3A3A37"/>
          <w:sz w:val="22"/>
        </w:rPr>
        <w:t>F-211 control: for 30 calendar days, require supervisor preapproval for every supplement above $250 and every labor rate above the published ceiling. Vendor Governance owns the control; exit requires a ten-file sample with no unsupported approval and no unauthorized rate.</w:t>
      </w:r>
    </w:p>
    <w:p>
      <w:pPr>
        <w:pStyle w:val="ListNumber"/>
      </w:pPr>
      <w:r>
        <w:rPr>
          <w:rFonts w:ascii="Arial" w:hAnsi="Arial"/>
          <w:b w:val="0"/>
          <w:i w:val="0"/>
          <w:color w:val="3A3A37"/>
          <w:sz w:val="22"/>
        </w:rPr>
        <w:t>AP-204 control: apply one-hundred-percent supervisor review to the next 15 supplements, followed by a ten-file calibration sample. The Regional Appraisal Manager owns the review; exit requires correct rate, evidence and sequence treatment in every sampled file.</w:t>
      </w:r>
    </w:p>
    <w:p>
      <w:pPr>
        <w:pStyle w:val="ListNumber"/>
      </w:pPr>
      <w:r>
        <w:rPr>
          <w:rFonts w:ascii="Arial" w:hAnsi="Arial"/>
          <w:b w:val="0"/>
          <w:i w:val="0"/>
          <w:color w:val="3A3A37"/>
          <w:sz w:val="22"/>
        </w:rPr>
        <w:t>High-file review: Claim Management should review the six High files within 15 calendar days of this memo. Record the recovery assessment, documentation follow-up and coding disposition for each file before closing the review. Exposure totals $4,414.75; it is not an established recovery entitlement.</w:t>
      </w:r>
    </w:p>
    <w:p>
      <w:pPr>
        <w:pStyle w:val="ListNumber"/>
      </w:pPr>
      <w:r>
        <w:rPr>
          <w:rFonts w:ascii="Arial" w:hAnsi="Arial"/>
          <w:b w:val="0"/>
          <w:i w:val="0"/>
          <w:color w:val="3A3A37"/>
          <w:sz w:val="22"/>
        </w:rPr>
        <w:t>Workflow edit: The approval system should be configured and tested to enforce this block within 15 calendar days of this memo. For non-labor approvals above $150, require received evidence or a valid EMERG-2 note. Before release, verify that supported approvals proceed, documented emergencies proceed, and unsupported approvals are blocked; evidence added later must not erase the original sequencing event.</w:t>
      </w:r>
    </w:p>
    <w:p>
      <w:pPr>
        <w:pStyle w:val="ListNumber"/>
      </w:pPr>
      <w:r>
        <w:rPr>
          <w:rFonts w:ascii="Arial" w:hAnsi="Arial"/>
          <w:b w:val="0"/>
          <w:i w:val="0"/>
          <w:color w:val="3A3A37"/>
          <w:sz w:val="22"/>
        </w:rPr>
        <w:t>Thirty-day resample: Regional Appraisal Quality owns a repeat test of the first 30 closed-paid files after the control period. Complete it within 30 calendar days after that period ends and verify claim count, rate incidence, facility count, market support and exposure reconciliation. Open a rate study only if the resample reaches the standard's 30-percent, four-facility and market-support thresholds.</w:t>
      </w:r>
    </w:p>
    <w:p>
      <w:r>
        <w:br w:type="page"/>
      </w:r>
    </w:p>
    <w:p>
      <w:pPr>
        <w:pStyle w:val="Heading1"/>
      </w:pPr>
      <w:r>
        <w:t>Files used</w:t>
      </w:r>
    </w:p>
    <w:tbl>
      <w:tblPr>
        <w:tblStyle w:val="TableGrid"/>
        <w:tblW w:type="dxa" w:w="9360"/>
        <w:tblLayout w:type="fixed"/>
        <w:tblLook w:firstColumn="1" w:firstRow="1" w:lastColumn="0" w:lastRow="0" w:noHBand="0" w:noVBand="1" w:val="04A0"/>
        <w:jc w:val="left"/>
        <w:tblInd w:w="120" w:type="dxa"/>
      </w:tblPr>
      <w:tblGrid>
        <w:gridCol w:w="3000"/>
        <w:gridCol w:w="2900"/>
        <w:gridCol w:w="3460"/>
      </w:tblGrid>
      <w:tr>
        <w:trPr>
          <w:tblHeader w:val="true"/>
        </w:trPr>
        <w:tc>
          <w:tcPr>
            <w:tcW w:type="dxa" w:w="3000"/>
            <w:vAlign w:val="center"/>
            <w:tcMar>
              <w:top w:w="80" w:type="dxa"/>
              <w:start w:w="120" w:type="dxa"/>
              <w:bottom w:w="80" w:type="dxa"/>
              <w:end w:w="120" w:type="dxa"/>
            </w:tcMar>
            <w:shd w:fill="B85C38"/>
          </w:tcPr>
          <w:p>
            <w:pPr>
              <w:spacing w:after="0"/>
            </w:pPr>
            <w:r>
              <w:rPr>
                <w:rFonts w:ascii="Arial" w:hAnsi="Arial"/>
                <w:b/>
                <w:i w:val="0"/>
                <w:color w:val="FFFFFF"/>
                <w:sz w:val="17"/>
              </w:rPr>
              <w:t>Filename</w:t>
            </w:r>
          </w:p>
        </w:tc>
        <w:tc>
          <w:tcPr>
            <w:tcW w:type="dxa" w:w="2900"/>
            <w:vAlign w:val="center"/>
            <w:tcMar>
              <w:top w:w="80" w:type="dxa"/>
              <w:start w:w="120" w:type="dxa"/>
              <w:bottom w:w="80" w:type="dxa"/>
              <w:end w:w="120" w:type="dxa"/>
            </w:tcMar>
            <w:shd w:fill="B85C38"/>
          </w:tcPr>
          <w:p>
            <w:pPr>
              <w:spacing w:after="0"/>
            </w:pPr>
            <w:r>
              <w:rPr>
                <w:rFonts w:ascii="Arial" w:hAnsi="Arial"/>
                <w:b/>
                <w:i w:val="0"/>
                <w:color w:val="FFFFFF"/>
                <w:sz w:val="17"/>
              </w:rPr>
              <w:t>Location used</w:t>
            </w:r>
          </w:p>
        </w:tc>
        <w:tc>
          <w:tcPr>
            <w:tcW w:type="dxa" w:w="3460"/>
            <w:vAlign w:val="center"/>
            <w:tcMar>
              <w:top w:w="80" w:type="dxa"/>
              <w:start w:w="120" w:type="dxa"/>
              <w:bottom w:w="80" w:type="dxa"/>
              <w:end w:w="120" w:type="dxa"/>
            </w:tcMar>
            <w:shd w:fill="B85C38"/>
          </w:tcPr>
          <w:p>
            <w:pPr>
              <w:spacing w:after="0"/>
            </w:pPr>
            <w:r>
              <w:rPr>
                <w:rFonts w:ascii="Arial" w:hAnsi="Arial"/>
                <w:b/>
                <w:i w:val="0"/>
                <w:color w:val="FFFFFF"/>
                <w:sz w:val="17"/>
              </w:rPr>
              <w:t>Purpose</w:t>
            </w:r>
          </w:p>
        </w:tc>
      </w:tr>
      <w:tr>
        <w:tc>
          <w:tcPr>
            <w:tcW w:type="dxa" w:w="3000"/>
            <w:vAlign w:val="center"/>
            <w:tcMar>
              <w:top w:w="80" w:type="dxa"/>
              <w:start w:w="120" w:type="dxa"/>
              <w:bottom w:w="80" w:type="dxa"/>
              <w:end w:w="120" w:type="dxa"/>
            </w:tcMar>
          </w:tcPr>
          <w:p>
            <w:pPr>
              <w:spacing w:after="0"/>
            </w:pPr>
            <w:r>
              <w:rPr>
                <w:rFonts w:ascii="Arial" w:hAnsi="Arial"/>
                <w:b w:val="0"/>
                <w:i w:val="0"/>
                <w:color w:val="3A3A37"/>
                <w:sz w:val="17"/>
              </w:rPr>
              <w:t>closed_claims_extract.xlsx</w:t>
            </w:r>
          </w:p>
        </w:tc>
        <w:tc>
          <w:tcPr>
            <w:tcW w:type="dxa" w:w="2900"/>
            <w:vAlign w:val="center"/>
            <w:tcMar>
              <w:top w:w="80" w:type="dxa"/>
              <w:start w:w="120" w:type="dxa"/>
              <w:bottom w:w="80" w:type="dxa"/>
              <w:end w:w="120" w:type="dxa"/>
            </w:tcMar>
          </w:tcPr>
          <w:p>
            <w:pPr>
              <w:spacing w:after="0"/>
            </w:pPr>
            <w:r>
              <w:rPr>
                <w:rFonts w:ascii="Arial" w:hAnsi="Arial"/>
                <w:b w:val="0"/>
                <w:i w:val="0"/>
                <w:color w:val="3A3A37"/>
                <w:sz w:val="17"/>
              </w:rPr>
              <w:t>Closed Claims; Repair Timing; Field Guide</w:t>
            </w:r>
          </w:p>
        </w:tc>
        <w:tc>
          <w:tcPr>
            <w:tcW w:type="dxa" w:w="3460"/>
            <w:vAlign w:val="center"/>
            <w:tcMar>
              <w:top w:w="80" w:type="dxa"/>
              <w:start w:w="120" w:type="dxa"/>
              <w:bottom w:w="80" w:type="dxa"/>
              <w:end w:w="120" w:type="dxa"/>
            </w:tcMar>
          </w:tcPr>
          <w:p>
            <w:pPr>
              <w:spacing w:after="0"/>
            </w:pPr>
            <w:r>
              <w:rPr>
                <w:rFonts w:ascii="Arial" w:hAnsi="Arial"/>
                <w:b w:val="0"/>
                <w:i w:val="0"/>
                <w:color w:val="3A3A37"/>
                <w:sz w:val="17"/>
              </w:rPr>
              <w:t>Population, paid amounts, assignments and authorization-to-completion days</w:t>
            </w:r>
          </w:p>
        </w:tc>
      </w:tr>
      <w:tr>
        <w:tc>
          <w:tcPr>
            <w:tcW w:type="dxa" w:w="3000"/>
            <w:shd w:fill="FAF7F2"/>
            <w:vAlign w:val="center"/>
            <w:tcMar>
              <w:top w:w="80" w:type="dxa"/>
              <w:start w:w="120" w:type="dxa"/>
              <w:bottom w:w="80" w:type="dxa"/>
              <w:end w:w="120" w:type="dxa"/>
            </w:tcMar>
          </w:tcPr>
          <w:p>
            <w:pPr>
              <w:spacing w:after="0"/>
            </w:pPr>
            <w:r>
              <w:rPr>
                <w:rFonts w:ascii="Arial" w:hAnsi="Arial"/>
                <w:b w:val="0"/>
                <w:i w:val="0"/>
                <w:color w:val="3A3A37"/>
                <w:sz w:val="17"/>
              </w:rPr>
              <w:t>supplement_activity.xlsx</w:t>
            </w:r>
          </w:p>
        </w:tc>
        <w:tc>
          <w:tcPr>
            <w:tcW w:type="dxa" w:w="2900"/>
            <w:shd w:fill="FAF7F2"/>
            <w:vAlign w:val="center"/>
            <w:tcMar>
              <w:top w:w="80" w:type="dxa"/>
              <w:start w:w="120" w:type="dxa"/>
              <w:bottom w:w="80" w:type="dxa"/>
              <w:end w:w="120" w:type="dxa"/>
            </w:tcMar>
          </w:tcPr>
          <w:p>
            <w:pPr>
              <w:spacing w:after="0"/>
            </w:pPr>
            <w:r>
              <w:rPr>
                <w:rFonts w:ascii="Arial" w:hAnsi="Arial"/>
                <w:b w:val="0"/>
                <w:i w:val="0"/>
                <w:color w:val="3A3A37"/>
                <w:sz w:val="17"/>
              </w:rPr>
              <w:t>Supplement Lines; Code Notes</w:t>
            </w:r>
          </w:p>
        </w:tc>
        <w:tc>
          <w:tcPr>
            <w:tcW w:type="dxa" w:w="3460"/>
            <w:shd w:fill="FAF7F2"/>
            <w:vAlign w:val="center"/>
            <w:tcMar>
              <w:top w:w="80" w:type="dxa"/>
              <w:start w:w="120" w:type="dxa"/>
              <w:bottom w:w="80" w:type="dxa"/>
              <w:end w:w="120" w:type="dxa"/>
            </w:tcMar>
          </w:tcPr>
          <w:p>
            <w:pPr>
              <w:spacing w:after="0"/>
            </w:pPr>
            <w:r>
              <w:rPr>
                <w:rFonts w:ascii="Arial" w:hAnsi="Arial"/>
                <w:b w:val="0"/>
                <w:i w:val="0"/>
                <w:color w:val="3A3A37"/>
                <w:sz w:val="17"/>
              </w:rPr>
              <w:t>Rates, hours, approved amounts, evidence timing and exception codes</w:t>
            </w:r>
          </w:p>
        </w:tc>
      </w:tr>
      <w:tr>
        <w:tc>
          <w:tcPr>
            <w:tcW w:type="dxa" w:w="3000"/>
            <w:vAlign w:val="center"/>
            <w:tcMar>
              <w:top w:w="80" w:type="dxa"/>
              <w:start w:w="120" w:type="dxa"/>
              <w:bottom w:w="80" w:type="dxa"/>
              <w:end w:w="120" w:type="dxa"/>
            </w:tcMar>
          </w:tcPr>
          <w:p>
            <w:pPr>
              <w:spacing w:after="0"/>
            </w:pPr>
            <w:r>
              <w:rPr>
                <w:rFonts w:ascii="Arial" w:hAnsi="Arial"/>
                <w:b w:val="0"/>
                <w:i w:val="0"/>
                <w:color w:val="3A3A37"/>
                <w:sz w:val="17"/>
              </w:rPr>
              <w:t>inspection_timeline.xlsx</w:t>
            </w:r>
          </w:p>
        </w:tc>
        <w:tc>
          <w:tcPr>
            <w:tcW w:type="dxa" w:w="2900"/>
            <w:vAlign w:val="center"/>
            <w:tcMar>
              <w:top w:w="80" w:type="dxa"/>
              <w:start w:w="120" w:type="dxa"/>
              <w:bottom w:w="80" w:type="dxa"/>
              <w:end w:w="120" w:type="dxa"/>
            </w:tcMar>
          </w:tcPr>
          <w:p>
            <w:pPr>
              <w:spacing w:after="0"/>
            </w:pPr>
            <w:r>
              <w:rPr>
                <w:rFonts w:ascii="Arial" w:hAnsi="Arial"/>
                <w:b w:val="0"/>
                <w:i w:val="0"/>
                <w:color w:val="3A3A37"/>
                <w:sz w:val="17"/>
              </w:rPr>
              <w:t>Claim Timeline; Event Definitions</w:t>
            </w:r>
          </w:p>
        </w:tc>
        <w:tc>
          <w:tcPr>
            <w:tcW w:type="dxa" w:w="3460"/>
            <w:vAlign w:val="center"/>
            <w:tcMar>
              <w:top w:w="80" w:type="dxa"/>
              <w:start w:w="120" w:type="dxa"/>
              <w:bottom w:w="80" w:type="dxa"/>
              <w:end w:w="120" w:type="dxa"/>
            </w:tcMar>
          </w:tcPr>
          <w:p>
            <w:pPr>
              <w:spacing w:after="0"/>
            </w:pPr>
            <w:r>
              <w:rPr>
                <w:rFonts w:ascii="Arial" w:hAnsi="Arial"/>
                <w:b w:val="0"/>
                <w:i w:val="0"/>
                <w:color w:val="3A3A37"/>
                <w:sz w:val="17"/>
              </w:rPr>
              <w:t>Inspection, photo and approval sequencing</w:t>
            </w:r>
          </w:p>
        </w:tc>
      </w:tr>
      <w:tr>
        <w:tc>
          <w:tcPr>
            <w:tcW w:type="dxa" w:w="3000"/>
            <w:shd w:fill="FAF7F2"/>
            <w:vAlign w:val="center"/>
            <w:tcMar>
              <w:top w:w="80" w:type="dxa"/>
              <w:start w:w="120" w:type="dxa"/>
              <w:bottom w:w="80" w:type="dxa"/>
              <w:end w:w="120" w:type="dxa"/>
            </w:tcMar>
          </w:tcPr>
          <w:p>
            <w:pPr>
              <w:spacing w:after="0"/>
            </w:pPr>
            <w:r>
              <w:rPr>
                <w:rFonts w:ascii="Arial" w:hAnsi="Arial"/>
                <w:b w:val="0"/>
                <w:i w:val="0"/>
                <w:color w:val="3A3A37"/>
                <w:sz w:val="17"/>
              </w:rPr>
              <w:t>territory_rate_matrix.xlsx</w:t>
            </w:r>
          </w:p>
        </w:tc>
        <w:tc>
          <w:tcPr>
            <w:tcW w:type="dxa" w:w="2900"/>
            <w:shd w:fill="FAF7F2"/>
            <w:vAlign w:val="center"/>
            <w:tcMar>
              <w:top w:w="80" w:type="dxa"/>
              <w:start w:w="120" w:type="dxa"/>
              <w:bottom w:w="80" w:type="dxa"/>
              <w:end w:w="120" w:type="dxa"/>
            </w:tcMar>
          </w:tcPr>
          <w:p>
            <w:pPr>
              <w:spacing w:after="0"/>
            </w:pPr>
            <w:r>
              <w:rPr>
                <w:rFonts w:ascii="Arial" w:hAnsi="Arial"/>
                <w:b w:val="0"/>
                <w:i w:val="0"/>
                <w:color w:val="3A3A37"/>
                <w:sz w:val="17"/>
              </w:rPr>
              <w:t>Rate Matrix; Facility Roster; Exception Codes</w:t>
            </w:r>
          </w:p>
        </w:tc>
        <w:tc>
          <w:tcPr>
            <w:tcW w:type="dxa" w:w="3460"/>
            <w:shd w:fill="FAF7F2"/>
            <w:vAlign w:val="center"/>
            <w:tcMar>
              <w:top w:w="80" w:type="dxa"/>
              <w:start w:w="120" w:type="dxa"/>
              <w:bottom w:w="80" w:type="dxa"/>
              <w:end w:w="120" w:type="dxa"/>
            </w:tcMar>
          </w:tcPr>
          <w:p>
            <w:pPr>
              <w:spacing w:after="0"/>
            </w:pPr>
            <w:r>
              <w:rPr>
                <w:rFonts w:ascii="Arial" w:hAnsi="Arial"/>
                <w:b w:val="0"/>
                <w:i w:val="0"/>
                <w:color w:val="3A3A37"/>
                <w:sz w:val="17"/>
              </w:rPr>
              <w:t>Permitted rates and valid premium/control conditions</w:t>
            </w:r>
          </w:p>
        </w:tc>
      </w:tr>
      <w:tr>
        <w:tc>
          <w:tcPr>
            <w:tcW w:type="dxa" w:w="3000"/>
            <w:vAlign w:val="center"/>
            <w:tcMar>
              <w:top w:w="80" w:type="dxa"/>
              <w:start w:w="120" w:type="dxa"/>
              <w:bottom w:w="80" w:type="dxa"/>
              <w:end w:w="120" w:type="dxa"/>
            </w:tcMar>
          </w:tcPr>
          <w:p>
            <w:pPr>
              <w:spacing w:after="0"/>
            </w:pPr>
            <w:r>
              <w:rPr>
                <w:rFonts w:ascii="Arial" w:hAnsi="Arial"/>
                <w:b w:val="0"/>
                <w:i w:val="0"/>
                <w:color w:val="3A3A37"/>
                <w:sz w:val="17"/>
              </w:rPr>
              <w:t>appraisal_quality_standard.docx</w:t>
            </w:r>
          </w:p>
        </w:tc>
        <w:tc>
          <w:tcPr>
            <w:tcW w:type="dxa" w:w="2900"/>
            <w:vAlign w:val="center"/>
            <w:tcMar>
              <w:top w:w="80" w:type="dxa"/>
              <w:start w:w="120" w:type="dxa"/>
              <w:bottom w:w="80" w:type="dxa"/>
              <w:end w:w="120" w:type="dxa"/>
            </w:tcMar>
          </w:tcPr>
          <w:p>
            <w:pPr>
              <w:spacing w:after="0"/>
            </w:pPr>
            <w:r>
              <w:rPr>
                <w:rFonts w:ascii="Arial" w:hAnsi="Arial"/>
                <w:b w:val="0"/>
                <w:i w:val="0"/>
                <w:color w:val="3A3A37"/>
                <w:sz w:val="17"/>
              </w:rPr>
              <w:t>Sections 1-9</w:t>
            </w:r>
          </w:p>
        </w:tc>
        <w:tc>
          <w:tcPr>
            <w:tcW w:type="dxa" w:w="3460"/>
            <w:vAlign w:val="center"/>
            <w:tcMar>
              <w:top w:w="80" w:type="dxa"/>
              <w:start w:w="120" w:type="dxa"/>
              <w:bottom w:w="80" w:type="dxa"/>
              <w:end w:w="120" w:type="dxa"/>
            </w:tcMar>
          </w:tcPr>
          <w:p>
            <w:pPr>
              <w:spacing w:after="0"/>
            </w:pPr>
            <w:r>
              <w:rPr>
                <w:rFonts w:ascii="Arial" w:hAnsi="Arial"/>
                <w:b w:val="0"/>
                <w:i w:val="0"/>
                <w:color w:val="3A3A37"/>
                <w:sz w:val="17"/>
              </w:rPr>
              <w:t>Monetary, sequencing, priority and portfolio decision rules</w:t>
            </w:r>
          </w:p>
        </w:tc>
      </w:tr>
      <w:tr>
        <w:tc>
          <w:tcPr>
            <w:tcW w:type="dxa" w:w="3000"/>
            <w:shd w:fill="FAF7F2"/>
            <w:vAlign w:val="center"/>
            <w:tcMar>
              <w:top w:w="80" w:type="dxa"/>
              <w:start w:w="120" w:type="dxa"/>
              <w:bottom w:w="80" w:type="dxa"/>
              <w:end w:w="120" w:type="dxa"/>
            </w:tcMar>
          </w:tcPr>
          <w:p>
            <w:pPr>
              <w:spacing w:after="0"/>
            </w:pPr>
            <w:r>
              <w:rPr>
                <w:rFonts w:ascii="Arial" w:hAnsi="Arial"/>
                <w:b w:val="0"/>
                <w:i w:val="0"/>
                <w:color w:val="3A3A37"/>
                <w:sz w:val="17"/>
              </w:rPr>
              <w:t>field_review_notes.docx</w:t>
            </w:r>
          </w:p>
        </w:tc>
        <w:tc>
          <w:tcPr>
            <w:tcW w:type="dxa" w:w="2900"/>
            <w:shd w:fill="FAF7F2"/>
            <w:vAlign w:val="center"/>
            <w:tcMar>
              <w:top w:w="80" w:type="dxa"/>
              <w:start w:w="120" w:type="dxa"/>
              <w:bottom w:w="80" w:type="dxa"/>
              <w:end w:w="120" w:type="dxa"/>
            </w:tcMar>
          </w:tcPr>
          <w:p>
            <w:pPr>
              <w:spacing w:after="0"/>
            </w:pPr>
            <w:r>
              <w:rPr>
                <w:rFonts w:ascii="Arial" w:hAnsi="Arial"/>
                <w:b w:val="0"/>
                <w:i w:val="0"/>
                <w:color w:val="3A3A37"/>
                <w:sz w:val="17"/>
              </w:rPr>
              <w:t>FRN-03 through FRN-32</w:t>
            </w:r>
          </w:p>
        </w:tc>
        <w:tc>
          <w:tcPr>
            <w:tcW w:type="dxa" w:w="3460"/>
            <w:shd w:fill="FAF7F2"/>
            <w:vAlign w:val="center"/>
            <w:tcMar>
              <w:top w:w="80" w:type="dxa"/>
              <w:start w:w="120" w:type="dxa"/>
              <w:bottom w:w="80" w:type="dxa"/>
              <w:end w:w="120" w:type="dxa"/>
            </w:tcMar>
          </w:tcPr>
          <w:p>
            <w:pPr>
              <w:spacing w:after="0"/>
            </w:pPr>
            <w:r>
              <w:rPr>
                <w:rFonts w:ascii="Arial" w:hAnsi="Arial"/>
                <w:b w:val="0"/>
                <w:i w:val="0"/>
                <w:color w:val="3A3A37"/>
                <w:sz w:val="17"/>
              </w:rPr>
              <w:t>Narrative validation for special handling and exception requests</w:t>
            </w:r>
          </w:p>
        </w:tc>
      </w:tr>
    </w:tbl>
    <w:p>
      <w:pPr>
        <w:spacing w:after="40"/>
      </w:pPr>
    </w:p>
    <w:p>
      <w:pPr>
        <w:pStyle w:val="Heading1"/>
      </w:pPr>
      <w:r>
        <w:t>Checks</w:t>
      </w:r>
    </w:p>
    <w:tbl>
      <w:tblPr>
        <w:tblStyle w:val="TableGrid"/>
        <w:tblW w:type="dxa" w:w="9360"/>
        <w:tblLayout w:type="fixed"/>
        <w:tblLook w:firstColumn="1" w:firstRow="1" w:lastColumn="0" w:lastRow="0" w:noHBand="0" w:noVBand="1" w:val="04A0"/>
        <w:jc w:val="left"/>
        <w:tblInd w:w="120" w:type="dxa"/>
      </w:tblPr>
      <w:tblGrid>
        <w:gridCol w:w="2800"/>
        <w:gridCol w:w="4260"/>
        <w:gridCol w:w="2300"/>
      </w:tblGrid>
      <w:tr>
        <w:trPr>
          <w:tblHeader w:val="true"/>
        </w:trPr>
        <w:tc>
          <w:tcPr>
            <w:tcW w:type="dxa" w:w="2800"/>
            <w:vAlign w:val="center"/>
            <w:tcMar>
              <w:top w:w="80" w:type="dxa"/>
              <w:start w:w="120" w:type="dxa"/>
              <w:bottom w:w="80" w:type="dxa"/>
              <w:end w:w="120" w:type="dxa"/>
            </w:tcMar>
            <w:shd w:fill="B85C38"/>
          </w:tcPr>
          <w:p>
            <w:pPr>
              <w:spacing w:after="0"/>
            </w:pPr>
            <w:r>
              <w:rPr>
                <w:rFonts w:ascii="Arial" w:hAnsi="Arial"/>
                <w:b/>
                <w:i w:val="0"/>
                <w:color w:val="FFFFFF"/>
                <w:sz w:val="17"/>
              </w:rPr>
              <w:t>Check</w:t>
            </w:r>
          </w:p>
        </w:tc>
        <w:tc>
          <w:tcPr>
            <w:tcW w:type="dxa" w:w="4260"/>
            <w:vAlign w:val="center"/>
            <w:tcMar>
              <w:top w:w="80" w:type="dxa"/>
              <w:start w:w="120" w:type="dxa"/>
              <w:bottom w:w="80" w:type="dxa"/>
              <w:end w:w="120" w:type="dxa"/>
            </w:tcMar>
            <w:shd w:fill="B85C38"/>
          </w:tcPr>
          <w:p>
            <w:pPr>
              <w:spacing w:after="0"/>
            </w:pPr>
            <w:r>
              <w:rPr>
                <w:rFonts w:ascii="Arial" w:hAnsi="Arial"/>
                <w:b/>
                <w:i w:val="0"/>
                <w:color w:val="FFFFFF"/>
                <w:sz w:val="17"/>
              </w:rPr>
              <w:t>Calculation</w:t>
            </w:r>
          </w:p>
        </w:tc>
        <w:tc>
          <w:tcPr>
            <w:tcW w:type="dxa" w:w="2300"/>
            <w:vAlign w:val="center"/>
            <w:tcMar>
              <w:top w:w="80" w:type="dxa"/>
              <w:start w:w="120" w:type="dxa"/>
              <w:bottom w:w="80" w:type="dxa"/>
              <w:end w:w="120" w:type="dxa"/>
            </w:tcMar>
            <w:shd w:fill="B85C38"/>
          </w:tcPr>
          <w:p>
            <w:pPr>
              <w:spacing w:after="0"/>
            </w:pPr>
            <w:r>
              <w:rPr>
                <w:rFonts w:ascii="Arial" w:hAnsi="Arial"/>
                <w:b/>
                <w:i w:val="0"/>
                <w:color w:val="FFFFFF"/>
                <w:sz w:val="17"/>
              </w:rPr>
              <w:t>Result</w:t>
            </w:r>
          </w:p>
        </w:tc>
      </w:tr>
      <w:tr>
        <w:tc>
          <w:tcPr>
            <w:tcW w:type="dxa" w:w="2800"/>
            <w:vAlign w:val="center"/>
            <w:tcMar>
              <w:top w:w="80" w:type="dxa"/>
              <w:start w:w="120" w:type="dxa"/>
              <w:bottom w:w="80" w:type="dxa"/>
              <w:end w:w="120" w:type="dxa"/>
            </w:tcMar>
          </w:tcPr>
          <w:p>
            <w:pPr>
              <w:spacing w:after="0"/>
            </w:pPr>
            <w:r>
              <w:rPr>
                <w:rFonts w:ascii="Arial" w:hAnsi="Arial"/>
                <w:b w:val="0"/>
                <w:i w:val="0"/>
                <w:color w:val="3A3A37"/>
                <w:sz w:val="17"/>
              </w:rPr>
              <w:t>Monetary exposure</w:t>
            </w:r>
          </w:p>
        </w:tc>
        <w:tc>
          <w:tcPr>
            <w:tcW w:type="dxa" w:w="4260"/>
            <w:vAlign w:val="center"/>
            <w:tcMar>
              <w:top w:w="80" w:type="dxa"/>
              <w:start w:w="120" w:type="dxa"/>
              <w:bottom w:w="80" w:type="dxa"/>
              <w:end w:w="120" w:type="dxa"/>
            </w:tcMar>
          </w:tcPr>
          <w:p>
            <w:pPr>
              <w:spacing w:after="0"/>
            </w:pPr>
            <w:r>
              <w:rPr>
                <w:rFonts w:ascii="Arial" w:hAnsi="Arial"/>
                <w:b w:val="0"/>
                <w:i w:val="0"/>
                <w:color w:val="3A3A37"/>
                <w:sz w:val="17"/>
              </w:rPr>
              <w:t>$257.50 + $4,243.25</w:t>
            </w:r>
          </w:p>
        </w:tc>
        <w:tc>
          <w:tcPr>
            <w:tcW w:type="dxa" w:w="2300"/>
            <w:vAlign w:val="center"/>
            <w:tcMar>
              <w:top w:w="80" w:type="dxa"/>
              <w:start w:w="120" w:type="dxa"/>
              <w:bottom w:w="80" w:type="dxa"/>
              <w:end w:w="120" w:type="dxa"/>
            </w:tcMar>
          </w:tcPr>
          <w:p>
            <w:pPr>
              <w:spacing w:after="0"/>
            </w:pPr>
            <w:r>
              <w:rPr>
                <w:rFonts w:ascii="Arial" w:hAnsi="Arial"/>
                <w:b w:val="0"/>
                <w:i w:val="0"/>
                <w:color w:val="3A3A37"/>
                <w:sz w:val="17"/>
              </w:rPr>
              <w:t>$4,500.75</w:t>
            </w:r>
          </w:p>
        </w:tc>
      </w:tr>
      <w:tr>
        <w:tc>
          <w:tcPr>
            <w:tcW w:type="dxa" w:w="2800"/>
            <w:shd w:fill="FAF7F2"/>
            <w:vAlign w:val="center"/>
            <w:tcMar>
              <w:top w:w="80" w:type="dxa"/>
              <w:start w:w="120" w:type="dxa"/>
              <w:bottom w:w="80" w:type="dxa"/>
              <w:end w:w="120" w:type="dxa"/>
            </w:tcMar>
          </w:tcPr>
          <w:p>
            <w:pPr>
              <w:spacing w:after="0"/>
            </w:pPr>
            <w:r>
              <w:rPr>
                <w:rFonts w:ascii="Arial" w:hAnsi="Arial"/>
                <w:b w:val="0"/>
                <w:i w:val="0"/>
                <w:color w:val="3A3A37"/>
                <w:sz w:val="17"/>
              </w:rPr>
              <w:t>Exposure rate</w:t>
            </w:r>
          </w:p>
        </w:tc>
        <w:tc>
          <w:tcPr>
            <w:tcW w:type="dxa" w:w="4260"/>
            <w:shd w:fill="FAF7F2"/>
            <w:vAlign w:val="center"/>
            <w:tcMar>
              <w:top w:w="80" w:type="dxa"/>
              <w:start w:w="120" w:type="dxa"/>
              <w:bottom w:w="80" w:type="dxa"/>
              <w:end w:w="120" w:type="dxa"/>
            </w:tcMar>
          </w:tcPr>
          <w:p>
            <w:pPr>
              <w:spacing w:after="0"/>
            </w:pPr>
            <w:r>
              <w:rPr>
                <w:rFonts w:ascii="Arial" w:hAnsi="Arial"/>
                <w:b w:val="0"/>
                <w:i w:val="0"/>
                <w:color w:val="3A3A37"/>
                <w:sz w:val="17"/>
              </w:rPr>
              <w:t>$4,500.75 / $232,699.69</w:t>
            </w:r>
          </w:p>
        </w:tc>
        <w:tc>
          <w:tcPr>
            <w:tcW w:type="dxa" w:w="2300"/>
            <w:shd w:fill="FAF7F2"/>
            <w:vAlign w:val="center"/>
            <w:tcMar>
              <w:top w:w="80" w:type="dxa"/>
              <w:start w:w="120" w:type="dxa"/>
              <w:bottom w:w="80" w:type="dxa"/>
              <w:end w:w="120" w:type="dxa"/>
            </w:tcMar>
          </w:tcPr>
          <w:p>
            <w:pPr>
              <w:spacing w:after="0"/>
            </w:pPr>
            <w:r>
              <w:rPr>
                <w:rFonts w:ascii="Arial" w:hAnsi="Arial"/>
                <w:b w:val="0"/>
                <w:i w:val="0"/>
                <w:color w:val="3A3A37"/>
                <w:sz w:val="17"/>
              </w:rPr>
              <w:t>1.9%</w:t>
            </w:r>
          </w:p>
        </w:tc>
      </w:tr>
      <w:tr>
        <w:tc>
          <w:tcPr>
            <w:tcW w:type="dxa" w:w="2800"/>
            <w:vAlign w:val="center"/>
            <w:tcMar>
              <w:top w:w="80" w:type="dxa"/>
              <w:start w:w="120" w:type="dxa"/>
              <w:bottom w:w="80" w:type="dxa"/>
              <w:end w:w="120" w:type="dxa"/>
            </w:tcMar>
          </w:tcPr>
          <w:p>
            <w:pPr>
              <w:spacing w:after="0"/>
            </w:pPr>
            <w:r>
              <w:rPr>
                <w:rFonts w:ascii="Arial" w:hAnsi="Arial"/>
                <w:b w:val="0"/>
                <w:i w:val="0"/>
                <w:color w:val="3A3A37"/>
                <w:sz w:val="17"/>
              </w:rPr>
              <w:t>High-file total</w:t>
            </w:r>
          </w:p>
        </w:tc>
        <w:tc>
          <w:tcPr>
            <w:tcW w:type="dxa" w:w="4260"/>
            <w:vAlign w:val="center"/>
            <w:tcMar>
              <w:top w:w="80" w:type="dxa"/>
              <w:start w:w="120" w:type="dxa"/>
              <w:bottom w:w="80" w:type="dxa"/>
              <w:end w:w="120" w:type="dxa"/>
            </w:tcMar>
          </w:tcPr>
          <w:p>
            <w:pPr>
              <w:spacing w:after="0"/>
            </w:pPr>
            <w:r>
              <w:rPr>
                <w:rFonts w:ascii="Arial" w:hAnsi="Arial"/>
                <w:b w:val="0"/>
                <w:i w:val="0"/>
                <w:color w:val="3A3A37"/>
                <w:sz w:val="17"/>
              </w:rPr>
              <w:t>Sum of the six High claim exposures</w:t>
            </w:r>
          </w:p>
        </w:tc>
        <w:tc>
          <w:tcPr>
            <w:tcW w:type="dxa" w:w="2300"/>
            <w:vAlign w:val="center"/>
            <w:tcMar>
              <w:top w:w="80" w:type="dxa"/>
              <w:start w:w="120" w:type="dxa"/>
              <w:bottom w:w="80" w:type="dxa"/>
              <w:end w:w="120" w:type="dxa"/>
            </w:tcMar>
          </w:tcPr>
          <w:p>
            <w:pPr>
              <w:spacing w:after="0"/>
            </w:pPr>
            <w:r>
              <w:rPr>
                <w:rFonts w:ascii="Arial" w:hAnsi="Arial"/>
                <w:b w:val="0"/>
                <w:i w:val="0"/>
                <w:color w:val="3A3A37"/>
                <w:sz w:val="17"/>
              </w:rPr>
              <w:t>$4,414.75</w:t>
            </w:r>
          </w:p>
        </w:tc>
      </w:tr>
      <w:tr>
        <w:tc>
          <w:tcPr>
            <w:tcW w:type="dxa" w:w="2800"/>
            <w:shd w:fill="FAF7F2"/>
            <w:vAlign w:val="center"/>
            <w:tcMar>
              <w:top w:w="80" w:type="dxa"/>
              <w:start w:w="120" w:type="dxa"/>
              <w:bottom w:w="80" w:type="dxa"/>
              <w:end w:w="120" w:type="dxa"/>
            </w:tcMar>
          </w:tcPr>
          <w:p>
            <w:pPr>
              <w:spacing w:after="0"/>
            </w:pPr>
            <w:r>
              <w:rPr>
                <w:rFonts w:ascii="Arial" w:hAnsi="Arial"/>
                <w:b w:val="0"/>
                <w:i w:val="0"/>
                <w:color w:val="3A3A37"/>
                <w:sz w:val="17"/>
              </w:rPr>
              <w:t>F-211 concentration</w:t>
            </w:r>
          </w:p>
        </w:tc>
        <w:tc>
          <w:tcPr>
            <w:tcW w:type="dxa" w:w="4260"/>
            <w:shd w:fill="FAF7F2"/>
            <w:vAlign w:val="center"/>
            <w:tcMar>
              <w:top w:w="80" w:type="dxa"/>
              <w:start w:w="120" w:type="dxa"/>
              <w:bottom w:w="80" w:type="dxa"/>
              <w:end w:w="120" w:type="dxa"/>
            </w:tcMar>
          </w:tcPr>
          <w:p>
            <w:pPr>
              <w:spacing w:after="0"/>
            </w:pPr>
            <w:r>
              <w:rPr>
                <w:rFonts w:ascii="Arial" w:hAnsi="Arial"/>
                <w:b w:val="0"/>
                <w:i w:val="0"/>
                <w:color w:val="3A3A37"/>
                <w:sz w:val="17"/>
              </w:rPr>
              <w:t>$4,414.75 / $4,500.75</w:t>
            </w:r>
          </w:p>
        </w:tc>
        <w:tc>
          <w:tcPr>
            <w:tcW w:type="dxa" w:w="2300"/>
            <w:shd w:fill="FAF7F2"/>
            <w:vAlign w:val="center"/>
            <w:tcMar>
              <w:top w:w="80" w:type="dxa"/>
              <w:start w:w="120" w:type="dxa"/>
              <w:bottom w:w="80" w:type="dxa"/>
              <w:end w:w="120" w:type="dxa"/>
            </w:tcMar>
          </w:tcPr>
          <w:p>
            <w:pPr>
              <w:spacing w:after="0"/>
            </w:pPr>
            <w:r>
              <w:rPr>
                <w:rFonts w:ascii="Arial" w:hAnsi="Arial"/>
                <w:b w:val="0"/>
                <w:i w:val="0"/>
                <w:color w:val="3A3A37"/>
                <w:sz w:val="17"/>
              </w:rPr>
              <w:t>98.1%</w:t>
            </w:r>
          </w:p>
        </w:tc>
      </w:tr>
      <w:tr>
        <w:tc>
          <w:tcPr>
            <w:tcW w:type="dxa" w:w="2800"/>
            <w:vAlign w:val="center"/>
            <w:tcMar>
              <w:top w:w="80" w:type="dxa"/>
              <w:start w:w="120" w:type="dxa"/>
              <w:bottom w:w="80" w:type="dxa"/>
              <w:end w:w="120" w:type="dxa"/>
            </w:tcMar>
          </w:tcPr>
          <w:p>
            <w:pPr>
              <w:spacing w:after="0"/>
            </w:pPr>
            <w:r>
              <w:rPr>
                <w:rFonts w:ascii="Arial" w:hAnsi="Arial"/>
                <w:b w:val="0"/>
                <w:i w:val="0"/>
                <w:color w:val="3A3A37"/>
                <w:sz w:val="17"/>
              </w:rPr>
              <w:t>Exception count</w:t>
            </w:r>
          </w:p>
        </w:tc>
        <w:tc>
          <w:tcPr>
            <w:tcW w:type="dxa" w:w="4260"/>
            <w:vAlign w:val="center"/>
            <w:tcMar>
              <w:top w:w="80" w:type="dxa"/>
              <w:start w:w="120" w:type="dxa"/>
              <w:bottom w:w="80" w:type="dxa"/>
              <w:end w:w="120" w:type="dxa"/>
            </w:tcMar>
          </w:tcPr>
          <w:p>
            <w:pPr>
              <w:spacing w:after="0"/>
            </w:pPr>
            <w:r>
              <w:rPr>
                <w:rFonts w:ascii="Arial" w:hAnsi="Arial"/>
                <w:b w:val="0"/>
                <w:i w:val="0"/>
                <w:color w:val="3A3A37"/>
                <w:sz w:val="17"/>
              </w:rPr>
              <w:t>6 High + 8 Moderate</w:t>
            </w:r>
          </w:p>
        </w:tc>
        <w:tc>
          <w:tcPr>
            <w:tcW w:type="dxa" w:w="2300"/>
            <w:vAlign w:val="center"/>
            <w:tcMar>
              <w:top w:w="80" w:type="dxa"/>
              <w:start w:w="120" w:type="dxa"/>
              <w:bottom w:w="80" w:type="dxa"/>
              <w:end w:w="120" w:type="dxa"/>
            </w:tcMar>
          </w:tcPr>
          <w:p>
            <w:pPr>
              <w:spacing w:after="0"/>
            </w:pPr>
            <w:r>
              <w:rPr>
                <w:rFonts w:ascii="Arial" w:hAnsi="Arial"/>
                <w:b w:val="0"/>
                <w:i w:val="0"/>
                <w:color w:val="3A3A37"/>
                <w:sz w:val="17"/>
              </w:rPr>
              <w:t>14</w:t>
            </w:r>
          </w:p>
        </w:tc>
      </w:tr>
    </w:tbl>
    <w:p>
      <w:pPr>
        <w:spacing w:after="40"/>
      </w:pPr>
    </w:p>
    <w:p>
      <w:r>
        <w:rPr>
          <w:rFonts w:ascii="Arial" w:hAnsi="Arial"/>
          <w:b w:val="0"/>
          <w:i w:val="0"/>
          <w:color w:val="3A3A37"/>
          <w:sz w:val="22"/>
        </w:rPr>
        <w:t>Review limitation: this memo evaluates only the supplied closed repair files and repository records through August 31, 2026. It does not determine whether any recovery is legally or operationally available after payment. Claim management should make that separate decision on the six High files.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A696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i w:val="0"/>
        <w:color w:val="6A6964"/>
        <w:sz w:val="18"/>
      </w:rPr>
      <w:t>Sonoran Mutual | Appraisal Quality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3A3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B85C3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B85C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A3A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Appraisal Quality Review</dc:title>
  <dc:subject>Decision on Arizona repair-rate and appraisal controls</dc:subject>
  <dc:creator>Sonoran Mutual</dc:creator>
  <cp:keywords>Arizona, auto damage, appraisal quality</cp:keywords>
  <dc:description/>
  <cp:lastModifiedBy>Sonoran Mutual</cp:lastModifiedBy>
  <cp:revision>1</cp:revision>
  <dcterms:created xsi:type="dcterms:W3CDTF">2026-09-02T11:16:05Z</dcterms:created>
  <dcterms:modified xsi:type="dcterms:W3CDTF">2026-09-09T00:00:00Z</dcterms:modified>
  <cp:category/>
</cp:coreProperties>
</file>