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i w:val="0"/>
          <w:color w:val="B85C38"/>
          <w:sz w:val="18"/>
        </w:rPr>
        <w:t>INTERNAL APPRAISAL STANDARD</w:t>
      </w:r>
    </w:p>
    <w:p>
      <w:pPr>
        <w:spacing w:after="60"/>
      </w:pPr>
      <w:r>
        <w:rPr>
          <w:rFonts w:ascii="Calibri" w:hAnsi="Calibri"/>
          <w:b/>
          <w:i w:val="0"/>
          <w:color w:val="3A3A37"/>
          <w:sz w:val="48"/>
        </w:rPr>
        <w:t>Closed-File Appraisal Quality Standard</w:t>
      </w:r>
    </w:p>
    <w:p>
      <w:pPr>
        <w:spacing w:after="280"/>
      </w:pPr>
      <w:r>
        <w:rPr>
          <w:rFonts w:ascii="Calibri" w:hAnsi="Calibri"/>
          <w:b w:val="0"/>
          <w:i w:val="0"/>
          <w:color w:val="6A6964"/>
          <w:sz w:val="26"/>
        </w:rPr>
        <w:t>Arizona private-passenger automobile repair files | Effective June 1, 2026</w:t>
      </w:r>
    </w:p>
    <w:p>
      <w:pPr>
        <w:spacing w:after="40"/>
      </w:pPr>
      <w:r>
        <w:rPr>
          <w:rFonts w:ascii="Calibri" w:hAnsi="Calibri"/>
          <w:b/>
          <w:i w:val="0"/>
          <w:color w:val="3A3A37"/>
          <w:sz w:val="21"/>
        </w:rPr>
        <w:t xml:space="preserve">Owner: </w:t>
      </w:r>
      <w:r>
        <w:rPr>
          <w:rFonts w:ascii="Calibri" w:hAnsi="Calibri"/>
          <w:b w:val="0"/>
          <w:i w:val="0"/>
          <w:color w:val="3A3A37"/>
          <w:sz w:val="21"/>
        </w:rPr>
        <w:t>Physical Damage Quality and Vendor Governance</w:t>
      </w:r>
    </w:p>
    <w:p>
      <w:pPr>
        <w:spacing w:after="40"/>
      </w:pPr>
      <w:r>
        <w:rPr>
          <w:rFonts w:ascii="Calibri" w:hAnsi="Calibri"/>
          <w:b/>
          <w:i w:val="0"/>
          <w:color w:val="3A3A37"/>
          <w:sz w:val="21"/>
        </w:rPr>
        <w:t xml:space="preserve">Applies to: </w:t>
      </w:r>
      <w:r>
        <w:rPr>
          <w:rFonts w:ascii="Calibri" w:hAnsi="Calibri"/>
          <w:b w:val="0"/>
          <w:i w:val="0"/>
          <w:color w:val="3A3A37"/>
          <w:sz w:val="21"/>
        </w:rPr>
        <w:t>Closed repair files reviewed after payment</w:t>
      </w:r>
    </w:p>
    <w:p>
      <w:pPr>
        <w:spacing w:after="40"/>
      </w:pPr>
      <w:r>
        <w:rPr>
          <w:rFonts w:ascii="Calibri" w:hAnsi="Calibri"/>
          <w:b/>
          <w:i w:val="0"/>
          <w:color w:val="3A3A37"/>
          <w:sz w:val="21"/>
        </w:rPr>
        <w:t xml:space="preserve">Version: </w:t>
      </w:r>
      <w:r>
        <w:rPr>
          <w:rFonts w:ascii="Calibri" w:hAnsi="Calibri"/>
          <w:b w:val="0"/>
          <w:i w:val="0"/>
          <w:color w:val="3A3A37"/>
          <w:sz w:val="21"/>
        </w:rPr>
        <w:t>AZ-PD-QA-3.1</w:t>
      </w:r>
    </w:p>
    <w:p>
      <w:pPr>
        <w:spacing w:after="40"/>
      </w:pPr>
      <w:r>
        <w:rPr>
          <w:rFonts w:ascii="Calibri" w:hAnsi="Calibri"/>
          <w:b/>
          <w:i w:val="0"/>
          <w:color w:val="3A3A37"/>
          <w:sz w:val="21"/>
        </w:rPr>
        <w:t xml:space="preserve">Review window: </w:t>
      </w:r>
      <w:r>
        <w:rPr>
          <w:rFonts w:ascii="Calibri" w:hAnsi="Calibri"/>
          <w:b w:val="0"/>
          <w:i w:val="0"/>
          <w:color w:val="3A3A37"/>
          <w:sz w:val="21"/>
        </w:rPr>
        <w:t>Files closed July 1 through August 31, 2026</w:t>
      </w:r>
    </w:p>
    <w:p>
      <w:pPr>
        <w:spacing w:after="40"/>
      </w:pPr>
    </w:p>
    <w:p>
      <w:pPr>
        <w:pStyle w:val="Heading1"/>
      </w:pPr>
      <w:r>
        <w:t>1. Purpose and review question</w:t>
      </w:r>
    </w:p>
    <w:p>
      <w:r>
        <w:rPr>
          <w:rFonts w:ascii="Calibri" w:hAnsi="Calibri"/>
          <w:b w:val="0"/>
          <w:i w:val="0"/>
          <w:color w:val="3A3A37"/>
          <w:sz w:val="22"/>
        </w:rPr>
        <w:t>This standard governs a closed-file review of automobile physical-damage appraisals. The purpose is to distinguish a legitimate market-rate or specialty-repair exception from preventable approval leakage and control breakdowns. The review is not a new adjustment of vehicle value and does not revisit repair-versus-total-loss decisions. It tests paid repair files as a portfolio, preserves valid exceptions, identifies concentration by appraiser and facility, and supports a decision between a territory-wide rate response and targeted corrective controls.</w:t>
      </w:r>
    </w:p>
    <w:p>
      <w:r>
        <w:rPr>
          <w:rFonts w:ascii="Calibri" w:hAnsi="Calibri"/>
          <w:b w:val="0"/>
          <w:i w:val="0"/>
          <w:color w:val="3A3A37"/>
          <w:sz w:val="22"/>
        </w:rPr>
        <w:t>The review population is the set of closed-paid Arizona repair files in closed_claims_extract.xlsx. Each claim must be joined by claim ID to supplement_activity.xlsx and inspection_timeline.xlsx. Territory, operation and facility status come from territory_rate_matrix.xlsx. A linked narrative in field_review_notes.docx may validate a limited exception only when the code, note, facility status and event timing agree. A code by itself is not evidence.</w:t>
      </w:r>
    </w:p>
    <w:p>
      <w:pPr>
        <w:pStyle w:val="Heading1"/>
      </w:pPr>
      <w:r>
        <w:t>2. Source hierarchy and conflict treatment</w:t>
      </w:r>
    </w:p>
    <w:p>
      <w:r>
        <w:rPr>
          <w:rFonts w:ascii="Calibri" w:hAnsi="Calibri"/>
          <w:b w:val="0"/>
          <w:i w:val="0"/>
          <w:color w:val="3A3A37"/>
          <w:sz w:val="22"/>
        </w:rPr>
        <w:t>Use the closed-claim and supplement exports for paid amounts and event timestamps. Use the published rate matrix for county and operation ceilings, and the facility roster for aluminum certification or remote-service eligibility. Use the exception-code register for the conditions attached to ALUM-08, REMOTE-06, EMERG-2, FAST-8, MGR-RATE and CAT-MOB. Field notes can clarify facts but cannot override a published rate or create an exception after approval. When a note and a structured timestamp conflict, use the timestamp and preserve the conflict in the report.</w:t>
      </w:r>
    </w:p>
    <w:p>
      <w:r>
        <w:rPr>
          <w:rFonts w:ascii="Calibri" w:hAnsi="Calibri"/>
          <w:b w:val="0"/>
          <w:i w:val="0"/>
          <w:color w:val="3A3A37"/>
          <w:sz w:val="22"/>
        </w:rPr>
        <w:t>Do not infer missing evidence from a facility's reputation, a completed repair or the fact that a claim was paid. A blank evidence ID and blank received timestamp mean the repository did not contain supporting material at the review cutoff. A blank supervisor override means no override transaction was recorded. The review must retain claims with valid exceptions so the portfolio rate is not biased by deleting unusual but compliant files.</w:t>
      </w:r>
    </w:p>
    <w:p>
      <w:pPr>
        <w:pStyle w:val="Heading1"/>
      </w:pPr>
      <w:r>
        <w:t>3. Labor-rate test</w:t>
      </w:r>
    </w:p>
    <w:p>
      <w:r>
        <w:rPr>
          <w:rFonts w:ascii="Calibri" w:hAnsi="Calibri"/>
          <w:b w:val="0"/>
          <w:i w:val="0"/>
          <w:color w:val="3A3A37"/>
          <w:sz w:val="22"/>
        </w:rPr>
        <w:t>For Body, Refinish, Mechanical and Frame labor, the permitted hourly rate is the county and operation ceiling effective on the approval date. Aluminum labor uses the county Body ceiling plus $8 only when the operation is recorded as Aluminum, the facility roster shows current aluminum certification and ALUM-08 appears on the approved line. A REMOTE-06 premium adds $6 only for a remote-eligible facility and only when a linked field note documents the travel need before approval. MGR-RATE and CAT-MOB require the written authorization described in the code register.</w:t>
      </w:r>
    </w:p>
    <w:p>
      <w:r>
        <w:rPr>
          <w:rFonts w:ascii="Calibri" w:hAnsi="Calibri"/>
          <w:b w:val="0"/>
          <w:i w:val="0"/>
          <w:color w:val="3A3A37"/>
          <w:sz w:val="22"/>
        </w:rPr>
        <w:t>Unauthorized labor-rate exposure equals the positive difference between applied rate and permitted rate, multiplied by the approved hours. Do not multiply the full line by an exception percentage or treat a valid specialty premium as leakage. A line at or below the permitted rate has no labor-rate exposure. Keep the number of affected claims separate from the dollar exposure so a portfolio with small but repeated variances is not hidden by a low dollar total.</w:t>
      </w:r>
    </w:p>
    <w:p>
      <w:pPr>
        <w:pStyle w:val="Heading1"/>
      </w:pPr>
      <w:r>
        <w:t>4. Non-labor support and monetary exposure</w:t>
      </w:r>
    </w:p>
    <w:p>
      <w:r>
        <w:rPr>
          <w:rFonts w:ascii="Calibri" w:hAnsi="Calibri"/>
          <w:b w:val="0"/>
          <w:i w:val="0"/>
          <w:color w:val="3A3A37"/>
          <w:sz w:val="22"/>
        </w:rPr>
        <w:t>An approved non-labor supplement above $150 must have a document ID and a repository received timestamp no later than claim closure. Typical support includes an invoice, OEM restriction, calibration result, tow receipt or materials calculation. If the record is absent at closure, unsupported exposure is the full approved amount of that line. Requested amount is not the exposure measure. Evidence received after approval but before closure supports the amount while creating a sequencing exception under section 5.</w:t>
      </w:r>
    </w:p>
    <w:p>
      <w:r>
        <w:rPr>
          <w:rFonts w:ascii="Calibri" w:hAnsi="Calibri"/>
          <w:b w:val="0"/>
          <w:i w:val="0"/>
          <w:color w:val="3A3A37"/>
          <w:sz w:val="22"/>
        </w:rPr>
        <w:t>EMERG-2 permits approval before the document arrives only when a linked field note exists by the approval time, describes the immediate operational need and the evidence is received by closure. The emergency code does not waive the closure cutoff. A blank or unmatched note ID invalidates the code. An amount at or below $150 is outside this support test, although other ordinary claim-documentation requirements continue to apply.</w:t>
      </w:r>
    </w:p>
    <w:p>
      <w:pPr>
        <w:pStyle w:val="Heading1"/>
      </w:pPr>
      <w:r>
        <w:t>5. Approval sequencing</w:t>
      </w:r>
    </w:p>
    <w:p>
      <w:r>
        <w:rPr>
          <w:rFonts w:ascii="Calibri" w:hAnsi="Calibri"/>
          <w:b w:val="0"/>
          <w:i w:val="0"/>
          <w:color w:val="3A3A37"/>
          <w:sz w:val="22"/>
        </w:rPr>
        <w:t>The original estimate should be approved after a completed inspection. FAST-8 is the sole exception in this review: the vehicle must be drivable, the original estimate must be $5,000 or less, at least eight photos must be received before approval and FAST-8 must be recorded on the approval event. If any condition is absent, approval before inspection is a control exception. A later physical inspection does not cure the original sequencing failure for quality reporting.</w:t>
      </w:r>
    </w:p>
    <w:p>
      <w:r>
        <w:rPr>
          <w:rFonts w:ascii="Calibri" w:hAnsi="Calibri"/>
          <w:b w:val="0"/>
          <w:i w:val="0"/>
          <w:color w:val="3A3A37"/>
          <w:sz w:val="22"/>
        </w:rPr>
        <w:t>For a non-labor supplement above $150, support should be received before approval unless a valid EMERG-2 record applies. Evidence received after approval but by closure creates a supplement-sequencing exception without monetary leakage. Evidence absent at closure creates unsupported monetary exposure under section 4. Count original-approval and supplement-support sequence events separately, then report the number of distinct claims affected by either event.</w:t>
      </w:r>
    </w:p>
    <w:p>
      <w:pPr>
        <w:pStyle w:val="Heading1"/>
      </w:pPr>
      <w:r>
        <w:t>6. Claim classification and portfolio measures</w:t>
      </w:r>
    </w:p>
    <w:p>
      <w:r>
        <w:rPr>
          <w:rFonts w:ascii="Calibri" w:hAnsi="Calibri"/>
          <w:b w:val="0"/>
          <w:i w:val="0"/>
          <w:color w:val="3A3A37"/>
          <w:sz w:val="22"/>
        </w:rPr>
        <w:t>A claim is an exception when it has unauthorized labor-rate exposure, unsupported non-labor exposure, a supplement-support sequencing event or an invalid original-approval sequence. Monetary leakage is the sum of unauthorized labor-rate exposure and unsupported non-labor exposure. Sequence-only exceptions do not add dollars. Classify a claim High when monetary leakage is at least $500 or when two or more critical exception types are present among unauthorized rate, missing support and invalid original approval. Classify any other exception Moderate. Claims with no exception are Clear.</w:t>
      </w:r>
    </w:p>
    <w:p>
      <w:r>
        <w:rPr>
          <w:rFonts w:ascii="Calibri" w:hAnsi="Calibri"/>
          <w:b w:val="0"/>
          <w:i w:val="0"/>
          <w:color w:val="3A3A37"/>
          <w:sz w:val="22"/>
        </w:rPr>
        <w:t>Report claim count, total final repair paid, exception count, High and Moderate counts, the dollar split between labor-rate and unsupported-documentation exposure, total leakage as a percentage of final repair paid, and the count of sequencing events. The denominator for portfolio incidence is all 32 reviewed claims, including valid specialty, emergency, remote and fast-track files.</w:t>
      </w:r>
    </w:p>
    <w:p>
      <w:pPr>
        <w:pStyle w:val="Heading1"/>
      </w:pPr>
      <w:r>
        <w:t>7. Rate-schedule versus targeted-control decision</w:t>
      </w:r>
    </w:p>
    <w:p>
      <w:r>
        <w:rPr>
          <w:rFonts w:ascii="Calibri" w:hAnsi="Calibri"/>
          <w:b w:val="0"/>
          <w:i w:val="0"/>
          <w:color w:val="3A3A37"/>
          <w:sz w:val="22"/>
        </w:rPr>
        <w:t>A territory-wide rate study is supported only when unauthorized rate exceptions affect at least 30 percent of reviewed claims, appear at four or more facilities, and the supporting notes show a consistent market condition rather than isolated negotiation or approval behavior. All three conditions must be met. When the threshold is not met, or when dollar exposure is concentrated at one facility or appraiser, use targeted coaching, preapproval, system edits or facility governance instead of changing the rate matrix.</w:t>
      </w:r>
    </w:p>
    <w:p>
      <w:r>
        <w:rPr>
          <w:rFonts w:ascii="Calibri" w:hAnsi="Calibri"/>
          <w:b w:val="0"/>
          <w:i w:val="0"/>
          <w:color w:val="3A3A37"/>
          <w:sz w:val="22"/>
        </w:rPr>
        <w:t>Concentration should be shown by both count and dollars. Calculate reviewed files, exception files and monetary leakage for every appraiser and facility. A facility or appraiser can warrant a control even when the portfolio-wide rate threshold is not met. Valid ALUM-08, REMOTE-06, EMERG-2 and FAST-8 uses must be identified explicitly so the recommendation does not suppress appropriate repair methods or emergency handling.</w:t>
      </w:r>
    </w:p>
    <w:p>
      <w:pPr>
        <w:pStyle w:val="Heading1"/>
      </w:pPr>
      <w:r>
        <w:t>8. Corrective-action design</w:t>
      </w:r>
    </w:p>
    <w:p>
      <w:r>
        <w:rPr>
          <w:rFonts w:ascii="Calibri" w:hAnsi="Calibri"/>
          <w:b w:val="0"/>
          <w:i w:val="0"/>
          <w:color w:val="3A3A37"/>
          <w:sz w:val="22"/>
        </w:rPr>
        <w:t>Corrective actions must be proportionate to the observed problem. High claims should be routed for manager review of available recovery, documentation completion and coding correction. A facility with concentrated unsupported supplements can be placed on temporary supervisor preapproval for supplements over a defined dollar threshold. An appraiser with repeated rate or sequence events can receive a limited period of one-hundred-percent review followed by a calibration sample. System controls should block approval when a required evidence ID or linked emergency note is absent.</w:t>
      </w:r>
    </w:p>
    <w:p>
      <w:r>
        <w:rPr>
          <w:rFonts w:ascii="Calibri" w:hAnsi="Calibri"/>
          <w:b w:val="0"/>
          <w:i w:val="0"/>
          <w:color w:val="3A3A37"/>
          <w:sz w:val="22"/>
        </w:rPr>
        <w:t>Every action should name an owner, a measurable review period and an exit test. A broad rate change should not be used as a substitute for weak documentation. Likewise, the standard does not require punitive action where the data supports a valid specialty premium or a properly documented emergency. The memo should state the decision, the evidence behind it and the next review trigger in terms management can execute.</w:t>
      </w:r>
    </w:p>
    <w:p>
      <w:pPr>
        <w:pStyle w:val="Heading1"/>
      </w:pPr>
      <w:r>
        <w:t>9. Required management memo</w:t>
      </w:r>
    </w:p>
    <w:p>
      <w:r>
        <w:rPr>
          <w:rFonts w:ascii="Calibri" w:hAnsi="Calibri"/>
          <w:b w:val="0"/>
          <w:i w:val="0"/>
          <w:color w:val="3A3A37"/>
          <w:sz w:val="22"/>
        </w:rPr>
        <w:t>The final memo must lead with a decision on the current rate matrix and the immediate controls. It should show portfolio totals, monetary exposure, exception types, appraiser and facility concentration, the High-claim register, valid exceptions retained, and a source trail naming the input file and sheet or section. The reader should be able to see why a broad rate change is or is not justified without reconstructing every line, while the claim IDs and source locations remain sufficient for a separate file review.</w:t>
      </w:r>
    </w:p>
    <w:p>
      <w:pPr>
        <w:pStyle w:val="Heading1"/>
      </w:pPr>
      <w:r>
        <w:t>10. Worked method example</w:t>
      </w:r>
    </w:p>
    <w:p>
      <w:r>
        <w:rPr>
          <w:rFonts w:ascii="Calibri" w:hAnsi="Calibri"/>
          <w:b w:val="0"/>
          <w:i w:val="0"/>
          <w:color w:val="3A3A37"/>
          <w:sz w:val="22"/>
        </w:rPr>
        <w:t>Assume a county Body ceiling of $68, an applied rate of $72 and three approved hours. The unauthorized labor-rate exposure is ($72 minus $68) multiplied by three hours, or $12. If the same claim also contains a $430 non-labor approval with no evidence by closure, the unsupported exposure is $430 and total monetary leakage is $442. Because two critical exception types are present, the claim is High even though the dollar total is below $500. This example illustrates the method only and is not drawn from the review population.</w:t>
      </w:r>
    </w:p>
    <w:p>
      <w:r>
        <w:rPr>
          <w:rFonts w:ascii="Calibri" w:hAnsi="Calibri"/>
          <w:b w:val="0"/>
          <w:i w:val="0"/>
          <w:color w:val="3A3A37"/>
          <w:sz w:val="22"/>
        </w:rPr>
        <w:t>If the $430 evidence arrived after approval but before closure, the amount would be supported and would add no monetary leakage; it would instead create a supplement-sequencing exception unless a valid EMERG-2 record applied. If the labor premium were supported by ALUM-08 at a currently certified facility, the permitted rate would include the $8 premium and the rate exposure would be zero.</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A6964"/>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A6964"/>
        <w:sz w:val="18"/>
      </w:rPr>
      <w:t>Sonoran Mutual | Physical Damage Quality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3A3A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B85C3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B85C3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3A3A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Closed-File Appraisal Quality Standard</dc:title>
  <dc:subject>Arizona closed automobile repair-file quality review</dc:subject>
  <dc:creator>Sonoran Mutual</dc:creator>
  <cp:keywords>Arizona, auto damage, appraisal quality</cp:keywords>
  <dc:description/>
  <cp:lastModifiedBy>Sonoran Mutual</cp:lastModifiedBy>
  <cp:revision>1</cp:revision>
  <dcterms:created xsi:type="dcterms:W3CDTF">2026-09-02T11:16:04Z</dcterms:created>
  <dcterms:modified xsi:type="dcterms:W3CDTF">2026-09-09T00:00:00Z</dcterms:modified>
  <cp:category/>
</cp:coreProperties>
</file>