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b/>
          <w:i w:val="0"/>
          <w:color w:val="1A1A1A"/>
          <w:sz w:val="28"/>
        </w:rPr>
        <w:t>REPORT OF MARKET CONDUCT EXAMINATION</w:t>
      </w:r>
    </w:p>
    <w:p>
      <w:pPr>
        <w:spacing w:after="20" w:before="0"/>
      </w:pPr>
      <w:r>
        <w:rPr>
          <w:b w:val="0"/>
          <w:i w:val="0"/>
          <w:color w:val="1A1A1A"/>
          <w:sz w:val="19"/>
        </w:rPr>
        <w:t>Kansas Insurance Department, Market Regulation Division.</w:t>
      </w:r>
    </w:p>
    <w:p>
      <w:pPr>
        <w:spacing w:after="160" w:before="0"/>
      </w:pPr>
      <w:r>
        <w:rPr>
          <w:b w:val="0"/>
          <w:i/>
          <w:color w:val="1A1A1A"/>
          <w:sz w:val="18"/>
        </w:rPr>
        <w:t>Cottonwood Mutual Casualty Company, NAIC 41883, domiciled in Kansas. Claims handling, private passenger automobile. Examination period 01/01/2025 to 12/31/2025. Fieldwork closed 02/27/2026. D. Yoakum, market regulation, Kansas Insurance Department.</w:t>
      </w:r>
    </w:p>
    <w:p>
      <w:pPr>
        <w:spacing w:after="100" w:before="280"/>
      </w:pPr>
      <w:r>
        <w:rPr>
          <w:b/>
          <w:i w:val="0"/>
          <w:color w:val="1A1A1A"/>
          <w:sz w:val="22"/>
        </w:rPr>
        <w:t>Scope of the examination</w:t>
      </w:r>
    </w:p>
    <w:p>
      <w:pPr>
        <w:spacing w:after="120" w:before="0"/>
      </w:pPr>
      <w:r>
        <w:rPr>
          <w:b w:val="0"/>
          <w:i w:val="0"/>
          <w:color w:val="1A1A1A"/>
          <w:sz w:val="20"/>
        </w:rPr>
        <w:t>The company produced 24 claim files on 01/22/2026 in answer to the Division's request of 12/18/2025. The request was for claims of which the company received notice during the examination period. 2 of the files produced fall outside it and are removed from the sample under 2.2, and from the denominator of every standard as well as from the exceptions.</w:t>
      </w:r>
    </w:p>
    <w:tbl>
      <w:tblPr>
        <w:tblStyle w:val="TableGrid"/>
        <w:tblW w:type="auto" w:w="0"/>
        <w:jc w:val="left"/>
        <w:tblLook w:firstColumn="1" w:firstRow="1" w:lastColumn="0" w:lastRow="0" w:noHBand="0" w:noVBand="1" w:val="04A0"/>
      </w:tblPr>
      <w:tblGrid>
        <w:gridCol w:w="3216"/>
        <w:gridCol w:w="3216"/>
        <w:gridCol w:w="3216"/>
      </w:tblGrid>
      <w:tr>
        <w:tc>
          <w:tcPr>
            <w:tcW w:type="dxa" w:w="1872"/>
            <w:shd w:val="clear" w:color="auto" w:fill="D9D9D9"/>
          </w:tcPr>
          <w:p>
            <w:pPr>
              <w:spacing w:after="40"/>
            </w:pPr>
            <w:r>
              <w:rPr>
                <w:b/>
                <w:color w:val="1A1A1A"/>
                <w:sz w:val="18"/>
              </w:rPr>
              <w:t>File</w:t>
            </w:r>
          </w:p>
        </w:tc>
        <w:tc>
          <w:tcPr>
            <w:tcW w:type="dxa" w:w="2160"/>
            <w:shd w:val="clear" w:color="auto" w:fill="D9D9D9"/>
          </w:tcPr>
          <w:p>
            <w:pPr>
              <w:spacing w:after="40"/>
            </w:pPr>
            <w:r>
              <w:rPr>
                <w:b/>
                <w:color w:val="1A1A1A"/>
                <w:sz w:val="18"/>
              </w:rPr>
              <w:t>Notice received</w:t>
            </w:r>
          </w:p>
        </w:tc>
        <w:tc>
          <w:tcPr>
            <w:tcW w:type="dxa" w:w="5616"/>
            <w:shd w:val="clear" w:color="auto" w:fill="D9D9D9"/>
          </w:tcPr>
          <w:p>
            <w:pPr>
              <w:spacing w:after="40"/>
            </w:pPr>
            <w:r>
              <w:rPr>
                <w:b/>
                <w:color w:val="1A1A1A"/>
                <w:sz w:val="18"/>
              </w:rPr>
              <w:t>Why it is removed</w:t>
            </w:r>
          </w:p>
        </w:tc>
      </w:tr>
      <w:tr>
        <w:tc>
          <w:tcPr>
            <w:tcW w:type="dxa" w:w="1872"/>
          </w:tcPr>
          <w:p>
            <w:pPr>
              <w:spacing w:after="40"/>
            </w:pPr>
            <w:r>
              <w:rPr>
                <w:b w:val="0"/>
                <w:color w:val="1A1A1A"/>
                <w:sz w:val="18"/>
              </w:rPr>
              <w:t>CM-24-1187</w:t>
            </w:r>
          </w:p>
        </w:tc>
        <w:tc>
          <w:tcPr>
            <w:tcW w:type="dxa" w:w="2160"/>
          </w:tcPr>
          <w:p>
            <w:pPr>
              <w:spacing w:after="40"/>
            </w:pPr>
            <w:r>
              <w:rPr>
                <w:b w:val="0"/>
                <w:color w:val="1A1A1A"/>
                <w:sz w:val="18"/>
              </w:rPr>
              <w:t>11/21/2024</w:t>
            </w:r>
          </w:p>
        </w:tc>
        <w:tc>
          <w:tcPr>
            <w:tcW w:type="dxa" w:w="5616"/>
          </w:tcPr>
          <w:p>
            <w:pPr>
              <w:spacing w:after="40"/>
            </w:pPr>
            <w:r>
              <w:rPr>
                <w:b w:val="0"/>
                <w:color w:val="1A1A1A"/>
                <w:sz w:val="18"/>
              </w:rPr>
              <w:t>Notice received in 2024, outside the examination period. Standard 2.2.</w:t>
            </w:r>
          </w:p>
        </w:tc>
      </w:tr>
      <w:tr>
        <w:tc>
          <w:tcPr>
            <w:tcW w:type="dxa" w:w="1872"/>
          </w:tcPr>
          <w:p>
            <w:pPr>
              <w:spacing w:after="40"/>
            </w:pPr>
            <w:r>
              <w:rPr>
                <w:b w:val="0"/>
                <w:color w:val="1A1A1A"/>
                <w:sz w:val="18"/>
              </w:rPr>
              <w:t>CM-24-1226</w:t>
            </w:r>
          </w:p>
        </w:tc>
        <w:tc>
          <w:tcPr>
            <w:tcW w:type="dxa" w:w="2160"/>
          </w:tcPr>
          <w:p>
            <w:pPr>
              <w:spacing w:after="40"/>
            </w:pPr>
            <w:r>
              <w:rPr>
                <w:b w:val="0"/>
                <w:color w:val="1A1A1A"/>
                <w:sz w:val="18"/>
              </w:rPr>
              <w:t>12/09/2024</w:t>
            </w:r>
          </w:p>
        </w:tc>
        <w:tc>
          <w:tcPr>
            <w:tcW w:type="dxa" w:w="5616"/>
          </w:tcPr>
          <w:p>
            <w:pPr>
              <w:spacing w:after="40"/>
            </w:pPr>
            <w:r>
              <w:rPr>
                <w:b w:val="0"/>
                <w:color w:val="1A1A1A"/>
                <w:sz w:val="18"/>
              </w:rPr>
              <w:t>Notice received in 2024, outside the examination period. Standard 2.2.</w:t>
            </w:r>
          </w:p>
        </w:tc>
      </w:tr>
    </w:tbl>
    <w:p>
      <w:pPr>
        <w:spacing w:after="120" w:before="120"/>
      </w:pPr>
      <w:r>
        <w:rPr>
          <w:b w:val="0"/>
          <w:i w:val="0"/>
          <w:color w:val="1A1A1A"/>
          <w:sz w:val="20"/>
        </w:rPr>
        <w:t>The examination therefore reaches 22 of the 24 files the company produced. Each standard is tested against the files to which it applies and not against the sample as a whole, as 2.3 requires, so the denominators below differ from one another.</w:t>
      </w:r>
    </w:p>
    <w:p>
      <w:pPr>
        <w:spacing w:after="100" w:before="280"/>
      </w:pPr>
      <w:r>
        <w:rPr>
          <w:b/>
          <w:i w:val="0"/>
          <w:color w:val="1A1A1A"/>
          <w:sz w:val="22"/>
        </w:rPr>
        <w:t>Standard by standard</w:t>
      </w:r>
    </w:p>
    <w:tbl>
      <w:tblPr>
        <w:tblStyle w:val="TableGrid"/>
        <w:tblW w:type="auto" w:w="0"/>
        <w:jc w:val="left"/>
        <w:tblLook w:firstColumn="1" w:firstRow="1" w:lastColumn="0" w:lastRow="0" w:noHBand="0" w:noVBand="1" w:val="04A0"/>
      </w:tblPr>
      <w:tblGrid>
        <w:gridCol w:w="1378"/>
        <w:gridCol w:w="1378"/>
        <w:gridCol w:w="1378"/>
        <w:gridCol w:w="1378"/>
        <w:gridCol w:w="1378"/>
        <w:gridCol w:w="1378"/>
        <w:gridCol w:w="1378"/>
      </w:tblGrid>
      <w:tr>
        <w:tc>
          <w:tcPr>
            <w:tcW w:type="dxa" w:w="893"/>
            <w:shd w:val="clear" w:color="auto" w:fill="D9D9D9"/>
          </w:tcPr>
          <w:p>
            <w:pPr>
              <w:spacing w:after="40"/>
            </w:pPr>
            <w:r>
              <w:rPr>
                <w:b/>
                <w:color w:val="1A1A1A"/>
                <w:sz w:val="18"/>
              </w:rPr>
              <w:t>Standard</w:t>
            </w:r>
          </w:p>
        </w:tc>
        <w:tc>
          <w:tcPr>
            <w:tcW w:type="dxa" w:w="3283"/>
            <w:shd w:val="clear" w:color="auto" w:fill="D9D9D9"/>
          </w:tcPr>
          <w:p>
            <w:pPr>
              <w:spacing w:after="40"/>
            </w:pPr>
            <w:r>
              <w:rPr>
                <w:b/>
                <w:color w:val="1A1A1A"/>
                <w:sz w:val="18"/>
              </w:rPr>
              <w:t>What it requires</w:t>
            </w:r>
          </w:p>
        </w:tc>
        <w:tc>
          <w:tcPr>
            <w:tcW w:type="dxa" w:w="1181"/>
            <w:shd w:val="clear" w:color="auto" w:fill="D9D9D9"/>
          </w:tcPr>
          <w:p>
            <w:pPr>
              <w:spacing w:after="40"/>
            </w:pPr>
            <w:r>
              <w:rPr>
                <w:b/>
                <w:color w:val="1A1A1A"/>
                <w:sz w:val="18"/>
              </w:rPr>
              <w:t>Denominator</w:t>
            </w:r>
          </w:p>
        </w:tc>
        <w:tc>
          <w:tcPr>
            <w:tcW w:type="dxa" w:w="1037"/>
            <w:shd w:val="clear" w:color="auto" w:fill="D9D9D9"/>
          </w:tcPr>
          <w:p>
            <w:pPr>
              <w:spacing w:after="40"/>
            </w:pPr>
            <w:r>
              <w:rPr>
                <w:b/>
                <w:color w:val="1A1A1A"/>
                <w:sz w:val="18"/>
              </w:rPr>
              <w:t>Exceptions</w:t>
            </w:r>
          </w:p>
        </w:tc>
        <w:tc>
          <w:tcPr>
            <w:tcW w:type="dxa" w:w="1037"/>
            <w:shd w:val="clear" w:color="auto" w:fill="D9D9D9"/>
          </w:tcPr>
          <w:p>
            <w:pPr>
              <w:spacing w:after="40"/>
            </w:pPr>
            <w:r>
              <w:rPr>
                <w:b/>
                <w:color w:val="1A1A1A"/>
                <w:sz w:val="18"/>
              </w:rPr>
              <w:t>Error rate</w:t>
            </w:r>
          </w:p>
        </w:tc>
        <w:tc>
          <w:tcPr>
            <w:tcW w:type="dxa" w:w="1037"/>
            <w:shd w:val="clear" w:color="auto" w:fill="D9D9D9"/>
          </w:tcPr>
          <w:p>
            <w:pPr>
              <w:spacing w:after="40"/>
            </w:pPr>
            <w:r>
              <w:rPr>
                <w:b/>
                <w:color w:val="1A1A1A"/>
                <w:sz w:val="18"/>
              </w:rPr>
              <w:t>Tolerance</w:t>
            </w:r>
          </w:p>
        </w:tc>
        <w:tc>
          <w:tcPr>
            <w:tcW w:type="dxa" w:w="1181"/>
            <w:shd w:val="clear" w:color="auto" w:fill="D9D9D9"/>
          </w:tcPr>
          <w:p>
            <w:pPr>
              <w:spacing w:after="40"/>
            </w:pPr>
            <w:r>
              <w:rPr>
                <w:b/>
                <w:color w:val="1A1A1A"/>
                <w:sz w:val="18"/>
              </w:rPr>
              <w:t>Outcome</w:t>
            </w:r>
          </w:p>
        </w:tc>
      </w:tr>
      <w:tr>
        <w:tc>
          <w:tcPr>
            <w:tcW w:type="dxa" w:w="893"/>
          </w:tcPr>
          <w:p>
            <w:pPr>
              <w:spacing w:after="40"/>
            </w:pPr>
            <w:r>
              <w:rPr>
                <w:b w:val="0"/>
                <w:color w:val="1A1A1A"/>
                <w:sz w:val="18"/>
              </w:rPr>
              <w:t>4.1</w:t>
            </w:r>
          </w:p>
        </w:tc>
        <w:tc>
          <w:tcPr>
            <w:tcW w:type="dxa" w:w="3283"/>
          </w:tcPr>
          <w:p>
            <w:pPr>
              <w:spacing w:after="40"/>
            </w:pPr>
            <w:r>
              <w:rPr>
                <w:b w:val="0"/>
                <w:color w:val="1A1A1A"/>
                <w:sz w:val="18"/>
              </w:rPr>
              <w:t>Acknowledgment within ten working days of notice</w:t>
            </w:r>
          </w:p>
        </w:tc>
        <w:tc>
          <w:tcPr>
            <w:tcW w:type="dxa" w:w="1181"/>
          </w:tcPr>
          <w:p>
            <w:pPr>
              <w:spacing w:after="40"/>
            </w:pPr>
            <w:r>
              <w:rPr>
                <w:b w:val="0"/>
                <w:color w:val="1A1A1A"/>
                <w:sz w:val="18"/>
              </w:rPr>
              <w:t>22</w:t>
            </w:r>
          </w:p>
        </w:tc>
        <w:tc>
          <w:tcPr>
            <w:tcW w:type="dxa" w:w="1037"/>
          </w:tcPr>
          <w:p>
            <w:pPr>
              <w:spacing w:after="40"/>
            </w:pPr>
            <w:r>
              <w:rPr>
                <w:b w:val="0"/>
                <w:color w:val="1A1A1A"/>
                <w:sz w:val="18"/>
              </w:rPr>
              <w:t>2</w:t>
            </w:r>
          </w:p>
        </w:tc>
        <w:tc>
          <w:tcPr>
            <w:tcW w:type="dxa" w:w="1037"/>
          </w:tcPr>
          <w:p>
            <w:pPr>
              <w:spacing w:after="40"/>
            </w:pPr>
            <w:r>
              <w:rPr>
                <w:b w:val="0"/>
                <w:color w:val="1A1A1A"/>
                <w:sz w:val="18"/>
              </w:rPr>
              <w:t>9.09 percent</w:t>
            </w:r>
          </w:p>
        </w:tc>
        <w:tc>
          <w:tcPr>
            <w:tcW w:type="dxa" w:w="1037"/>
          </w:tcPr>
          <w:p>
            <w:pPr>
              <w:spacing w:after="40"/>
            </w:pPr>
            <w:r>
              <w:rPr>
                <w:b w:val="0"/>
                <w:color w:val="1A1A1A"/>
                <w:sz w:val="18"/>
              </w:rPr>
              <w:t>7 percent</w:t>
            </w:r>
          </w:p>
        </w:tc>
        <w:tc>
          <w:tcPr>
            <w:tcW w:type="dxa" w:w="1181"/>
          </w:tcPr>
          <w:p>
            <w:pPr>
              <w:spacing w:after="40"/>
            </w:pPr>
            <w:r>
              <w:rPr>
                <w:b w:val="0"/>
                <w:color w:val="1A1A1A"/>
                <w:sz w:val="18"/>
              </w:rPr>
              <w:t>Finding</w:t>
            </w:r>
          </w:p>
        </w:tc>
      </w:tr>
      <w:tr>
        <w:tc>
          <w:tcPr>
            <w:tcW w:type="dxa" w:w="893"/>
          </w:tcPr>
          <w:p>
            <w:pPr>
              <w:spacing w:after="40"/>
            </w:pPr>
            <w:r>
              <w:rPr>
                <w:b w:val="0"/>
                <w:color w:val="1A1A1A"/>
                <w:sz w:val="18"/>
              </w:rPr>
              <w:t>4.2</w:t>
            </w:r>
          </w:p>
        </w:tc>
        <w:tc>
          <w:tcPr>
            <w:tcW w:type="dxa" w:w="3283"/>
          </w:tcPr>
          <w:p>
            <w:pPr>
              <w:spacing w:after="40"/>
            </w:pPr>
            <w:r>
              <w:rPr>
                <w:b w:val="0"/>
                <w:color w:val="1A1A1A"/>
                <w:sz w:val="18"/>
              </w:rPr>
              <w:t>Written decision within thirty calendar days of the completed proof of loss</w:t>
            </w:r>
          </w:p>
        </w:tc>
        <w:tc>
          <w:tcPr>
            <w:tcW w:type="dxa" w:w="1181"/>
          </w:tcPr>
          <w:p>
            <w:pPr>
              <w:spacing w:after="40"/>
            </w:pPr>
            <w:r>
              <w:rPr>
                <w:b w:val="0"/>
                <w:color w:val="1A1A1A"/>
                <w:sz w:val="18"/>
              </w:rPr>
              <w:t>22</w:t>
            </w:r>
          </w:p>
        </w:tc>
        <w:tc>
          <w:tcPr>
            <w:tcW w:type="dxa" w:w="1037"/>
          </w:tcPr>
          <w:p>
            <w:pPr>
              <w:spacing w:after="40"/>
            </w:pPr>
            <w:r>
              <w:rPr>
                <w:b w:val="0"/>
                <w:color w:val="1A1A1A"/>
                <w:sz w:val="18"/>
              </w:rPr>
              <w:t>3</w:t>
            </w:r>
          </w:p>
        </w:tc>
        <w:tc>
          <w:tcPr>
            <w:tcW w:type="dxa" w:w="1037"/>
          </w:tcPr>
          <w:p>
            <w:pPr>
              <w:spacing w:after="40"/>
            </w:pPr>
            <w:r>
              <w:rPr>
                <w:b w:val="0"/>
                <w:color w:val="1A1A1A"/>
                <w:sz w:val="18"/>
              </w:rPr>
              <w:t>13.64 percent</w:t>
            </w:r>
          </w:p>
        </w:tc>
        <w:tc>
          <w:tcPr>
            <w:tcW w:type="dxa" w:w="1037"/>
          </w:tcPr>
          <w:p>
            <w:pPr>
              <w:spacing w:after="40"/>
            </w:pPr>
            <w:r>
              <w:rPr>
                <w:b w:val="0"/>
                <w:color w:val="1A1A1A"/>
                <w:sz w:val="18"/>
              </w:rPr>
              <w:t>7 percent</w:t>
            </w:r>
          </w:p>
        </w:tc>
        <w:tc>
          <w:tcPr>
            <w:tcW w:type="dxa" w:w="1181"/>
          </w:tcPr>
          <w:p>
            <w:pPr>
              <w:spacing w:after="40"/>
            </w:pPr>
            <w:r>
              <w:rPr>
                <w:b w:val="0"/>
                <w:color w:val="1A1A1A"/>
                <w:sz w:val="18"/>
              </w:rPr>
              <w:t>Finding</w:t>
            </w:r>
          </w:p>
        </w:tc>
      </w:tr>
      <w:tr>
        <w:tc>
          <w:tcPr>
            <w:tcW w:type="dxa" w:w="893"/>
          </w:tcPr>
          <w:p>
            <w:pPr>
              <w:spacing w:after="40"/>
            </w:pPr>
            <w:r>
              <w:rPr>
                <w:b w:val="0"/>
                <w:color w:val="1A1A1A"/>
                <w:sz w:val="18"/>
              </w:rPr>
              <w:t>4.3</w:t>
            </w:r>
          </w:p>
        </w:tc>
        <w:tc>
          <w:tcPr>
            <w:tcW w:type="dxa" w:w="3283"/>
          </w:tcPr>
          <w:p>
            <w:pPr>
              <w:spacing w:after="40"/>
            </w:pPr>
            <w:r>
              <w:rPr>
                <w:b w:val="0"/>
                <w:color w:val="1A1A1A"/>
                <w:sz w:val="18"/>
              </w:rPr>
              <w:t>Payment within ten working days of the signed release</w:t>
            </w:r>
          </w:p>
        </w:tc>
        <w:tc>
          <w:tcPr>
            <w:tcW w:type="dxa" w:w="1181"/>
          </w:tcPr>
          <w:p>
            <w:pPr>
              <w:spacing w:after="40"/>
            </w:pPr>
            <w:r>
              <w:rPr>
                <w:b w:val="0"/>
                <w:color w:val="1A1A1A"/>
                <w:sz w:val="18"/>
              </w:rPr>
              <w:t>19</w:t>
            </w:r>
          </w:p>
        </w:tc>
        <w:tc>
          <w:tcPr>
            <w:tcW w:type="dxa" w:w="1037"/>
          </w:tcPr>
          <w:p>
            <w:pPr>
              <w:spacing w:after="40"/>
            </w:pPr>
            <w:r>
              <w:rPr>
                <w:b w:val="0"/>
                <w:color w:val="1A1A1A"/>
                <w:sz w:val="18"/>
              </w:rPr>
              <w:t>0</w:t>
            </w:r>
          </w:p>
        </w:tc>
        <w:tc>
          <w:tcPr>
            <w:tcW w:type="dxa" w:w="1037"/>
          </w:tcPr>
          <w:p>
            <w:pPr>
              <w:spacing w:after="40"/>
            </w:pPr>
            <w:r>
              <w:rPr>
                <w:b w:val="0"/>
                <w:color w:val="1A1A1A"/>
                <w:sz w:val="18"/>
              </w:rPr>
              <w:t>0.00 percent</w:t>
            </w:r>
          </w:p>
        </w:tc>
        <w:tc>
          <w:tcPr>
            <w:tcW w:type="dxa" w:w="1037"/>
          </w:tcPr>
          <w:p>
            <w:pPr>
              <w:spacing w:after="40"/>
            </w:pPr>
            <w:r>
              <w:rPr>
                <w:b w:val="0"/>
                <w:color w:val="1A1A1A"/>
                <w:sz w:val="18"/>
              </w:rPr>
              <w:t>7 percent</w:t>
            </w:r>
          </w:p>
        </w:tc>
        <w:tc>
          <w:tcPr>
            <w:tcW w:type="dxa" w:w="1181"/>
          </w:tcPr>
          <w:p>
            <w:pPr>
              <w:spacing w:after="40"/>
            </w:pPr>
            <w:r>
              <w:rPr>
                <w:b w:val="0"/>
                <w:color w:val="1A1A1A"/>
                <w:sz w:val="18"/>
              </w:rPr>
              <w:t>Within tolerance</w:t>
            </w:r>
          </w:p>
        </w:tc>
      </w:tr>
      <w:tr>
        <w:tc>
          <w:tcPr>
            <w:tcW w:type="dxa" w:w="893"/>
          </w:tcPr>
          <w:p>
            <w:pPr>
              <w:spacing w:after="40"/>
            </w:pPr>
            <w:r>
              <w:rPr>
                <w:b w:val="0"/>
                <w:color w:val="1A1A1A"/>
                <w:sz w:val="18"/>
              </w:rPr>
              <w:t>4.4</w:t>
            </w:r>
          </w:p>
        </w:tc>
        <w:tc>
          <w:tcPr>
            <w:tcW w:type="dxa" w:w="3283"/>
          </w:tcPr>
          <w:p>
            <w:pPr>
              <w:spacing w:after="40"/>
            </w:pPr>
            <w:r>
              <w:rPr>
                <w:b w:val="0"/>
                <w:color w:val="1A1A1A"/>
                <w:sz w:val="18"/>
              </w:rPr>
              <w:t>A denial states the policy provision relied on</w:t>
            </w:r>
          </w:p>
        </w:tc>
        <w:tc>
          <w:tcPr>
            <w:tcW w:type="dxa" w:w="1181"/>
          </w:tcPr>
          <w:p>
            <w:pPr>
              <w:spacing w:after="40"/>
            </w:pPr>
            <w:r>
              <w:rPr>
                <w:b w:val="0"/>
                <w:color w:val="1A1A1A"/>
                <w:sz w:val="18"/>
              </w:rPr>
              <w:t>3</w:t>
            </w:r>
          </w:p>
        </w:tc>
        <w:tc>
          <w:tcPr>
            <w:tcW w:type="dxa" w:w="1037"/>
          </w:tcPr>
          <w:p>
            <w:pPr>
              <w:spacing w:after="40"/>
            </w:pPr>
            <w:r>
              <w:rPr>
                <w:b w:val="0"/>
                <w:color w:val="1A1A1A"/>
                <w:sz w:val="18"/>
              </w:rPr>
              <w:t>1</w:t>
            </w:r>
          </w:p>
        </w:tc>
        <w:tc>
          <w:tcPr>
            <w:tcW w:type="dxa" w:w="1037"/>
          </w:tcPr>
          <w:p>
            <w:pPr>
              <w:spacing w:after="40"/>
            </w:pPr>
            <w:r>
              <w:rPr>
                <w:b w:val="0"/>
                <w:color w:val="1A1A1A"/>
                <w:sz w:val="18"/>
              </w:rPr>
              <w:t>33.33 percent</w:t>
            </w:r>
          </w:p>
        </w:tc>
        <w:tc>
          <w:tcPr>
            <w:tcW w:type="dxa" w:w="1037"/>
          </w:tcPr>
          <w:p>
            <w:pPr>
              <w:spacing w:after="40"/>
            </w:pPr>
            <w:r>
              <w:rPr>
                <w:b w:val="0"/>
                <w:color w:val="1A1A1A"/>
                <w:sz w:val="18"/>
              </w:rPr>
              <w:t>0 percent</w:t>
            </w:r>
          </w:p>
        </w:tc>
        <w:tc>
          <w:tcPr>
            <w:tcW w:type="dxa" w:w="1181"/>
          </w:tcPr>
          <w:p>
            <w:pPr>
              <w:spacing w:after="40"/>
            </w:pPr>
            <w:r>
              <w:rPr>
                <w:b w:val="0"/>
                <w:color w:val="1A1A1A"/>
                <w:sz w:val="18"/>
              </w:rPr>
              <w:t>Finding</w:t>
            </w:r>
          </w:p>
        </w:tc>
      </w:tr>
      <w:tr>
        <w:tc>
          <w:tcPr>
            <w:tcW w:type="dxa" w:w="893"/>
          </w:tcPr>
          <w:p>
            <w:pPr>
              <w:spacing w:after="40"/>
            </w:pPr>
            <w:r>
              <w:rPr>
                <w:b w:val="0"/>
                <w:color w:val="1A1A1A"/>
                <w:sz w:val="18"/>
              </w:rPr>
              <w:t>4.5</w:t>
            </w:r>
          </w:p>
        </w:tc>
        <w:tc>
          <w:tcPr>
            <w:tcW w:type="dxa" w:w="3283"/>
          </w:tcPr>
          <w:p>
            <w:pPr>
              <w:spacing w:after="40"/>
            </w:pPr>
            <w:r>
              <w:rPr>
                <w:b w:val="0"/>
                <w:color w:val="1A1A1A"/>
                <w:sz w:val="18"/>
              </w:rPr>
              <w:t>A total loss settlement includes sales tax and the title and registration fee</w:t>
            </w:r>
          </w:p>
        </w:tc>
        <w:tc>
          <w:tcPr>
            <w:tcW w:type="dxa" w:w="1181"/>
          </w:tcPr>
          <w:p>
            <w:pPr>
              <w:spacing w:after="40"/>
            </w:pPr>
            <w:r>
              <w:rPr>
                <w:b w:val="0"/>
                <w:color w:val="1A1A1A"/>
                <w:sz w:val="18"/>
              </w:rPr>
              <w:t>6</w:t>
            </w:r>
          </w:p>
        </w:tc>
        <w:tc>
          <w:tcPr>
            <w:tcW w:type="dxa" w:w="1037"/>
          </w:tcPr>
          <w:p>
            <w:pPr>
              <w:spacing w:after="40"/>
            </w:pPr>
            <w:r>
              <w:rPr>
                <w:b w:val="0"/>
                <w:color w:val="1A1A1A"/>
                <w:sz w:val="18"/>
              </w:rPr>
              <w:t>3</w:t>
            </w:r>
          </w:p>
        </w:tc>
        <w:tc>
          <w:tcPr>
            <w:tcW w:type="dxa" w:w="1037"/>
          </w:tcPr>
          <w:p>
            <w:pPr>
              <w:spacing w:after="40"/>
            </w:pPr>
            <w:r>
              <w:rPr>
                <w:b w:val="0"/>
                <w:color w:val="1A1A1A"/>
                <w:sz w:val="18"/>
              </w:rPr>
              <w:t>50.00 percent</w:t>
            </w:r>
          </w:p>
        </w:tc>
        <w:tc>
          <w:tcPr>
            <w:tcW w:type="dxa" w:w="1037"/>
          </w:tcPr>
          <w:p>
            <w:pPr>
              <w:spacing w:after="40"/>
            </w:pPr>
            <w:r>
              <w:rPr>
                <w:b w:val="0"/>
                <w:color w:val="1A1A1A"/>
                <w:sz w:val="18"/>
              </w:rPr>
              <w:t>7 percent</w:t>
            </w:r>
          </w:p>
        </w:tc>
        <w:tc>
          <w:tcPr>
            <w:tcW w:type="dxa" w:w="1181"/>
          </w:tcPr>
          <w:p>
            <w:pPr>
              <w:spacing w:after="40"/>
            </w:pPr>
            <w:r>
              <w:rPr>
                <w:b w:val="0"/>
                <w:color w:val="1A1A1A"/>
                <w:sz w:val="18"/>
              </w:rPr>
              <w:t>Finding</w:t>
            </w:r>
          </w:p>
        </w:tc>
      </w:tr>
      <w:tr>
        <w:tc>
          <w:tcPr>
            <w:tcW w:type="dxa" w:w="893"/>
          </w:tcPr>
          <w:p>
            <w:pPr>
              <w:spacing w:after="40"/>
            </w:pPr>
            <w:r>
              <w:rPr>
                <w:b w:val="0"/>
                <w:color w:val="1A1A1A"/>
                <w:sz w:val="18"/>
              </w:rPr>
              <w:t>5.1</w:t>
            </w:r>
          </w:p>
        </w:tc>
        <w:tc>
          <w:tcPr>
            <w:tcW w:type="dxa" w:w="3283"/>
          </w:tcPr>
          <w:p>
            <w:pPr>
              <w:spacing w:after="40"/>
            </w:pPr>
            <w:r>
              <w:rPr>
                <w:b w:val="0"/>
                <w:color w:val="1A1A1A"/>
                <w:sz w:val="18"/>
              </w:rPr>
              <w:t>The complaint register carries every complaint the Division forwarded</w:t>
            </w:r>
          </w:p>
        </w:tc>
        <w:tc>
          <w:tcPr>
            <w:tcW w:type="dxa" w:w="1181"/>
          </w:tcPr>
          <w:p>
            <w:pPr>
              <w:spacing w:after="40"/>
            </w:pPr>
            <w:r>
              <w:rPr>
                <w:b w:val="0"/>
                <w:color w:val="1A1A1A"/>
                <w:sz w:val="18"/>
              </w:rPr>
              <w:t>5</w:t>
            </w:r>
          </w:p>
        </w:tc>
        <w:tc>
          <w:tcPr>
            <w:tcW w:type="dxa" w:w="1037"/>
          </w:tcPr>
          <w:p>
            <w:pPr>
              <w:spacing w:after="40"/>
            </w:pPr>
            <w:r>
              <w:rPr>
                <w:b w:val="0"/>
                <w:color w:val="1A1A1A"/>
                <w:sz w:val="18"/>
              </w:rPr>
              <w:t>2</w:t>
            </w:r>
          </w:p>
        </w:tc>
        <w:tc>
          <w:tcPr>
            <w:tcW w:type="dxa" w:w="1037"/>
          </w:tcPr>
          <w:p>
            <w:pPr>
              <w:spacing w:after="40"/>
            </w:pPr>
            <w:r>
              <w:rPr>
                <w:b w:val="0"/>
                <w:color w:val="1A1A1A"/>
                <w:sz w:val="18"/>
              </w:rPr>
              <w:t>40.00 percent</w:t>
            </w:r>
          </w:p>
        </w:tc>
        <w:tc>
          <w:tcPr>
            <w:tcW w:type="dxa" w:w="1037"/>
          </w:tcPr>
          <w:p>
            <w:pPr>
              <w:spacing w:after="40"/>
            </w:pPr>
            <w:r>
              <w:rPr>
                <w:b w:val="0"/>
                <w:color w:val="1A1A1A"/>
                <w:sz w:val="18"/>
              </w:rPr>
              <w:t>0 percent</w:t>
            </w:r>
          </w:p>
        </w:tc>
        <w:tc>
          <w:tcPr>
            <w:tcW w:type="dxa" w:w="1181"/>
          </w:tcPr>
          <w:p>
            <w:pPr>
              <w:spacing w:after="40"/>
            </w:pPr>
            <w:r>
              <w:rPr>
                <w:b w:val="0"/>
                <w:color w:val="1A1A1A"/>
                <w:sz w:val="18"/>
              </w:rPr>
              <w:t>Finding</w:t>
            </w:r>
          </w:p>
        </w:tc>
      </w:tr>
    </w:tbl>
    <w:p>
      <w:pPr>
        <w:spacing w:after="120" w:before="160"/>
      </w:pPr>
      <w:r>
        <w:rPr>
          <w:b w:val="0"/>
          <w:i w:val="0"/>
          <w:color w:val="1A1A1A"/>
          <w:sz w:val="20"/>
        </w:rPr>
        <w:t>Standard 4.4 was tested against the three files closed without payment, CM-25-0264, CM-25-0530 and CM-25-0976. Standard 4.5 was tested against the six total loss settlements, CM-25-0207, CM-25-0402, CM-25-0498, CM-25-0768, CM-25-0803 and CM-25-1052. Standard 4.3 was tested against the nineteen files closed with a payment. The files in exception on each standard are these.</w:t>
      </w:r>
    </w:p>
    <w:tbl>
      <w:tblPr>
        <w:tblStyle w:val="TableGrid"/>
        <w:tblW w:type="auto" w:w="0"/>
        <w:jc w:val="left"/>
        <w:tblLook w:firstColumn="1" w:firstRow="1" w:lastColumn="0" w:lastRow="0" w:noHBand="0" w:noVBand="1" w:val="04A0"/>
      </w:tblPr>
      <w:tblGrid>
        <w:gridCol w:w="4824"/>
        <w:gridCol w:w="4824"/>
      </w:tblGrid>
      <w:tr>
        <w:tc>
          <w:tcPr>
            <w:tcW w:type="dxa" w:w="1296"/>
            <w:shd w:val="clear" w:color="auto" w:fill="D9D9D9"/>
          </w:tcPr>
          <w:p>
            <w:pPr>
              <w:spacing w:after="40"/>
            </w:pPr>
            <w:r>
              <w:rPr>
                <w:b/>
                <w:color w:val="1A1A1A"/>
                <w:sz w:val="18"/>
              </w:rPr>
              <w:t>Standard</w:t>
            </w:r>
          </w:p>
        </w:tc>
        <w:tc>
          <w:tcPr>
            <w:tcW w:type="dxa" w:w="8352"/>
            <w:shd w:val="clear" w:color="auto" w:fill="D9D9D9"/>
          </w:tcPr>
          <w:p>
            <w:pPr>
              <w:spacing w:after="40"/>
            </w:pPr>
            <w:r>
              <w:rPr>
                <w:b/>
                <w:color w:val="1A1A1A"/>
                <w:sz w:val="18"/>
              </w:rPr>
              <w:t>Files in exception</w:t>
            </w:r>
          </w:p>
        </w:tc>
      </w:tr>
      <w:tr>
        <w:tc>
          <w:tcPr>
            <w:tcW w:type="dxa" w:w="1296"/>
          </w:tcPr>
          <w:p>
            <w:pPr>
              <w:spacing w:after="40"/>
            </w:pPr>
            <w:r>
              <w:rPr>
                <w:b w:val="0"/>
                <w:color w:val="1A1A1A"/>
                <w:sz w:val="18"/>
              </w:rPr>
              <w:t>4.1</w:t>
            </w:r>
          </w:p>
        </w:tc>
        <w:tc>
          <w:tcPr>
            <w:tcW w:type="dxa" w:w="8352"/>
          </w:tcPr>
          <w:p>
            <w:pPr>
              <w:spacing w:after="40"/>
            </w:pPr>
            <w:r>
              <w:rPr>
                <w:b w:val="0"/>
                <w:color w:val="1A1A1A"/>
                <w:sz w:val="18"/>
              </w:rPr>
              <w:t>CM-25-0621, CM-25-0851</w:t>
            </w:r>
          </w:p>
        </w:tc>
      </w:tr>
      <w:tr>
        <w:tc>
          <w:tcPr>
            <w:tcW w:type="dxa" w:w="1296"/>
          </w:tcPr>
          <w:p>
            <w:pPr>
              <w:spacing w:after="40"/>
            </w:pPr>
            <w:r>
              <w:rPr>
                <w:b w:val="0"/>
                <w:color w:val="1A1A1A"/>
                <w:sz w:val="18"/>
              </w:rPr>
              <w:t>4.2</w:t>
            </w:r>
          </w:p>
        </w:tc>
        <w:tc>
          <w:tcPr>
            <w:tcW w:type="dxa" w:w="8352"/>
          </w:tcPr>
          <w:p>
            <w:pPr>
              <w:spacing w:after="40"/>
            </w:pPr>
            <w:r>
              <w:rPr>
                <w:b w:val="0"/>
                <w:color w:val="1A1A1A"/>
                <w:sz w:val="18"/>
              </w:rPr>
              <w:t>CM-25-0264, CM-25-0455, CM-25-0930</w:t>
            </w:r>
          </w:p>
        </w:tc>
      </w:tr>
      <w:tr>
        <w:tc>
          <w:tcPr>
            <w:tcW w:type="dxa" w:w="1296"/>
          </w:tcPr>
          <w:p>
            <w:pPr>
              <w:spacing w:after="40"/>
            </w:pPr>
            <w:r>
              <w:rPr>
                <w:b w:val="0"/>
                <w:color w:val="1A1A1A"/>
                <w:sz w:val="18"/>
              </w:rPr>
              <w:t>4.3</w:t>
            </w:r>
          </w:p>
        </w:tc>
        <w:tc>
          <w:tcPr>
            <w:tcW w:type="dxa" w:w="8352"/>
          </w:tcPr>
          <w:p>
            <w:pPr>
              <w:spacing w:after="40"/>
            </w:pPr>
            <w:r>
              <w:rPr>
                <w:b w:val="0"/>
                <w:color w:val="1A1A1A"/>
                <w:sz w:val="18"/>
              </w:rPr>
              <w:t>None</w:t>
            </w:r>
          </w:p>
        </w:tc>
      </w:tr>
      <w:tr>
        <w:tc>
          <w:tcPr>
            <w:tcW w:type="dxa" w:w="1296"/>
          </w:tcPr>
          <w:p>
            <w:pPr>
              <w:spacing w:after="40"/>
            </w:pPr>
            <w:r>
              <w:rPr>
                <w:b w:val="0"/>
                <w:color w:val="1A1A1A"/>
                <w:sz w:val="18"/>
              </w:rPr>
              <w:t>4.4</w:t>
            </w:r>
          </w:p>
        </w:tc>
        <w:tc>
          <w:tcPr>
            <w:tcW w:type="dxa" w:w="8352"/>
          </w:tcPr>
          <w:p>
            <w:pPr>
              <w:spacing w:after="40"/>
            </w:pPr>
            <w:r>
              <w:rPr>
                <w:b w:val="0"/>
                <w:color w:val="1A1A1A"/>
                <w:sz w:val="18"/>
              </w:rPr>
              <w:t>CM-25-0530</w:t>
            </w:r>
          </w:p>
        </w:tc>
      </w:tr>
      <w:tr>
        <w:tc>
          <w:tcPr>
            <w:tcW w:type="dxa" w:w="1296"/>
          </w:tcPr>
          <w:p>
            <w:pPr>
              <w:spacing w:after="40"/>
            </w:pPr>
            <w:r>
              <w:rPr>
                <w:b w:val="0"/>
                <w:color w:val="1A1A1A"/>
                <w:sz w:val="18"/>
              </w:rPr>
              <w:t>4.5</w:t>
            </w:r>
          </w:p>
        </w:tc>
        <w:tc>
          <w:tcPr>
            <w:tcW w:type="dxa" w:w="8352"/>
          </w:tcPr>
          <w:p>
            <w:pPr>
              <w:spacing w:after="40"/>
            </w:pPr>
            <w:r>
              <w:rPr>
                <w:b w:val="0"/>
                <w:color w:val="1A1A1A"/>
                <w:sz w:val="18"/>
              </w:rPr>
              <w:t>CM-25-0207, CM-25-0498, CM-25-0803</w:t>
            </w:r>
          </w:p>
        </w:tc>
      </w:tr>
      <w:tr>
        <w:tc>
          <w:tcPr>
            <w:tcW w:type="dxa" w:w="1296"/>
          </w:tcPr>
          <w:p>
            <w:pPr>
              <w:spacing w:after="40"/>
            </w:pPr>
            <w:r>
              <w:rPr>
                <w:b w:val="0"/>
                <w:color w:val="1A1A1A"/>
                <w:sz w:val="18"/>
              </w:rPr>
              <w:t>5.1</w:t>
            </w:r>
          </w:p>
        </w:tc>
        <w:tc>
          <w:tcPr>
            <w:tcW w:type="dxa" w:w="8352"/>
          </w:tcPr>
          <w:p>
            <w:pPr>
              <w:spacing w:after="40"/>
            </w:pPr>
            <w:r>
              <w:rPr>
                <w:b w:val="0"/>
                <w:color w:val="1A1A1A"/>
                <w:sz w:val="18"/>
              </w:rPr>
              <w:t>KID-2025-0778, KID-2025-1604</w:t>
            </w:r>
          </w:p>
        </w:tc>
      </w:tr>
    </w:tbl>
    <w:p>
      <w:pPr>
        <w:spacing w:after="100" w:before="280"/>
      </w:pPr>
      <w:r>
        <w:rPr>
          <w:b/>
          <w:i w:val="0"/>
          <w:color w:val="1A1A1A"/>
          <w:sz w:val="22"/>
        </w:rPr>
        <w:t>The two standards found in the previous examination</w:t>
      </w:r>
    </w:p>
    <w:p>
      <w:pPr>
        <w:spacing w:after="120" w:before="0"/>
      </w:pPr>
      <w:r>
        <w:rPr>
          <w:b w:val="0"/>
          <w:i w:val="0"/>
          <w:color w:val="1A1A1A"/>
          <w:sz w:val="20"/>
        </w:rPr>
        <w:t>The company was found on 4.2 and on 4.3 in its 2021 examination and gave the Commissioner an undertaking to correct both. One has been corrected and one has not.</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1008"/>
            <w:shd w:val="clear" w:color="auto" w:fill="D9D9D9"/>
          </w:tcPr>
          <w:p>
            <w:pPr>
              <w:spacing w:after="40"/>
            </w:pPr>
            <w:r>
              <w:rPr>
                <w:b/>
                <w:color w:val="1A1A1A"/>
                <w:sz w:val="18"/>
              </w:rPr>
              <w:t>Standard</w:t>
            </w:r>
          </w:p>
        </w:tc>
        <w:tc>
          <w:tcPr>
            <w:tcW w:type="dxa" w:w="1728"/>
            <w:shd w:val="clear" w:color="auto" w:fill="D9D9D9"/>
          </w:tcPr>
          <w:p>
            <w:pPr>
              <w:spacing w:after="40"/>
            </w:pPr>
            <w:r>
              <w:rPr>
                <w:b/>
                <w:color w:val="1A1A1A"/>
                <w:sz w:val="18"/>
              </w:rPr>
              <w:t>Then</w:t>
            </w:r>
          </w:p>
        </w:tc>
        <w:tc>
          <w:tcPr>
            <w:tcW w:type="dxa" w:w="2160"/>
            <w:shd w:val="clear" w:color="auto" w:fill="D9D9D9"/>
          </w:tcPr>
          <w:p>
            <w:pPr>
              <w:spacing w:after="40"/>
            </w:pPr>
            <w:r>
              <w:rPr>
                <w:b/>
                <w:color w:val="1A1A1A"/>
                <w:sz w:val="18"/>
              </w:rPr>
              <w:t>Now</w:t>
            </w:r>
          </w:p>
        </w:tc>
        <w:tc>
          <w:tcPr>
            <w:tcW w:type="dxa" w:w="4752"/>
            <w:shd w:val="clear" w:color="auto" w:fill="D9D9D9"/>
          </w:tcPr>
          <w:p>
            <w:pPr>
              <w:spacing w:after="40"/>
            </w:pPr>
            <w:r>
              <w:rPr>
                <w:b/>
                <w:color w:val="1A1A1A"/>
                <w:sz w:val="18"/>
              </w:rPr>
              <w:t>What follows</w:t>
            </w:r>
          </w:p>
        </w:tc>
      </w:tr>
      <w:tr>
        <w:tc>
          <w:tcPr>
            <w:tcW w:type="dxa" w:w="1008"/>
          </w:tcPr>
          <w:p>
            <w:pPr>
              <w:spacing w:after="40"/>
            </w:pPr>
            <w:r>
              <w:rPr>
                <w:b w:val="0"/>
                <w:color w:val="1A1A1A"/>
                <w:sz w:val="18"/>
              </w:rPr>
              <w:t>4.2</w:t>
            </w:r>
          </w:p>
        </w:tc>
        <w:tc>
          <w:tcPr>
            <w:tcW w:type="dxa" w:w="1728"/>
          </w:tcPr>
          <w:p>
            <w:pPr>
              <w:spacing w:after="40"/>
            </w:pPr>
            <w:r>
              <w:rPr>
                <w:b w:val="0"/>
                <w:color w:val="1A1A1A"/>
                <w:sz w:val="18"/>
              </w:rPr>
              <w:t>11.4 percent</w:t>
            </w:r>
          </w:p>
        </w:tc>
        <w:tc>
          <w:tcPr>
            <w:tcW w:type="dxa" w:w="2160"/>
          </w:tcPr>
          <w:p>
            <w:pPr>
              <w:spacing w:after="40"/>
            </w:pPr>
            <w:r>
              <w:rPr>
                <w:b w:val="0"/>
                <w:color w:val="1A1A1A"/>
                <w:sz w:val="18"/>
              </w:rPr>
              <w:t>13.64 percent, a finding</w:t>
            </w:r>
          </w:p>
        </w:tc>
        <w:tc>
          <w:tcPr>
            <w:tcW w:type="dxa" w:w="4752"/>
          </w:tcPr>
          <w:p>
            <w:pPr>
              <w:spacing w:after="40"/>
            </w:pPr>
            <w:r>
              <w:rPr>
                <w:b w:val="0"/>
                <w:color w:val="1A1A1A"/>
                <w:sz w:val="18"/>
              </w:rPr>
              <w:t>A finding on a standard found in the previous examination. The penalty rate is 750.00 for each exception under 6.2, not 250.00.</w:t>
            </w:r>
          </w:p>
        </w:tc>
      </w:tr>
      <w:tr>
        <w:tc>
          <w:tcPr>
            <w:tcW w:type="dxa" w:w="1008"/>
          </w:tcPr>
          <w:p>
            <w:pPr>
              <w:spacing w:after="40"/>
            </w:pPr>
            <w:r>
              <w:rPr>
                <w:b w:val="0"/>
                <w:color w:val="1A1A1A"/>
                <w:sz w:val="18"/>
              </w:rPr>
              <w:t>4.3</w:t>
            </w:r>
          </w:p>
        </w:tc>
        <w:tc>
          <w:tcPr>
            <w:tcW w:type="dxa" w:w="1728"/>
          </w:tcPr>
          <w:p>
            <w:pPr>
              <w:spacing w:after="40"/>
            </w:pPr>
            <w:r>
              <w:rPr>
                <w:b w:val="0"/>
                <w:color w:val="1A1A1A"/>
                <w:sz w:val="18"/>
              </w:rPr>
              <w:t>9.2 percent</w:t>
            </w:r>
          </w:p>
        </w:tc>
        <w:tc>
          <w:tcPr>
            <w:tcW w:type="dxa" w:w="2160"/>
          </w:tcPr>
          <w:p>
            <w:pPr>
              <w:spacing w:after="40"/>
            </w:pPr>
            <w:r>
              <w:rPr>
                <w:b w:val="0"/>
                <w:color w:val="1A1A1A"/>
                <w:sz w:val="18"/>
              </w:rPr>
              <w:t>0.00 percent, within tolerance</w:t>
            </w:r>
          </w:p>
        </w:tc>
        <w:tc>
          <w:tcPr>
            <w:tcW w:type="dxa" w:w="4752"/>
          </w:tcPr>
          <w:p>
            <w:pPr>
              <w:spacing w:after="40"/>
            </w:pPr>
            <w:r>
              <w:rPr>
                <w:b w:val="0"/>
                <w:color w:val="1A1A1A"/>
                <w:sz w:val="18"/>
              </w:rPr>
              <w:t>Corrected. No penalty arises on it and 6.3 requires that the correction be recorded.</w:t>
            </w:r>
          </w:p>
        </w:tc>
      </w:tr>
    </w:tbl>
    <w:p>
      <w:pPr>
        <w:spacing w:after="100" w:before="280"/>
      </w:pPr>
      <w:r>
        <w:rPr>
          <w:b/>
          <w:i w:val="0"/>
          <w:color w:val="1A1A1A"/>
          <w:sz w:val="22"/>
        </w:rPr>
        <w:t>Penalty</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037"/>
            <w:shd w:val="clear" w:color="auto" w:fill="D9D9D9"/>
          </w:tcPr>
          <w:p>
            <w:pPr>
              <w:spacing w:after="40"/>
            </w:pPr>
            <w:r>
              <w:rPr>
                <w:b/>
                <w:color w:val="1A1A1A"/>
                <w:sz w:val="18"/>
              </w:rPr>
              <w:t>Standard</w:t>
            </w:r>
          </w:p>
        </w:tc>
        <w:tc>
          <w:tcPr>
            <w:tcW w:type="dxa" w:w="1224"/>
            <w:shd w:val="clear" w:color="auto" w:fill="D9D9D9"/>
          </w:tcPr>
          <w:p>
            <w:pPr>
              <w:spacing w:after="40"/>
            </w:pPr>
            <w:r>
              <w:rPr>
                <w:b/>
                <w:color w:val="1A1A1A"/>
                <w:sz w:val="18"/>
              </w:rPr>
              <w:t>Exceptions</w:t>
            </w:r>
          </w:p>
        </w:tc>
        <w:tc>
          <w:tcPr>
            <w:tcW w:type="dxa" w:w="1512"/>
            <w:shd w:val="clear" w:color="auto" w:fill="D9D9D9"/>
          </w:tcPr>
          <w:p>
            <w:pPr>
              <w:spacing w:after="40"/>
            </w:pPr>
            <w:r>
              <w:rPr>
                <w:b/>
                <w:color w:val="1A1A1A"/>
                <w:sz w:val="18"/>
              </w:rPr>
              <w:t>Rate for each</w:t>
            </w:r>
          </w:p>
        </w:tc>
        <w:tc>
          <w:tcPr>
            <w:tcW w:type="dxa" w:w="1512"/>
            <w:shd w:val="clear" w:color="auto" w:fill="D9D9D9"/>
          </w:tcPr>
          <w:p>
            <w:pPr>
              <w:spacing w:after="40"/>
            </w:pPr>
            <w:r>
              <w:rPr>
                <w:b/>
                <w:color w:val="1A1A1A"/>
                <w:sz w:val="18"/>
              </w:rPr>
              <w:t>Penalty</w:t>
            </w:r>
          </w:p>
        </w:tc>
        <w:tc>
          <w:tcPr>
            <w:tcW w:type="dxa" w:w="4363"/>
            <w:shd w:val="clear" w:color="auto" w:fill="D9D9D9"/>
          </w:tcPr>
          <w:p>
            <w:pPr>
              <w:spacing w:after="40"/>
            </w:pPr>
            <w:r>
              <w:rPr>
                <w:b/>
                <w:color w:val="1A1A1A"/>
                <w:sz w:val="18"/>
              </w:rPr>
              <w:t>Why that rate</w:t>
            </w:r>
          </w:p>
        </w:tc>
      </w:tr>
      <w:tr>
        <w:tc>
          <w:tcPr>
            <w:tcW w:type="dxa" w:w="1037"/>
          </w:tcPr>
          <w:p>
            <w:pPr>
              <w:spacing w:after="40"/>
            </w:pPr>
            <w:r>
              <w:rPr>
                <w:b w:val="0"/>
                <w:color w:val="1A1A1A"/>
                <w:sz w:val="18"/>
              </w:rPr>
              <w:t>4.1</w:t>
            </w:r>
          </w:p>
        </w:tc>
        <w:tc>
          <w:tcPr>
            <w:tcW w:type="dxa" w:w="1224"/>
          </w:tcPr>
          <w:p>
            <w:pPr>
              <w:spacing w:after="40"/>
            </w:pPr>
            <w:r>
              <w:rPr>
                <w:b w:val="0"/>
                <w:color w:val="1A1A1A"/>
                <w:sz w:val="18"/>
              </w:rPr>
              <w:t>2</w:t>
            </w:r>
          </w:p>
        </w:tc>
        <w:tc>
          <w:tcPr>
            <w:tcW w:type="dxa" w:w="1512"/>
          </w:tcPr>
          <w:p>
            <w:pPr>
              <w:spacing w:after="40"/>
            </w:pPr>
            <w:r>
              <w:rPr>
                <w:b w:val="0"/>
                <w:color w:val="1A1A1A"/>
                <w:sz w:val="18"/>
              </w:rPr>
              <w:t>250.00</w:t>
            </w:r>
          </w:p>
        </w:tc>
        <w:tc>
          <w:tcPr>
            <w:tcW w:type="dxa" w:w="1512"/>
          </w:tcPr>
          <w:p>
            <w:pPr>
              <w:spacing w:after="40"/>
            </w:pPr>
            <w:r>
              <w:rPr>
                <w:b w:val="0"/>
                <w:color w:val="1A1A1A"/>
                <w:sz w:val="18"/>
              </w:rPr>
              <w:t>500.00</w:t>
            </w:r>
          </w:p>
        </w:tc>
        <w:tc>
          <w:tcPr>
            <w:tcW w:type="dxa" w:w="4363"/>
          </w:tcPr>
          <w:p>
            <w:pPr>
              <w:spacing w:after="40"/>
            </w:pPr>
            <w:r>
              <w:rPr>
                <w:b w:val="0"/>
                <w:color w:val="1A1A1A"/>
                <w:sz w:val="18"/>
              </w:rPr>
              <w:t>Not previously found against the company. Standard 6.2.</w:t>
            </w:r>
          </w:p>
        </w:tc>
      </w:tr>
      <w:tr>
        <w:tc>
          <w:tcPr>
            <w:tcW w:type="dxa" w:w="1037"/>
          </w:tcPr>
          <w:p>
            <w:pPr>
              <w:spacing w:after="40"/>
            </w:pPr>
            <w:r>
              <w:rPr>
                <w:b w:val="0"/>
                <w:color w:val="1A1A1A"/>
                <w:sz w:val="18"/>
              </w:rPr>
              <w:t>4.2</w:t>
            </w:r>
          </w:p>
        </w:tc>
        <w:tc>
          <w:tcPr>
            <w:tcW w:type="dxa" w:w="1224"/>
          </w:tcPr>
          <w:p>
            <w:pPr>
              <w:spacing w:after="40"/>
            </w:pPr>
            <w:r>
              <w:rPr>
                <w:b w:val="0"/>
                <w:color w:val="1A1A1A"/>
                <w:sz w:val="18"/>
              </w:rPr>
              <w:t>3</w:t>
            </w:r>
          </w:p>
        </w:tc>
        <w:tc>
          <w:tcPr>
            <w:tcW w:type="dxa" w:w="1512"/>
          </w:tcPr>
          <w:p>
            <w:pPr>
              <w:spacing w:after="40"/>
            </w:pPr>
            <w:r>
              <w:rPr>
                <w:b w:val="0"/>
                <w:color w:val="1A1A1A"/>
                <w:sz w:val="18"/>
              </w:rPr>
              <w:t>750.00</w:t>
            </w:r>
          </w:p>
        </w:tc>
        <w:tc>
          <w:tcPr>
            <w:tcW w:type="dxa" w:w="1512"/>
          </w:tcPr>
          <w:p>
            <w:pPr>
              <w:spacing w:after="40"/>
            </w:pPr>
            <w:r>
              <w:rPr>
                <w:b w:val="0"/>
                <w:color w:val="1A1A1A"/>
                <w:sz w:val="18"/>
              </w:rPr>
              <w:t>2,250.00</w:t>
            </w:r>
          </w:p>
        </w:tc>
        <w:tc>
          <w:tcPr>
            <w:tcW w:type="dxa" w:w="4363"/>
          </w:tcPr>
          <w:p>
            <w:pPr>
              <w:spacing w:after="40"/>
            </w:pPr>
            <w:r>
              <w:rPr>
                <w:b w:val="0"/>
                <w:color w:val="1A1A1A"/>
                <w:sz w:val="18"/>
              </w:rPr>
              <w:t>Found in the previous examination. Standard 6.2.</w:t>
            </w:r>
          </w:p>
        </w:tc>
      </w:tr>
      <w:tr>
        <w:tc>
          <w:tcPr>
            <w:tcW w:type="dxa" w:w="1037"/>
          </w:tcPr>
          <w:p>
            <w:pPr>
              <w:spacing w:after="40"/>
            </w:pPr>
            <w:r>
              <w:rPr>
                <w:b w:val="0"/>
                <w:color w:val="1A1A1A"/>
                <w:sz w:val="18"/>
              </w:rPr>
              <w:t>4.4</w:t>
            </w:r>
          </w:p>
        </w:tc>
        <w:tc>
          <w:tcPr>
            <w:tcW w:type="dxa" w:w="1224"/>
          </w:tcPr>
          <w:p>
            <w:pPr>
              <w:spacing w:after="40"/>
            </w:pPr>
            <w:r>
              <w:rPr>
                <w:b w:val="0"/>
                <w:color w:val="1A1A1A"/>
                <w:sz w:val="18"/>
              </w:rPr>
              <w:t>1</w:t>
            </w:r>
          </w:p>
        </w:tc>
        <w:tc>
          <w:tcPr>
            <w:tcW w:type="dxa" w:w="1512"/>
          </w:tcPr>
          <w:p>
            <w:pPr>
              <w:spacing w:after="40"/>
            </w:pPr>
            <w:r>
              <w:rPr>
                <w:b w:val="0"/>
                <w:color w:val="1A1A1A"/>
                <w:sz w:val="18"/>
              </w:rPr>
              <w:t>250.00</w:t>
            </w:r>
          </w:p>
        </w:tc>
        <w:tc>
          <w:tcPr>
            <w:tcW w:type="dxa" w:w="1512"/>
          </w:tcPr>
          <w:p>
            <w:pPr>
              <w:spacing w:after="40"/>
            </w:pPr>
            <w:r>
              <w:rPr>
                <w:b w:val="0"/>
                <w:color w:val="1A1A1A"/>
                <w:sz w:val="18"/>
              </w:rPr>
              <w:t>250.00</w:t>
            </w:r>
          </w:p>
        </w:tc>
        <w:tc>
          <w:tcPr>
            <w:tcW w:type="dxa" w:w="4363"/>
          </w:tcPr>
          <w:p>
            <w:pPr>
              <w:spacing w:after="40"/>
            </w:pPr>
            <w:r>
              <w:rPr>
                <w:b w:val="0"/>
                <w:color w:val="1A1A1A"/>
                <w:sz w:val="18"/>
              </w:rPr>
              <w:t>Not previously found against the company. Standard 6.2.</w:t>
            </w:r>
          </w:p>
        </w:tc>
      </w:tr>
      <w:tr>
        <w:tc>
          <w:tcPr>
            <w:tcW w:type="dxa" w:w="1037"/>
          </w:tcPr>
          <w:p>
            <w:pPr>
              <w:spacing w:after="40"/>
            </w:pPr>
            <w:r>
              <w:rPr>
                <w:b w:val="0"/>
                <w:color w:val="1A1A1A"/>
                <w:sz w:val="18"/>
              </w:rPr>
              <w:t>4.5</w:t>
            </w:r>
          </w:p>
        </w:tc>
        <w:tc>
          <w:tcPr>
            <w:tcW w:type="dxa" w:w="1224"/>
          </w:tcPr>
          <w:p>
            <w:pPr>
              <w:spacing w:after="40"/>
            </w:pPr>
            <w:r>
              <w:rPr>
                <w:b w:val="0"/>
                <w:color w:val="1A1A1A"/>
                <w:sz w:val="18"/>
              </w:rPr>
              <w:t>3</w:t>
            </w:r>
          </w:p>
        </w:tc>
        <w:tc>
          <w:tcPr>
            <w:tcW w:type="dxa" w:w="1512"/>
          </w:tcPr>
          <w:p>
            <w:pPr>
              <w:spacing w:after="40"/>
            </w:pPr>
            <w:r>
              <w:rPr>
                <w:b w:val="0"/>
                <w:color w:val="1A1A1A"/>
                <w:sz w:val="18"/>
              </w:rPr>
              <w:t>250.00</w:t>
            </w:r>
          </w:p>
        </w:tc>
        <w:tc>
          <w:tcPr>
            <w:tcW w:type="dxa" w:w="1512"/>
          </w:tcPr>
          <w:p>
            <w:pPr>
              <w:spacing w:after="40"/>
            </w:pPr>
            <w:r>
              <w:rPr>
                <w:b w:val="0"/>
                <w:color w:val="1A1A1A"/>
                <w:sz w:val="18"/>
              </w:rPr>
              <w:t>750.00</w:t>
            </w:r>
          </w:p>
        </w:tc>
        <w:tc>
          <w:tcPr>
            <w:tcW w:type="dxa" w:w="4363"/>
          </w:tcPr>
          <w:p>
            <w:pPr>
              <w:spacing w:after="40"/>
            </w:pPr>
            <w:r>
              <w:rPr>
                <w:b w:val="0"/>
                <w:color w:val="1A1A1A"/>
                <w:sz w:val="18"/>
              </w:rPr>
              <w:t>Not previously found against the company. Standard 6.2.</w:t>
            </w:r>
          </w:p>
        </w:tc>
      </w:tr>
      <w:tr>
        <w:tc>
          <w:tcPr>
            <w:tcW w:type="dxa" w:w="1037"/>
          </w:tcPr>
          <w:p>
            <w:pPr>
              <w:spacing w:after="40"/>
            </w:pPr>
            <w:r>
              <w:rPr>
                <w:b w:val="0"/>
                <w:color w:val="1A1A1A"/>
                <w:sz w:val="18"/>
              </w:rPr>
              <w:t>5.1</w:t>
            </w:r>
          </w:p>
        </w:tc>
        <w:tc>
          <w:tcPr>
            <w:tcW w:type="dxa" w:w="1224"/>
          </w:tcPr>
          <w:p>
            <w:pPr>
              <w:spacing w:after="40"/>
            </w:pPr>
            <w:r>
              <w:rPr>
                <w:b w:val="0"/>
                <w:color w:val="1A1A1A"/>
                <w:sz w:val="18"/>
              </w:rPr>
              <w:t>2</w:t>
            </w:r>
          </w:p>
        </w:tc>
        <w:tc>
          <w:tcPr>
            <w:tcW w:type="dxa" w:w="1512"/>
          </w:tcPr>
          <w:p>
            <w:pPr>
              <w:spacing w:after="40"/>
            </w:pPr>
            <w:r>
              <w:rPr>
                <w:b w:val="0"/>
                <w:color w:val="1A1A1A"/>
                <w:sz w:val="18"/>
              </w:rPr>
              <w:t>250.00</w:t>
            </w:r>
          </w:p>
        </w:tc>
        <w:tc>
          <w:tcPr>
            <w:tcW w:type="dxa" w:w="1512"/>
          </w:tcPr>
          <w:p>
            <w:pPr>
              <w:spacing w:after="40"/>
            </w:pPr>
            <w:r>
              <w:rPr>
                <w:b w:val="0"/>
                <w:color w:val="1A1A1A"/>
                <w:sz w:val="18"/>
              </w:rPr>
              <w:t>500.00</w:t>
            </w:r>
          </w:p>
        </w:tc>
        <w:tc>
          <w:tcPr>
            <w:tcW w:type="dxa" w:w="4363"/>
          </w:tcPr>
          <w:p>
            <w:pPr>
              <w:spacing w:after="40"/>
            </w:pPr>
            <w:r>
              <w:rPr>
                <w:b w:val="0"/>
                <w:color w:val="1A1A1A"/>
                <w:sz w:val="18"/>
              </w:rPr>
              <w:t>Not previously found against the company. Standard 6.2.</w:t>
            </w:r>
          </w:p>
        </w:tc>
      </w:tr>
      <w:tr>
        <w:tc>
          <w:tcPr>
            <w:tcW w:type="dxa" w:w="1037"/>
          </w:tcPr>
          <w:p>
            <w:pPr>
              <w:spacing w:after="40"/>
            </w:pPr>
            <w:r>
              <w:rPr>
                <w:b w:val="0"/>
                <w:color w:val="1A1A1A"/>
                <w:sz w:val="18"/>
              </w:rPr>
              <w:t>Total</w:t>
            </w:r>
          </w:p>
        </w:tc>
        <w:tc>
          <w:tcPr>
            <w:tcW w:type="dxa" w:w="1224"/>
          </w:tcPr>
          <w:p>
            <w:pPr>
              <w:spacing w:after="40"/>
            </w:pPr>
            <w:r>
              <w:rPr>
                <w:b w:val="0"/>
                <w:color w:val="1A1A1A"/>
                <w:sz w:val="18"/>
              </w:rPr>
              <w:t>11</w:t>
            </w:r>
          </w:p>
        </w:tc>
        <w:tc>
          <w:tcPr>
            <w:tcW w:type="dxa" w:w="1512"/>
          </w:tcPr>
          <w:p>
            <w:pPr>
              <w:spacing w:after="40"/>
            </w:pPr>
            <w:r>
              <w:rPr>
                <w:b w:val="0"/>
                <w:color w:val="1A1A1A"/>
                <w:sz w:val="18"/>
              </w:rPr>
            </w:r>
          </w:p>
        </w:tc>
        <w:tc>
          <w:tcPr>
            <w:tcW w:type="dxa" w:w="1512"/>
          </w:tcPr>
          <w:p>
            <w:pPr>
              <w:spacing w:after="40"/>
            </w:pPr>
            <w:r>
              <w:rPr>
                <w:b w:val="0"/>
                <w:color w:val="1A1A1A"/>
                <w:sz w:val="18"/>
              </w:rPr>
              <w:t>4,250.00</w:t>
            </w:r>
          </w:p>
        </w:tc>
        <w:tc>
          <w:tcPr>
            <w:tcW w:type="dxa" w:w="4363"/>
          </w:tcPr>
          <w:p>
            <w:pPr>
              <w:spacing w:after="40"/>
            </w:pPr>
            <w:r>
              <w:rPr>
                <w:b w:val="0"/>
                <w:color w:val="1A1A1A"/>
                <w:sz w:val="18"/>
              </w:rPr>
            </w:r>
          </w:p>
        </w:tc>
      </w:tr>
    </w:tbl>
    <w:p>
      <w:pPr>
        <w:spacing w:after="120" w:before="120"/>
      </w:pPr>
      <w:r>
        <w:rPr>
          <w:b w:val="0"/>
          <w:i w:val="0"/>
          <w:color w:val="1A1A1A"/>
          <w:sz w:val="20"/>
        </w:rPr>
        <w:t>The penalty is computed on the number of exceptions and not on the error rate, as 6.1 requires. Standard 4.5 carries three exceptions and 4.4 carries one, and the rate is the same on both because neither was found in the previous examination, although the error rate on 4.5 is 50.00 percent and on 4.4 is 33.33 percent.</w:t>
      </w:r>
    </w:p>
    <w:p>
      <w:pPr>
        <w:spacing w:after="100" w:before="280"/>
      </w:pPr>
      <w:r>
        <w:rPr>
          <w:b/>
          <w:i w:val="0"/>
          <w:color w:val="1A1A1A"/>
          <w:sz w:val="22"/>
        </w:rPr>
        <w:t>Restitution</w:t>
      </w:r>
    </w:p>
    <w:p>
      <w:pPr>
        <w:spacing w:after="120" w:before="0"/>
      </w:pPr>
      <w:r>
        <w:rPr>
          <w:b w:val="0"/>
          <w:i w:val="0"/>
          <w:color w:val="1A1A1A"/>
          <w:sz w:val="20"/>
        </w:rPr>
        <w:t>Three total loss settlements were paid without the sales tax, the title and registration fee, or both. The company pays the difference with interest at ten percent simple from the day it paid to the day of this report, on a basis of three hundred and sixty five days, under 6.4.</w:t>
      </w:r>
    </w:p>
    <w:p>
      <w:pPr>
        <w:spacing w:after="120" w:before="0"/>
      </w:pPr>
      <w:r>
        <w:rPr>
          <w:b w:val="0"/>
          <w:i w:val="0"/>
          <w:color w:val="1A1A1A"/>
          <w:sz w:val="20"/>
        </w:rPr>
        <w:t>A settlement on one of these files is the actual cash value, plus sales tax at seven and one half percent of that value, plus the title and registration fee of 42.50. Against that, CM-25-0207 was issued 14,382.00, which is the actual cash value and nothing else. CM-25-0498 was issued 10,475.88, which is short the fee alone. CM-25-0803 was issued 21,206.50, which is short the tax. The other three settlements were issued in full and are not in exception.</w:t>
      </w:r>
    </w:p>
    <w:tbl>
      <w:tblPr>
        <w:tblStyle w:val="TableGrid"/>
        <w:tblW w:type="auto" w:w="0"/>
        <w:jc w:val="left"/>
        <w:tblLook w:firstColumn="1" w:firstRow="1" w:lastColumn="0" w:lastRow="0" w:noHBand="0" w:noVBand="1" w:val="04A0"/>
      </w:tblPr>
      <w:tblGrid>
        <w:gridCol w:w="1378"/>
        <w:gridCol w:w="1378"/>
        <w:gridCol w:w="1378"/>
        <w:gridCol w:w="1378"/>
        <w:gridCol w:w="1378"/>
        <w:gridCol w:w="1378"/>
        <w:gridCol w:w="1378"/>
      </w:tblGrid>
      <w:tr>
        <w:tc>
          <w:tcPr>
            <w:tcW w:type="dxa" w:w="1368"/>
            <w:shd w:val="clear" w:color="auto" w:fill="D9D9D9"/>
          </w:tcPr>
          <w:p>
            <w:pPr>
              <w:spacing w:after="40"/>
            </w:pPr>
            <w:r>
              <w:rPr>
                <w:b/>
                <w:color w:val="1A1A1A"/>
                <w:sz w:val="18"/>
              </w:rPr>
              <w:t>File</w:t>
            </w:r>
          </w:p>
        </w:tc>
        <w:tc>
          <w:tcPr>
            <w:tcW w:type="dxa" w:w="1656"/>
            <w:shd w:val="clear" w:color="auto" w:fill="D9D9D9"/>
          </w:tcPr>
          <w:p>
            <w:pPr>
              <w:spacing w:after="40"/>
            </w:pPr>
            <w:r>
              <w:rPr>
                <w:b/>
                <w:color w:val="1A1A1A"/>
                <w:sz w:val="18"/>
              </w:rPr>
              <w:t>Actual cash value</w:t>
            </w:r>
          </w:p>
        </w:tc>
        <w:tc>
          <w:tcPr>
            <w:tcW w:type="dxa" w:w="1296"/>
            <w:shd w:val="clear" w:color="auto" w:fill="D9D9D9"/>
          </w:tcPr>
          <w:p>
            <w:pPr>
              <w:spacing w:after="40"/>
            </w:pPr>
            <w:r>
              <w:rPr>
                <w:b/>
                <w:color w:val="1A1A1A"/>
                <w:sz w:val="18"/>
              </w:rPr>
              <w:t>Underpaid</w:t>
            </w:r>
          </w:p>
        </w:tc>
        <w:tc>
          <w:tcPr>
            <w:tcW w:type="dxa" w:w="1296"/>
            <w:shd w:val="clear" w:color="auto" w:fill="D9D9D9"/>
          </w:tcPr>
          <w:p>
            <w:pPr>
              <w:spacing w:after="40"/>
            </w:pPr>
            <w:r>
              <w:rPr>
                <w:b/>
                <w:color w:val="1A1A1A"/>
                <w:sz w:val="18"/>
              </w:rPr>
              <w:t>Paid on</w:t>
            </w:r>
          </w:p>
        </w:tc>
        <w:tc>
          <w:tcPr>
            <w:tcW w:type="dxa" w:w="792"/>
            <w:shd w:val="clear" w:color="auto" w:fill="D9D9D9"/>
          </w:tcPr>
          <w:p>
            <w:pPr>
              <w:spacing w:after="40"/>
            </w:pPr>
            <w:r>
              <w:rPr>
                <w:b/>
                <w:color w:val="1A1A1A"/>
                <w:sz w:val="18"/>
              </w:rPr>
              <w:t>Days</w:t>
            </w:r>
          </w:p>
        </w:tc>
        <w:tc>
          <w:tcPr>
            <w:tcW w:type="dxa" w:w="1224"/>
            <w:shd w:val="clear" w:color="auto" w:fill="D9D9D9"/>
          </w:tcPr>
          <w:p>
            <w:pPr>
              <w:spacing w:after="40"/>
            </w:pPr>
            <w:r>
              <w:rPr>
                <w:b/>
                <w:color w:val="1A1A1A"/>
                <w:sz w:val="18"/>
              </w:rPr>
              <w:t>Interest</w:t>
            </w:r>
          </w:p>
        </w:tc>
        <w:tc>
          <w:tcPr>
            <w:tcW w:type="dxa" w:w="2016"/>
            <w:shd w:val="clear" w:color="auto" w:fill="D9D9D9"/>
          </w:tcPr>
          <w:p>
            <w:pPr>
              <w:spacing w:after="40"/>
            </w:pPr>
            <w:r>
              <w:rPr>
                <w:b/>
                <w:color w:val="1A1A1A"/>
                <w:sz w:val="18"/>
              </w:rPr>
              <w:t>Owed</w:t>
            </w:r>
          </w:p>
        </w:tc>
      </w:tr>
      <w:tr>
        <w:tc>
          <w:tcPr>
            <w:tcW w:type="dxa" w:w="1368"/>
          </w:tcPr>
          <w:p>
            <w:pPr>
              <w:spacing w:after="40"/>
            </w:pPr>
            <w:r>
              <w:rPr>
                <w:b w:val="0"/>
                <w:color w:val="1A1A1A"/>
                <w:sz w:val="18"/>
              </w:rPr>
              <w:t>CM-25-0207</w:t>
            </w:r>
          </w:p>
        </w:tc>
        <w:tc>
          <w:tcPr>
            <w:tcW w:type="dxa" w:w="1656"/>
          </w:tcPr>
          <w:p>
            <w:pPr>
              <w:spacing w:after="40"/>
            </w:pPr>
            <w:r>
              <w:rPr>
                <w:b w:val="0"/>
                <w:color w:val="1A1A1A"/>
                <w:sz w:val="18"/>
              </w:rPr>
              <w:t>14,382.00</w:t>
            </w:r>
          </w:p>
        </w:tc>
        <w:tc>
          <w:tcPr>
            <w:tcW w:type="dxa" w:w="1296"/>
          </w:tcPr>
          <w:p>
            <w:pPr>
              <w:spacing w:after="40"/>
            </w:pPr>
            <w:r>
              <w:rPr>
                <w:b w:val="0"/>
                <w:color w:val="1A1A1A"/>
                <w:sz w:val="18"/>
              </w:rPr>
              <w:t>1,121.15</w:t>
            </w:r>
          </w:p>
        </w:tc>
        <w:tc>
          <w:tcPr>
            <w:tcW w:type="dxa" w:w="1296"/>
          </w:tcPr>
          <w:p>
            <w:pPr>
              <w:spacing w:after="40"/>
            </w:pPr>
            <w:r>
              <w:rPr>
                <w:b w:val="0"/>
                <w:color w:val="1A1A1A"/>
                <w:sz w:val="18"/>
              </w:rPr>
              <w:t>03/25/2025</w:t>
            </w:r>
          </w:p>
        </w:tc>
        <w:tc>
          <w:tcPr>
            <w:tcW w:type="dxa" w:w="792"/>
          </w:tcPr>
          <w:p>
            <w:pPr>
              <w:spacing w:after="40"/>
            </w:pPr>
            <w:r>
              <w:rPr>
                <w:b w:val="0"/>
                <w:color w:val="1A1A1A"/>
                <w:sz w:val="18"/>
              </w:rPr>
              <w:t>352</w:t>
            </w:r>
          </w:p>
        </w:tc>
        <w:tc>
          <w:tcPr>
            <w:tcW w:type="dxa" w:w="1224"/>
          </w:tcPr>
          <w:p>
            <w:pPr>
              <w:spacing w:after="40"/>
            </w:pPr>
            <w:r>
              <w:rPr>
                <w:b w:val="0"/>
                <w:color w:val="1A1A1A"/>
                <w:sz w:val="18"/>
              </w:rPr>
              <w:t>108.12</w:t>
            </w:r>
          </w:p>
        </w:tc>
        <w:tc>
          <w:tcPr>
            <w:tcW w:type="dxa" w:w="2016"/>
          </w:tcPr>
          <w:p>
            <w:pPr>
              <w:spacing w:after="40"/>
            </w:pPr>
            <w:r>
              <w:rPr>
                <w:b w:val="0"/>
                <w:color w:val="1A1A1A"/>
                <w:sz w:val="18"/>
              </w:rPr>
              <w:t>1,229.27</w:t>
            </w:r>
          </w:p>
        </w:tc>
      </w:tr>
      <w:tr>
        <w:tc>
          <w:tcPr>
            <w:tcW w:type="dxa" w:w="1368"/>
          </w:tcPr>
          <w:p>
            <w:pPr>
              <w:spacing w:after="40"/>
            </w:pPr>
            <w:r>
              <w:rPr>
                <w:b w:val="0"/>
                <w:color w:val="1A1A1A"/>
                <w:sz w:val="18"/>
              </w:rPr>
              <w:t>CM-25-0498</w:t>
            </w:r>
          </w:p>
        </w:tc>
        <w:tc>
          <w:tcPr>
            <w:tcW w:type="dxa" w:w="1656"/>
          </w:tcPr>
          <w:p>
            <w:pPr>
              <w:spacing w:after="40"/>
            </w:pPr>
            <w:r>
              <w:rPr>
                <w:b w:val="0"/>
                <w:color w:val="1A1A1A"/>
                <w:sz w:val="18"/>
              </w:rPr>
              <w:t>9,745.00</w:t>
            </w:r>
          </w:p>
        </w:tc>
        <w:tc>
          <w:tcPr>
            <w:tcW w:type="dxa" w:w="1296"/>
          </w:tcPr>
          <w:p>
            <w:pPr>
              <w:spacing w:after="40"/>
            </w:pPr>
            <w:r>
              <w:rPr>
                <w:b w:val="0"/>
                <w:color w:val="1A1A1A"/>
                <w:sz w:val="18"/>
              </w:rPr>
              <w:t>42.50</w:t>
            </w:r>
          </w:p>
        </w:tc>
        <w:tc>
          <w:tcPr>
            <w:tcW w:type="dxa" w:w="1296"/>
          </w:tcPr>
          <w:p>
            <w:pPr>
              <w:spacing w:after="40"/>
            </w:pPr>
            <w:r>
              <w:rPr>
                <w:b w:val="0"/>
                <w:color w:val="1A1A1A"/>
                <w:sz w:val="18"/>
              </w:rPr>
              <w:t>07/02/2025</w:t>
            </w:r>
          </w:p>
        </w:tc>
        <w:tc>
          <w:tcPr>
            <w:tcW w:type="dxa" w:w="792"/>
          </w:tcPr>
          <w:p>
            <w:pPr>
              <w:spacing w:after="40"/>
            </w:pPr>
            <w:r>
              <w:rPr>
                <w:b w:val="0"/>
                <w:color w:val="1A1A1A"/>
                <w:sz w:val="18"/>
              </w:rPr>
              <w:t>253</w:t>
            </w:r>
          </w:p>
        </w:tc>
        <w:tc>
          <w:tcPr>
            <w:tcW w:type="dxa" w:w="1224"/>
          </w:tcPr>
          <w:p>
            <w:pPr>
              <w:spacing w:after="40"/>
            </w:pPr>
            <w:r>
              <w:rPr>
                <w:b w:val="0"/>
                <w:color w:val="1A1A1A"/>
                <w:sz w:val="18"/>
              </w:rPr>
              <w:t>2.95</w:t>
            </w:r>
          </w:p>
        </w:tc>
        <w:tc>
          <w:tcPr>
            <w:tcW w:type="dxa" w:w="2016"/>
          </w:tcPr>
          <w:p>
            <w:pPr>
              <w:spacing w:after="40"/>
            </w:pPr>
            <w:r>
              <w:rPr>
                <w:b w:val="0"/>
                <w:color w:val="1A1A1A"/>
                <w:sz w:val="18"/>
              </w:rPr>
              <w:t>45.45</w:t>
            </w:r>
          </w:p>
        </w:tc>
      </w:tr>
      <w:tr>
        <w:tc>
          <w:tcPr>
            <w:tcW w:type="dxa" w:w="1368"/>
          </w:tcPr>
          <w:p>
            <w:pPr>
              <w:spacing w:after="40"/>
            </w:pPr>
            <w:r>
              <w:rPr>
                <w:b w:val="0"/>
                <w:color w:val="1A1A1A"/>
                <w:sz w:val="18"/>
              </w:rPr>
              <w:t>CM-25-0803</w:t>
            </w:r>
          </w:p>
        </w:tc>
        <w:tc>
          <w:tcPr>
            <w:tcW w:type="dxa" w:w="1656"/>
          </w:tcPr>
          <w:p>
            <w:pPr>
              <w:spacing w:after="40"/>
            </w:pPr>
            <w:r>
              <w:rPr>
                <w:b w:val="0"/>
                <w:color w:val="1A1A1A"/>
                <w:sz w:val="18"/>
              </w:rPr>
              <w:t>21,164.00</w:t>
            </w:r>
          </w:p>
        </w:tc>
        <w:tc>
          <w:tcPr>
            <w:tcW w:type="dxa" w:w="1296"/>
          </w:tcPr>
          <w:p>
            <w:pPr>
              <w:spacing w:after="40"/>
            </w:pPr>
            <w:r>
              <w:rPr>
                <w:b w:val="0"/>
                <w:color w:val="1A1A1A"/>
                <w:sz w:val="18"/>
              </w:rPr>
              <w:t>1,587.30</w:t>
            </w:r>
          </w:p>
        </w:tc>
        <w:tc>
          <w:tcPr>
            <w:tcW w:type="dxa" w:w="1296"/>
          </w:tcPr>
          <w:p>
            <w:pPr>
              <w:spacing w:after="40"/>
            </w:pPr>
            <w:r>
              <w:rPr>
                <w:b w:val="0"/>
                <w:color w:val="1A1A1A"/>
                <w:sz w:val="18"/>
              </w:rPr>
              <w:t>10/29/2025</w:t>
            </w:r>
          </w:p>
        </w:tc>
        <w:tc>
          <w:tcPr>
            <w:tcW w:type="dxa" w:w="792"/>
          </w:tcPr>
          <w:p>
            <w:pPr>
              <w:spacing w:after="40"/>
            </w:pPr>
            <w:r>
              <w:rPr>
                <w:b w:val="0"/>
                <w:color w:val="1A1A1A"/>
                <w:sz w:val="18"/>
              </w:rPr>
              <w:t>134</w:t>
            </w:r>
          </w:p>
        </w:tc>
        <w:tc>
          <w:tcPr>
            <w:tcW w:type="dxa" w:w="1224"/>
          </w:tcPr>
          <w:p>
            <w:pPr>
              <w:spacing w:after="40"/>
            </w:pPr>
            <w:r>
              <w:rPr>
                <w:b w:val="0"/>
                <w:color w:val="1A1A1A"/>
                <w:sz w:val="18"/>
              </w:rPr>
              <w:t>58.27</w:t>
            </w:r>
          </w:p>
        </w:tc>
        <w:tc>
          <w:tcPr>
            <w:tcW w:type="dxa" w:w="2016"/>
          </w:tcPr>
          <w:p>
            <w:pPr>
              <w:spacing w:after="40"/>
            </w:pPr>
            <w:r>
              <w:rPr>
                <w:b w:val="0"/>
                <w:color w:val="1A1A1A"/>
                <w:sz w:val="18"/>
              </w:rPr>
              <w:t>1,645.57</w:t>
            </w:r>
          </w:p>
        </w:tc>
      </w:tr>
      <w:tr>
        <w:tc>
          <w:tcPr>
            <w:tcW w:type="dxa" w:w="1368"/>
          </w:tcPr>
          <w:p>
            <w:pPr>
              <w:spacing w:after="40"/>
            </w:pPr>
            <w:r>
              <w:rPr>
                <w:b w:val="0"/>
                <w:color w:val="1A1A1A"/>
                <w:sz w:val="18"/>
              </w:rPr>
              <w:t>Total</w:t>
            </w:r>
          </w:p>
        </w:tc>
        <w:tc>
          <w:tcPr>
            <w:tcW w:type="dxa" w:w="1656"/>
          </w:tcPr>
          <w:p>
            <w:pPr>
              <w:spacing w:after="40"/>
            </w:pPr>
            <w:r>
              <w:rPr>
                <w:b w:val="0"/>
                <w:color w:val="1A1A1A"/>
                <w:sz w:val="18"/>
              </w:rPr>
            </w:r>
          </w:p>
        </w:tc>
        <w:tc>
          <w:tcPr>
            <w:tcW w:type="dxa" w:w="1296"/>
          </w:tcPr>
          <w:p>
            <w:pPr>
              <w:spacing w:after="40"/>
            </w:pPr>
            <w:r>
              <w:rPr>
                <w:b w:val="0"/>
                <w:color w:val="1A1A1A"/>
                <w:sz w:val="18"/>
              </w:rPr>
              <w:t>2,750.95</w:t>
            </w:r>
          </w:p>
        </w:tc>
        <w:tc>
          <w:tcPr>
            <w:tcW w:type="dxa" w:w="1296"/>
          </w:tcPr>
          <w:p>
            <w:pPr>
              <w:spacing w:after="40"/>
            </w:pPr>
            <w:r>
              <w:rPr>
                <w:b w:val="0"/>
                <w:color w:val="1A1A1A"/>
                <w:sz w:val="18"/>
              </w:rPr>
            </w:r>
          </w:p>
        </w:tc>
        <w:tc>
          <w:tcPr>
            <w:tcW w:type="dxa" w:w="792"/>
          </w:tcPr>
          <w:p>
            <w:pPr>
              <w:spacing w:after="40"/>
            </w:pPr>
            <w:r>
              <w:rPr>
                <w:b w:val="0"/>
                <w:color w:val="1A1A1A"/>
                <w:sz w:val="18"/>
              </w:rPr>
            </w:r>
          </w:p>
        </w:tc>
        <w:tc>
          <w:tcPr>
            <w:tcW w:type="dxa" w:w="1224"/>
          </w:tcPr>
          <w:p>
            <w:pPr>
              <w:spacing w:after="40"/>
            </w:pPr>
            <w:r>
              <w:rPr>
                <w:b w:val="0"/>
                <w:color w:val="1A1A1A"/>
                <w:sz w:val="18"/>
              </w:rPr>
              <w:t>169.34</w:t>
            </w:r>
          </w:p>
        </w:tc>
        <w:tc>
          <w:tcPr>
            <w:tcW w:type="dxa" w:w="2016"/>
          </w:tcPr>
          <w:p>
            <w:pPr>
              <w:spacing w:after="40"/>
            </w:pPr>
            <w:r>
              <w:rPr>
                <w:b w:val="0"/>
                <w:color w:val="1A1A1A"/>
                <w:sz w:val="18"/>
              </w:rPr>
              <w:t>2,920.29</w:t>
            </w:r>
          </w:p>
        </w:tc>
      </w:tr>
    </w:tbl>
    <w:p>
      <w:pPr>
        <w:spacing w:after="120" w:before="120"/>
      </w:pPr>
      <w:r>
        <w:rPr>
          <w:b w:val="0"/>
          <w:i w:val="0"/>
          <w:color w:val="1A1A1A"/>
          <w:sz w:val="20"/>
        </w:rPr>
        <w:t>The 42.50 owed on file CM-25-0498 is the title and registration fee alone. Standard 6.5 does not permit it to be disregarded for its size.</w:t>
      </w:r>
    </w:p>
    <w:p>
      <w:pPr>
        <w:spacing w:after="100" w:before="280"/>
      </w:pPr>
      <w:r>
        <w:rPr>
          <w:b/>
          <w:i w:val="0"/>
          <w:color w:val="1A1A1A"/>
          <w:sz w:val="22"/>
        </w:rPr>
        <w:t>What the company must do, and by when</w:t>
      </w:r>
    </w:p>
    <w:tbl>
      <w:tblPr>
        <w:tblStyle w:val="TableGrid"/>
        <w:tblW w:type="auto" w:w="0"/>
        <w:jc w:val="left"/>
        <w:tblLook w:firstColumn="1" w:firstRow="1" w:lastColumn="0" w:lastRow="0" w:noHBand="0" w:noVBand="1" w:val="04A0"/>
      </w:tblPr>
      <w:tblGrid>
        <w:gridCol w:w="3216"/>
        <w:gridCol w:w="3216"/>
        <w:gridCol w:w="3216"/>
      </w:tblGrid>
      <w:tr>
        <w:tc>
          <w:tcPr>
            <w:tcW w:type="dxa" w:w="5904"/>
            <w:shd w:val="clear" w:color="auto" w:fill="D9D9D9"/>
          </w:tcPr>
          <w:p>
            <w:pPr>
              <w:spacing w:after="40"/>
            </w:pPr>
            <w:r>
              <w:rPr>
                <w:b/>
                <w:color w:val="1A1A1A"/>
                <w:sz w:val="18"/>
              </w:rPr>
              <w:t>What</w:t>
            </w:r>
          </w:p>
        </w:tc>
        <w:tc>
          <w:tcPr>
            <w:tcW w:type="dxa" w:w="1296"/>
            <w:shd w:val="clear" w:color="auto" w:fill="D9D9D9"/>
          </w:tcPr>
          <w:p>
            <w:pPr>
              <w:spacing w:after="40"/>
            </w:pPr>
            <w:r>
              <w:rPr>
                <w:b/>
                <w:color w:val="1A1A1A"/>
                <w:sz w:val="18"/>
              </w:rPr>
              <w:t>Standard</w:t>
            </w:r>
          </w:p>
        </w:tc>
        <w:tc>
          <w:tcPr>
            <w:tcW w:type="dxa" w:w="2448"/>
            <w:shd w:val="clear" w:color="auto" w:fill="D9D9D9"/>
          </w:tcPr>
          <w:p>
            <w:pPr>
              <w:spacing w:after="40"/>
            </w:pPr>
            <w:r>
              <w:rPr>
                <w:b/>
                <w:color w:val="1A1A1A"/>
                <w:sz w:val="18"/>
              </w:rPr>
              <w:t>By when</w:t>
            </w:r>
          </w:p>
        </w:tc>
      </w:tr>
      <w:tr>
        <w:tc>
          <w:tcPr>
            <w:tcW w:type="dxa" w:w="5904"/>
          </w:tcPr>
          <w:p>
            <w:pPr>
              <w:spacing w:after="40"/>
            </w:pPr>
            <w:r>
              <w:rPr>
                <w:b w:val="0"/>
                <w:color w:val="1A1A1A"/>
                <w:sz w:val="18"/>
              </w:rPr>
              <w:t>Pay restitution of 2,920.29 to the three policyholders named in the table above, each with the interest shown against that file. The money goes to the claimant and not to the Division.</w:t>
            </w:r>
          </w:p>
        </w:tc>
        <w:tc>
          <w:tcPr>
            <w:tcW w:type="dxa" w:w="1296"/>
          </w:tcPr>
          <w:p>
            <w:pPr>
              <w:spacing w:after="40"/>
            </w:pPr>
            <w:r>
              <w:rPr>
                <w:b w:val="0"/>
                <w:color w:val="1A1A1A"/>
                <w:sz w:val="18"/>
              </w:rPr>
              <w:t>6.4</w:t>
            </w:r>
          </w:p>
        </w:tc>
        <w:tc>
          <w:tcPr>
            <w:tcW w:type="dxa" w:w="2448"/>
          </w:tcPr>
          <w:p>
            <w:pPr>
              <w:spacing w:after="40"/>
            </w:pPr>
            <w:r>
              <w:rPr>
                <w:b w:val="0"/>
                <w:color w:val="1A1A1A"/>
                <w:sz w:val="18"/>
              </w:rPr>
              <w:t>MC-9 fixes no period. The order adopting this report fixes the date.</w:t>
            </w:r>
          </w:p>
        </w:tc>
      </w:tr>
      <w:tr>
        <w:tc>
          <w:tcPr>
            <w:tcW w:type="dxa" w:w="5904"/>
          </w:tcPr>
          <w:p>
            <w:pPr>
              <w:spacing w:after="40"/>
            </w:pPr>
            <w:r>
              <w:rPr>
                <w:b w:val="0"/>
                <w:color w:val="1A1A1A"/>
                <w:sz w:val="18"/>
              </w:rPr>
              <w:t>Pay the penalty of 4,250.00 to the Division</w:t>
            </w:r>
          </w:p>
        </w:tc>
        <w:tc>
          <w:tcPr>
            <w:tcW w:type="dxa" w:w="1296"/>
          </w:tcPr>
          <w:p>
            <w:pPr>
              <w:spacing w:after="40"/>
            </w:pPr>
            <w:r>
              <w:rPr>
                <w:b w:val="0"/>
                <w:color w:val="1A1A1A"/>
                <w:sz w:val="18"/>
              </w:rPr>
              <w:t>6.1</w:t>
            </w:r>
          </w:p>
        </w:tc>
        <w:tc>
          <w:tcPr>
            <w:tcW w:type="dxa" w:w="2448"/>
          </w:tcPr>
          <w:p>
            <w:pPr>
              <w:spacing w:after="40"/>
            </w:pPr>
            <w:r>
              <w:rPr>
                <w:b w:val="0"/>
                <w:color w:val="1A1A1A"/>
                <w:sz w:val="18"/>
              </w:rPr>
              <w:t>MC-9 fixes no period, and no penalty falls due until the report is adopted. The order fixes the date.</w:t>
            </w:r>
          </w:p>
        </w:tc>
      </w:tr>
      <w:tr>
        <w:tc>
          <w:tcPr>
            <w:tcW w:type="dxa" w:w="5904"/>
          </w:tcPr>
          <w:p>
            <w:pPr>
              <w:spacing w:after="40"/>
            </w:pPr>
            <w:r>
              <w:rPr>
                <w:b w:val="0"/>
                <w:color w:val="1A1A1A"/>
                <w:sz w:val="18"/>
              </w:rPr>
              <w:t>File a corrective action plan for each of the five standards found</w:t>
            </w:r>
          </w:p>
        </w:tc>
        <w:tc>
          <w:tcPr>
            <w:tcW w:type="dxa" w:w="1296"/>
          </w:tcPr>
          <w:p>
            <w:pPr>
              <w:spacing w:after="40"/>
            </w:pPr>
            <w:r>
              <w:rPr>
                <w:b w:val="0"/>
                <w:color w:val="1A1A1A"/>
                <w:sz w:val="18"/>
              </w:rPr>
              <w:t>6.6</w:t>
            </w:r>
          </w:p>
        </w:tc>
        <w:tc>
          <w:tcPr>
            <w:tcW w:type="dxa" w:w="2448"/>
          </w:tcPr>
          <w:p>
            <w:pPr>
              <w:spacing w:after="40"/>
            </w:pPr>
            <w:r>
              <w:rPr>
                <w:b w:val="0"/>
                <w:color w:val="1A1A1A"/>
                <w:sz w:val="18"/>
              </w:rPr>
              <w:t>MC-9 fixes no period. The order adopting this report fixes the date, as the order on the 2021 examination did.</w:t>
            </w:r>
          </w:p>
        </w:tc>
      </w:tr>
      <w:tr>
        <w:tc>
          <w:tcPr>
            <w:tcW w:type="dxa" w:w="5904"/>
          </w:tcPr>
          <w:p>
            <w:pPr>
              <w:spacing w:after="40"/>
            </w:pPr>
            <w:r>
              <w:rPr>
                <w:b w:val="0"/>
                <w:color w:val="1A1A1A"/>
                <w:sz w:val="18"/>
              </w:rPr>
              <w:t>Enter in the complaint register the two complaints the Division forwarded and the register omits</w:t>
            </w:r>
          </w:p>
        </w:tc>
        <w:tc>
          <w:tcPr>
            <w:tcW w:type="dxa" w:w="1296"/>
          </w:tcPr>
          <w:p>
            <w:pPr>
              <w:spacing w:after="40"/>
            </w:pPr>
            <w:r>
              <w:rPr>
                <w:b w:val="0"/>
                <w:color w:val="1A1A1A"/>
                <w:sz w:val="18"/>
              </w:rPr>
              <w:t>5.1</w:t>
            </w:r>
          </w:p>
        </w:tc>
        <w:tc>
          <w:tcPr>
            <w:tcW w:type="dxa" w:w="2448"/>
          </w:tcPr>
          <w:p>
            <w:pPr>
              <w:spacing w:after="40"/>
            </w:pPr>
            <w:r>
              <w:rPr>
                <w:b w:val="0"/>
                <w:color w:val="1A1A1A"/>
                <w:sz w:val="18"/>
              </w:rPr>
              <w:t>MC-9 fixes no period. The order adopting this report fixes the date.</w:t>
            </w:r>
          </w:p>
        </w:tc>
      </w:tr>
      <w:tr>
        <w:tc>
          <w:tcPr>
            <w:tcW w:type="dxa" w:w="5904"/>
          </w:tcPr>
          <w:p>
            <w:pPr>
              <w:spacing w:after="40"/>
            </w:pPr>
            <w:r>
              <w:rPr>
                <w:b w:val="0"/>
                <w:color w:val="1A1A1A"/>
                <w:sz w:val="18"/>
              </w:rPr>
              <w:t>Reconcile the register against the Division's record for the whole period and report what the reconciliation finds</w:t>
            </w:r>
          </w:p>
        </w:tc>
        <w:tc>
          <w:tcPr>
            <w:tcW w:type="dxa" w:w="1296"/>
          </w:tcPr>
          <w:p>
            <w:pPr>
              <w:spacing w:after="40"/>
            </w:pPr>
            <w:r>
              <w:rPr>
                <w:b w:val="0"/>
                <w:color w:val="1A1A1A"/>
                <w:sz w:val="18"/>
              </w:rPr>
              <w:t>5.2</w:t>
            </w:r>
          </w:p>
        </w:tc>
        <w:tc>
          <w:tcPr>
            <w:tcW w:type="dxa" w:w="2448"/>
          </w:tcPr>
          <w:p>
            <w:pPr>
              <w:spacing w:after="40"/>
            </w:pPr>
            <w:r>
              <w:rPr>
                <w:b w:val="0"/>
                <w:color w:val="1A1A1A"/>
                <w:sz w:val="18"/>
              </w:rPr>
              <w:t>MC-9 fixes no period. The order adopting this report fixes the date.</w:t>
            </w:r>
          </w:p>
        </w:tc>
      </w:tr>
    </w:tbl>
    <w:p>
      <w:pPr>
        <w:spacing w:after="120" w:before="120"/>
      </w:pPr>
      <w:r>
        <w:rPr>
          <w:b w:val="0"/>
          <w:i w:val="0"/>
          <w:color w:val="1A1A1A"/>
          <w:sz w:val="20"/>
        </w:rPr>
        <w:t>MC-9 6.6 requires the examiner to state what the company must do and by when. What must be done is in the table above. MC-9 fixes no period for any of it, the Division's file fixes none, and the examiner does not fix one: on the company's 2021 examination it was the Commissioner's order adopting the report that required a corrective action plan for each standard found and quarterly progress reports for four quarters, and the dates for what is required here fall to be fixed the same way. Nothing in this report should be read as allowing the company a period the order has not given it.</w:t>
      </w:r>
    </w:p>
    <w:p>
      <w:pPr>
        <w:spacing w:after="100" w:before="280"/>
      </w:pPr>
      <w:r>
        <w:rPr>
          <w:b/>
          <w:i w:val="0"/>
          <w:color w:val="1A1A1A"/>
          <w:sz w:val="22"/>
        </w:rPr>
        <w:t>What this examination does not settle</w:t>
      </w:r>
    </w:p>
    <w:p>
      <w:pPr>
        <w:spacing w:after="120" w:before="0"/>
      </w:pPr>
      <w:r>
        <w:rPr>
          <w:b w:val="0"/>
          <w:i w:val="0"/>
          <w:color w:val="1A1A1A"/>
          <w:sz w:val="20"/>
        </w:rPr>
        <w:t>The dates tested are the dates the company's own claim system holds. The Division has not tested that system and the report does not warrant that the dates in it are the dates on which the acts recorded actually happened. Where a date in the system is wrong the exception count on the standard it bears on would move with it.</w:t>
      </w:r>
    </w:p>
    <w:p>
      <w:pPr>
        <w:spacing w:after="120" w:before="0"/>
      </w:pPr>
      <w:r>
        <w:rPr>
          <w:b w:val="0"/>
          <w:i w:val="0"/>
          <w:color w:val="1A1A1A"/>
          <w:sz w:val="20"/>
        </w:rPr>
        <w:t>The examination reaches claims handling and nothing else. No underwriting, rating or policyholder service practice of the company has been examined, and nothing in this report should be read as a finding that any of them complies with anything.</w:t>
      </w:r>
    </w:p>
    <w:p>
      <w:pPr>
        <w:spacing w:after="120" w:before="0"/>
      </w:pPr>
      <w:r>
        <w:rPr>
          <w:b w:val="0"/>
          <w:i w:val="0"/>
          <w:color w:val="1A1A1A"/>
          <w:sz w:val="20"/>
        </w:rPr>
        <w:t>Whether the company received notice of any complaint the Division did not forward is outside this examination. Standard 5.1 measures the register against what the Division forwarded, and the Division's record of that is what governs under 5.2.</w:t>
      </w:r>
    </w:p>
    <w:p>
      <w:pPr>
        <w:spacing w:after="120" w:before="0"/>
      </w:pPr>
      <w:r>
        <w:rPr>
          <w:b w:val="0"/>
          <w:i w:val="0"/>
          <w:color w:val="1A1A1A"/>
          <w:sz w:val="20"/>
        </w:rPr>
        <w:t>The company produced the sample itself and represented the production complete. The Division has not audited it. A file the company did not produce would not appear in any denominator or in any exception above.</w:t>
      </w:r>
    </w:p>
    <w:p>
      <w:pPr>
        <w:spacing w:after="120" w:before="200"/>
      </w:pPr>
      <w:r>
        <w:rPr>
          <w:b w:val="0"/>
          <w:i w:val="0"/>
          <w:color w:val="1A1A1A"/>
          <w:sz w:val="19"/>
        </w:rPr>
        <w:t>D. Yoakum, market regulation, Kansas Insurance Department. 03/12/2026.</w:t>
      </w: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spacing w:before="0" w:after="0"/>
      <w:jc w:val="left"/>
    </w:pPr>
    <w:r>
      <w:rPr>
        <w:color w:val="4A4A4A"/>
        <w:sz w:val="15"/>
      </w:rPr>
      <w:t>Cottonwood Mutual Casualty Company, examination period 01/01/2025 to 12/31/2025</w:t>
      <w:tab/>
      <w:t xml:space="preserve">Page </w:t>
    </w:r>
    <w:r>
      <w:rPr>
        <w:color w:val="4A4A4A"/>
        <w:sz w:val="15"/>
      </w:rPr>
      <w:fldChar w:fldCharType="begin"/>
      <w:instrText xml:space="preserve"> PAGE </w:instrText>
      <w:fldChar w:fldCharType="end"/>
    </w:r>
    <w:r>
      <w:rPr>
        <w:color w:val="4A4A4A"/>
        <w:sz w:val="15"/>
      </w:rPr>
      <w:t xml:space="preserve"> of </w:t>
    </w:r>
    <w:r>
      <w:rPr>
        <w:color w:val="4A4A4A"/>
        <w:sz w:val="15"/>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808080"/>
      </w:pBdr>
      <w:tabs>
        <w:tab w:val="right" w:pos="9360"/>
      </w:tabs>
      <w:spacing w:before="0" w:after="0"/>
      <w:jc w:val="left"/>
    </w:pPr>
    <w:r>
      <w:rPr>
        <w:color w:val="4A4A4A"/>
        <w:sz w:val="15"/>
      </w:rPr>
      <w:t>Kansas Insurance Department, Market Regulation Division</w:t>
      <w:tab/>
      <w:t>Report of market conduct examination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creator>D. Yoakum</dc:creator>
  <dc:title>Report of market conduct examination, Cottonwood Mutual</dc:title>
  <dcterms:created xsi:type="dcterms:W3CDTF">2026-03-12T08:00:00Z</dcterms:created>
  <dcterms:modified xsi:type="dcterms:W3CDTF">2026-03-12T08:00:00Z</dcterms:modified>
  <cp:lastModifiedBy>D. Yoakum</cp:lastModifiedBy>
  <cp:revision>1</cp:revision>
</cp:coreProperties>
</file>