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Underwriting Memorandum: NovaMart Inc.</w:t>
      </w:r>
    </w:p>
    <w:p>
      <w:pPr>
        <w:pStyle w:val="Heading1"/>
      </w:pPr>
      <w:r>
        <w:t>1. Executive Summary</w:t>
      </w:r>
    </w:p>
    <w:p>
      <w:r>
        <w:t>Applicant: NovaMart Inc.</w:t>
      </w:r>
    </w:p>
    <w:p>
      <w:r>
        <w:t>Industry: Retail (NAICS 452112)</w:t>
      </w:r>
    </w:p>
    <w:p>
      <w:r>
        <w:t>Annual Revenue: $502,400,000</w:t>
      </w:r>
    </w:p>
    <w:p>
      <w:r>
        <w:t>Requested Limit: $15,000,000</w:t>
      </w:r>
    </w:p>
    <w:p>
      <w:r>
        <w:t>Recommendation: DECLINE</w:t>
      </w:r>
    </w:p>
    <w:p>
      <w:r>
        <w:t>Summary Justification: This risk represents a hard decline. The applicant is missing Endpoint Detection &amp; Response (EDR) on 2% of their endpoints (legacy barcode scanners) per the Ransomware Supplemental Questionnaire. Section 5 of the Underwriting Guidelines explicitly states that EDR is "Required for all endpoints. If missing, Decline," with no discretion to substitute a subjectivity clause or grace period. This EDR gap is, on its own, a mandatory, non-discretionary decline trigger. Separately, the perimeter scan identified an open Critical vulnerability (CVE-2023-4528) on the VPN appliance; under Section 6 that finding would independently permit either a decline or a 15-day remediation subjectivity, but because the file is already declined on the EDR trigger, that choice is moot. Per Section 8, no VP referral is required to close this file. The pricing analysis and further underwriting review completed below are strictly for file documentation and auditing purposes.</w:t>
      </w:r>
    </w:p>
    <w:p>
      <w:pPr>
        <w:pStyle w:val="Heading1"/>
      </w:pPr>
      <w:r>
        <w:t>2. Premium Calculation and Surcharge Analysis</w:t>
      </w:r>
    </w:p>
    <w:p>
      <w:r>
        <w:t>Base Premium Calculation: $25,120</w:t>
      </w:r>
    </w:p>
    <w:p>
      <w:r>
        <w:t>Rationale: The TTM revenue derived from the Financial Statements Summary is $502,400,000. Using the standard retail base rate of $0.05 per $1,000 in revenue, the base premium is calculated as follows: ($502,400,000 / 1000) * 0.05 = $25,120. The base premium is established at $25,120.</w:t>
      </w:r>
    </w:p>
    <w:p>
      <w:r>
        <w:t>Loss Run Surcharge Multiplier: 1.20x</w:t>
      </w:r>
    </w:p>
    <w:p>
      <w:r>
        <w:t>Rationale: The Loss Run History reveals one Cyber-classified claim within the 3-year lookback window: a 2025 ransomware claim (CLM-25-1102) totaling $650,000 paid. The 3-year window is measured from the October 1, 2026 desired effective date, meaning it runs from October 1, 2023 to present. The other Cyber-classified claim on file, CLM-23-4412 (a lost encrypted laptop dated January 15, 2023, totaling $7,500), falls before October 1, 2023 and is therefore excluded from the 3-year total. Per the revised Section 4 of the Underwriting Guidelines, the tiering calculation uses Cyber line-of-business claims only; non-cyber claims (e.g., the General Liability, Property, and Auto claims also in the loss run) are excluded regardless of date. Section 4 states that Cyber claims totaling $500,000 or more in the last 3 years require a 1.20x penalty multiplier. Because the in-window cyber-only total ($650,000) exceeds the $500,000 threshold, it warrants the maximum 1.20x loss penalty.</w:t>
      </w:r>
    </w:p>
    <w:p>
      <w:r>
        <w:t>Security Surcharge Multiplier: 1.25x</w:t>
      </w:r>
    </w:p>
    <w:p>
      <w:r>
        <w:t>Rationale: The Ransomware Supplemental App confirms that Multi-Factor Authentication (MFA) is missing for Third-Party/Contractor Remote Access. Per Section 5 of the underwriting guidelines, missing MFA on remote access mandates a 1.25x security surcharge multiplier. This is a critical gap given that third-party vendors often serve as the initial infection vector in modern retail ransomware deployments.</w:t>
      </w:r>
    </w:p>
    <w:p>
      <w:r>
        <w:t>Final Calculated Premium: $37,680 (Not Quoted due to Decline)</w:t>
      </w:r>
    </w:p>
    <w:p>
      <w:r>
        <w:t>Rationale: Base Premium ($25,120) * Loss Multiplier (1.20) * Security Multiplier (1.25) = $37,680. The calculated premium is $37,680. This comes in well below the broker's target premium of $45,000, meaning the account would be price-competitive on a hypothetical basis. However, this pricing comparison is academic: the file is declined on security grounds regardless of how favorably it would price.</w:t>
      </w:r>
    </w:p>
    <w:p>
      <w:pPr>
        <w:pStyle w:val="Heading1"/>
      </w:pPr>
      <w:r>
        <w:t>3. Limit Cap and Authority Requirements</w:t>
      </w:r>
    </w:p>
    <w:p>
      <w:r>
        <w:t>Eligible Limit: $10,000,000 (Moot due to Decline)</w:t>
      </w:r>
    </w:p>
    <w:p>
      <w:r>
        <w:t>Rationale: The missing Contractor MFA caps the maximum eligible limit at $10,000,000 per Section 5 of the guidelines. The requested limit of $15,000,000 is therefore ineligible, even setting aside the EDR decline trigger.</w:t>
      </w:r>
    </w:p>
    <w:p>
      <w:r>
        <w:t>Authority Required: Senior Underwriter (Moot due to Decline)</w:t>
      </w:r>
    </w:p>
    <w:p>
      <w:r>
        <w:t>Rationale: Both the requested $15,000,000 limit and the $10,000,000 eligible cap exceed the $5,000,000 Underwriter I authority limit under Section 7, so either would require Senior Underwriter authority to bind. However, the file is being declined outright on the mandatory EDR trigger under Section 5, so this authority determination is moot - no bind is being executed. Per Section 8 of the Underwriting Guidelines, no VP referral is required to close a file on a mandatory decline condition.</w:t>
      </w:r>
    </w:p>
    <w:p>
      <w:pPr>
        <w:pStyle w:val="Heading1"/>
      </w:pPr>
      <w:r>
        <w:t>4. Subjectivity Analysis</w:t>
      </w:r>
    </w:p>
    <w:p>
      <w:r>
        <w:t>Mandatory Security Condition: N/A (Declined)</w:t>
      </w:r>
    </w:p>
    <w:p>
      <w:r>
        <w:t>Rationale: The Third-Party Security Scan identified an Open Critical vulnerability, CVE-2023-4528 (Fortinet FortiOS Heap Buffer Overflow, CVSS 9.6), on the VPN appliance (vpn.novamart.com). This vulnerability allows unauthenticated remote code execution, which is an extremely severe risk. Normally, this finding requires either a decline or a 15-day remediation subjectivity clause per Section 6 of the guidelines. The scan history also shows two additional Critical vulnerabilities that have already been remediated and require no further underwriting action: CVE-2024-3094 (XZ Utils Backdoor on SSH/port 22, CVSS 10) on web1.novamart.com, and CVE-2022-40684 (FortiOS Authentication Bypass, CVSS 9.6), also on the VPN appliance (vpn.novamart.com, port 10443). Because the file is already being declined on the separate, mandatory EDR trigger under Section 5, the Section 6 choice between decline and subjectivity for the still-open CVE-2023-4528 is moot - the file is declined.</w:t>
      </w:r>
    </w:p>
    <w:p>
      <w:pPr>
        <w:pStyle w:val="Heading1"/>
      </w:pPr>
      <w:r>
        <w:t>5. Risk Matrix Summary</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Underwriting Finding</w:t>
            </w:r>
          </w:p>
        </w:tc>
      </w:tr>
      <w:tr>
        <w:tc>
          <w:tcPr>
            <w:tcW w:type="dxa" w:w="4320"/>
          </w:tcPr>
          <w:p>
            <w:r>
              <w:t>Loss History</w:t>
            </w:r>
          </w:p>
        </w:tc>
        <w:tc>
          <w:tcPr>
            <w:tcW w:type="dxa" w:w="4320"/>
          </w:tcPr>
          <w:p>
            <w:r>
              <w:t>$650,000 in-window Cyber-only losses (CLM-25-1102) in the 3-year lookback triggers a 1.20x penalty multiplier.</w:t>
            </w:r>
          </w:p>
        </w:tc>
      </w:tr>
      <w:tr>
        <w:tc>
          <w:tcPr>
            <w:tcW w:type="dxa" w:w="4320"/>
          </w:tcPr>
          <w:p>
            <w:r>
              <w:t>Ransomware Controls</w:t>
            </w:r>
          </w:p>
        </w:tc>
        <w:tc>
          <w:tcPr>
            <w:tcW w:type="dxa" w:w="4320"/>
          </w:tcPr>
          <w:p>
            <w:r>
              <w:t>Missing EDR on 2% of endpoints triggers hard decline. Missing MFA on Contractor Remote Access triggers 1.25x penalty and caps limit at $10,000,000.</w:t>
            </w:r>
          </w:p>
        </w:tc>
      </w:tr>
      <w:tr>
        <w:tc>
          <w:tcPr>
            <w:tcW w:type="dxa" w:w="4320"/>
          </w:tcPr>
          <w:p>
            <w:r>
              <w:t>Perimeter Security</w:t>
            </w:r>
          </w:p>
        </w:tc>
        <w:tc>
          <w:tcPr>
            <w:tcW w:type="dxa" w:w="4320"/>
          </w:tcPr>
          <w:p>
            <w:r>
              <w:t>Open Critical vulnerability CVE-2023-4528 on VPN (decline-or-15-day-subjectivity choice per Section 6, moot due to separate EDR decline). CVE-2024-3094 and CVE-2022-40684 also Critical but Remediated.</w:t>
            </w:r>
          </w:p>
        </w:tc>
      </w:tr>
      <w:tr>
        <w:tc>
          <w:tcPr>
            <w:tcW w:type="dxa" w:w="4320"/>
          </w:tcPr>
          <w:p>
            <w:r>
              <w:t>Broker Target Premium</w:t>
            </w:r>
          </w:p>
        </w:tc>
        <w:tc>
          <w:tcPr>
            <w:tcW w:type="dxa" w:w="4320"/>
          </w:tcPr>
          <w:p>
            <w:r>
              <w:t>Final calculated premium is $37,680, which is well below the broker target premium of $45,000.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Thompson</dc:creator>
  <cp:keywords/>
  <dc:description/>
  <cp:lastModifiedBy>Sarah Thompson</cp:lastModifiedBy>
  <cp:revision>1</cp:revision>
  <dcterms:created xsi:type="dcterms:W3CDTF">2026-09-12T14:10:00Z</dcterms:created>
  <dcterms:modified xsi:type="dcterms:W3CDTF">2026-09-12T14:55:00Z</dcterms:modified>
  <cp:category/>
</cp:coreProperties>
</file>