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Underwriting Memorandum: NovaMart Inc.</w:t>
      </w:r>
    </w:p>
    <w:p>
      <w:pPr>
        <w:pStyle w:val="Heading1"/>
      </w:pPr>
      <w:r>
        <w:t>1. Executive Summary</w:t>
      </w:r>
    </w:p>
    <w:p>
      <w:r>
        <w:t>Applicant: NovaMart Inc.</w:t>
        <w:br/>
        <w:t>Industry: Retail (NAICS 452112)</w:t>
        <w:br/>
        <w:t>Annual Revenue: $502,400,000</w:t>
        <w:br/>
        <w:t>Requested Limit: $15,000,000</w:t>
        <w:br/>
        <w:t>Recommendation: DECLINE</w:t>
      </w:r>
    </w:p>
    <w:p>
      <w:r>
        <w:t>Summary Justification: This risk represents a hard decline. The applicant is missing Endpoint Detection &amp; Response (EDR) on 2% of their endpoints (legacy barcode scanners) per the Ransomware Supplemental Questionnaire. Section 5 of the Underwriting Guidelines explicitly states that EDR is 'Required for all endpoints. If missing, Decline.' We cannot offer subjectivity, grace periods, or a conditional bind for missing this core security control, especially given the current threat landscape targeting retail environments. The pricing analysis and further underwriting review completed below are strictly for file documentation and auditing purposes.</w:t>
      </w:r>
    </w:p>
    <w:p>
      <w:pPr>
        <w:pStyle w:val="Heading1"/>
      </w:pPr>
      <w:r>
        <w:t>2. Premium Calculation and Surcharge Analysis</w:t>
      </w:r>
    </w:p>
    <w:p>
      <w:r>
        <w:t>Base Premium Calculation: $25,120</w:t>
        <w:br/>
        <w:t>Rationale: The TTM revenue derived from the Financial Statements Summary is $502,400,000. Using the standard retail base rate of $0.05 per $1,000 in revenue, the base premium is calculated as follows: ($502,400,000 / 1,000) * 0.05 = $25,120. The base premium is established at $25,120.</w:t>
      </w:r>
    </w:p>
    <w:p>
      <w:r>
        <w:t>Loss Run Surcharge Multiplier: 1.20x</w:t>
        <w:br/>
        <w:t>Rationale: The Loss Run History contains two cyber-only claims within the last 3 years: CLM-23-4412 (a January 2023 encrypted-laptop loss, $7,500 paid) and CLM-25-1102 (the 2025 ransomware event on the legacy ValueStore server, $650,000 paid). Whether the January 2023 claim falls inside the exact 3-year lookback window is a boundary judgment call: excluding it yields a cyber-only 3-year total of $650,000, while including it yields $657,500. Under Section 4 of the Underwriting Guidelines, both figures fall within the "Severe claims ($500k or more in the last 3 years)" band, so either interpretation results in the same 1.20x Loss Run Surcharge Multiplier. The three other in-window claims (CLM-24-8891 GL, CLM-26-0045 Property, CLM-26-0891 Auto) are non-cyber lines noted for file completeness but do not factor into this cyber-specific surcharge calculation.</w:t>
      </w:r>
    </w:p>
    <w:p>
      <w:r>
        <w:t>Security Surcharge Multiplier: 1.25x</w:t>
        <w:br/>
        <w:t>Rationale: The Ransomware Supplemental App confirms that Multi-Factor Authentication (MFA) is missing for Third-Party/Contractor Remote Access. Per Section 5 of the underwriting guidelines, missing MFA on remote access mandates a 1.25x security surcharge multiplier. This is a critical gap given that third-party vendors often serve as the initial infection vector in modern retail ransomware deployments.</w:t>
      </w:r>
    </w:p>
    <w:p>
      <w:r>
        <w:t>Final Calculated Premium: $37,680 (Not Quoted due to Decline)</w:t>
        <w:br/>
        <w:t>Rationale: Base ($25,120) * Loss Mult (1.20) * Security Mult (1.25) = $37,680. The hypothetical premium is $37,680, which is $7,320 below the broker's target premium of $45,000 per the Broker Email Correspondence. On price alone this account would be competitive and would satisfy the broker's pricing objective; however, this is immaterial to the recommendation because the mandatory decline conditions below prevent the policy from being quoted at all.</w:t>
      </w:r>
    </w:p>
    <w:p>
      <w:pPr>
        <w:pStyle w:val="Heading1"/>
      </w:pPr>
      <w:r>
        <w:t>3. Limit Cap and Authority Requirements</w:t>
      </w:r>
    </w:p>
    <w:p>
      <w:r>
        <w:t>Eligible Limit: $10,000,000 (Moot due to Decline)</w:t>
        <w:br/>
        <w:t>Rationale: The missing Contractor MFA caps the maximum eligible limit at $10,000,000 per Section 5 of the guidelines. The requested limit of $15,000,000 is therefore ineligible, even setting aside the EDR decline trigger.</w:t>
      </w:r>
    </w:p>
    <w:p>
      <w:r>
        <w:t>Authority Required: Senior Underwriter (Moot due to Decline)</w:t>
        <w:br/>
        <w:t>Rationale: The requested limit of $15,000,000 requires Senior Underwriter authority per Section 7. While the actual eligible limit is capped at $10,000,000, this still requires Senior Underwriter authority because it exceeds the $5,000,000 capacity of an Underwriter I. Regardless of authority level, per Section 8 of the Underwriting Guidelines, because the risk triggers multiple simultaneous decline conditions (missing EDR and an unresolved critical CVE on the perimeter), immediate file closure is required with no VP referral permitted.</w:t>
      </w:r>
    </w:p>
    <w:p>
      <w:pPr>
        <w:pStyle w:val="Heading1"/>
      </w:pPr>
      <w:r>
        <w:t>4. Subjectivity Analysis</w:t>
      </w:r>
    </w:p>
    <w:p>
      <w:r>
        <w:t>Mandatory Security Condition: N/A (Declined)</w:t>
        <w:br/>
        <w:t>Rationale: The Third-Party Security Scan identified an Open Critical vulnerability, CVE-2023-4528 (Fortinet FortiOS Heap Buffer Overflow), on the VPN appliance (vpn.novamart.com). This vulnerability allows unauthenticated remote code execution, which is an extremely severe risk in the current threat environment. Normally, this finding requires a 15-day remediation subjectivity clause per Section 6 of the guidelines. However, this condition is superseded by the hard decline triggered by the EDR gap. A second Critical vulnerability, CVE-2024-3094 (XZ Utils Backdoor on SSH/port 22), is present in the scan history for web1.novamart.com, but it is marked as Remediated and thus requires no further underwriting action.</w:t>
      </w:r>
    </w:p>
    <w:p>
      <w:pPr>
        <w:pStyle w:val="Heading1"/>
      </w:pPr>
      <w:r>
        <w:t>5. Risk Matrix Summary</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Underwriting Finding</w:t>
            </w:r>
          </w:p>
        </w:tc>
      </w:tr>
      <w:tr>
        <w:tc>
          <w:tcPr>
            <w:tcW w:type="dxa" w:w="4320"/>
          </w:tcPr>
          <w:p>
            <w:r>
              <w:t>Loss History</w:t>
            </w:r>
          </w:p>
        </w:tc>
        <w:tc>
          <w:tcPr>
            <w:tcW w:type="dxa" w:w="4320"/>
          </w:tcPr>
          <w:p>
            <w:r>
              <w:t>$650,000–$657,500 cyber-only losses in the last 3 years (depending on whether the January 2023 claim falls within the exact lookback window) triggers the maximum 1.20x penalty multiplier.</w:t>
            </w:r>
          </w:p>
        </w:tc>
      </w:tr>
      <w:tr>
        <w:tc>
          <w:tcPr>
            <w:tcW w:type="dxa" w:w="4320"/>
          </w:tcPr>
          <w:p>
            <w:r>
              <w:t>Ransomware Controls</w:t>
            </w:r>
          </w:p>
        </w:tc>
        <w:tc>
          <w:tcPr>
            <w:tcW w:type="dxa" w:w="4320"/>
          </w:tcPr>
          <w:p>
            <w:r>
              <w:t>Missing EDR on 2% of endpoints triggers hard decline. Missing MFA on Contractor Remote Access triggers 1.25x penalty and caps limit at $10,000,000.</w:t>
            </w:r>
          </w:p>
        </w:tc>
      </w:tr>
      <w:tr>
        <w:tc>
          <w:tcPr>
            <w:tcW w:type="dxa" w:w="4320"/>
          </w:tcPr>
          <w:p>
            <w:r>
              <w:t>Perimeter Security</w:t>
            </w:r>
          </w:p>
        </w:tc>
        <w:tc>
          <w:tcPr>
            <w:tcW w:type="dxa" w:w="4320"/>
          </w:tcPr>
          <w:p>
            <w:r>
              <w:t>Open Critical vulnerability CVE-2023-4528 on VPN. Triggers decline or 15-day subjectivity (superseded by EDR decline).</w:t>
            </w:r>
          </w:p>
        </w:tc>
      </w:tr>
      <w:tr>
        <w:tc>
          <w:tcPr>
            <w:tcW w:type="dxa" w:w="4320"/>
          </w:tcPr>
          <w:p>
            <w:r>
              <w:t>Broker Target Premium</w:t>
            </w:r>
          </w:p>
        </w:tc>
        <w:tc>
          <w:tcPr>
            <w:tcW w:type="dxa" w:w="4320"/>
          </w:tcPr>
          <w:p>
            <w:r>
              <w:t>Final calculated premium is $37,680, which is $7,320 below the broker target premium of $45,000—meeting the broker’s pricing objective, though moot given the decline.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