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Apex Industrial Chemicals - Corporate Credit Policy</w:t>
      </w:r>
    </w:p>
    <w:p>
      <w:r>
        <w:t>Effective Date: January 1, 2026</w:t>
      </w:r>
    </w:p>
    <w:p>
      <w:pPr>
        <w:pStyle w:val="Heading2"/>
      </w:pPr>
      <w:r>
        <w:t>Section 3: Trade Credit Approvals over $1,000,000</w:t>
      </w:r>
    </w:p>
    <w:p>
      <w:r>
        <w:t>Requests for unsecured open credit lines exceeding $1,000,000 or requests for extended terms (Net 60 or greater) must undergo a rigorous quantitative analysis by the Corporate Credit Department. To qualify for an UNSECURED limit of this size, the customer must meet ALL of the following criteria:</w:t>
      </w:r>
    </w:p>
    <w:p>
      <w:r>
        <w:t>1. Altman Z-Score for Private Companies: The customer must maintain a calculated Z-score of 1.80 or higher.</w:t>
      </w:r>
    </w:p>
    <w:p>
      <w:r>
        <w:t xml:space="preserve">   - Formula: Z = 1.2(A) + 1.4(B) + 3.3(C) + 0.6(D) + 1.0(E)</w:t>
      </w:r>
    </w:p>
    <w:p>
      <w:r>
        <w:t xml:space="preserve">   - Where A = Working Capital / Total Assets</w:t>
      </w:r>
    </w:p>
    <w:p>
      <w:r>
        <w:t xml:space="preserve">   - Where B = Retained Earnings / Total Assets</w:t>
      </w:r>
    </w:p>
    <w:p>
      <w:r>
        <w:t xml:space="preserve">   - Where C = EBIT / Total Assets</w:t>
      </w:r>
    </w:p>
    <w:p>
      <w:r>
        <w:t xml:space="preserve">   - Where D = Book Value of Equity / Total Liabilities</w:t>
      </w:r>
    </w:p>
    <w:p>
      <w:r>
        <w:t xml:space="preserve">   - Where E = Sales / Total Assets</w:t>
      </w:r>
    </w:p>
    <w:p>
      <w:r>
        <w:t>2. Internal Payment History: If the customer is an existing account, their average 'Days to Pay' over the most recent 3-month period on the Apex AR Ledger must not exceed 45 days. Accounts exhibiting a trend of slowing payments beyond this threshold are ineligible for limit increases.</w:t>
      </w:r>
    </w:p>
    <w:p>
      <w:r>
        <w:t>3. Public Records: The customer must have no active or unresolved bankruptcies, judgments, or tax liens exceeding $10,000 on their commercial credit report.</w:t>
      </w:r>
    </w:p>
    <w:p>
      <w:pPr>
        <w:pStyle w:val="Heading2"/>
      </w:pPr>
      <w:r>
        <w:t>Section 4: Conditional Approvals</w:t>
      </w:r>
    </w:p>
    <w:p>
      <w:r>
        <w:t>If a customer requires a credit limit exceeding $1,000,000 but fails to meet one or more of the criteria in Section 3, the Credit Analyst MUST recommend either:</w:t>
      </w:r>
    </w:p>
    <w:p>
      <w:r>
        <w:t>a) Decline the request and maintain the existing limit.</w:t>
      </w:r>
    </w:p>
    <w:p>
      <w:r>
        <w:t>b) Approve with Conditions, specifically requiring Credit Risk Mitigation (CRM) in the form of an Irrevocable Letter of Credit (ILOC) or a blanket Personal Guarantee from the majority owner(s) covering the entire requested limit.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