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Dun &amp; Bradstreet Business Credit Report</w:t>
      </w:r>
    </w:p>
    <w:p>
      <w:r>
        <w:t>Report Date: August 18, 2026</w:t>
      </w:r>
    </w:p>
    <w:p>
      <w:r>
        <w:t>Company Name: Pioneer Plastics Corporation</w:t>
      </w:r>
    </w:p>
    <w:p>
      <w:r>
        <w:t>D-U-N-S Number: 04-555-1234</w:t>
      </w:r>
    </w:p>
    <w:p>
      <w:pPr>
        <w:pStyle w:val="Heading2"/>
      </w:pPr>
      <w:r>
        <w:t>Risk Summary</w:t>
      </w:r>
    </w:p>
    <w:p>
      <w:r>
        <w:t>D&amp;B Paydex Score: 68 (Industry Median: 75). A Paydex of 68 indicates payments are typically made 15-22 days beyond terms.</w:t>
      </w:r>
    </w:p>
    <w:p>
      <w:r>
        <w:t>Overall Risk Assessment: Moderate to High Risk. The company has shown a recent deterioration in payment promptness across several major suppliers.</w:t>
      </w:r>
    </w:p>
    <w:p>
      <w:pPr>
        <w:pStyle w:val="Heading2"/>
      </w:pPr>
      <w:r>
        <w:t>Public Records &amp; Legal Filings</w:t>
      </w:r>
    </w:p>
    <w:p>
      <w:r>
        <w:t>Bankruptcies: 0</w:t>
      </w:r>
    </w:p>
    <w:p>
      <w:r>
        <w:t>Judgments: 0</w:t>
      </w:r>
    </w:p>
    <w:p>
      <w:r>
        <w:t>Liens: 1</w:t>
      </w:r>
    </w:p>
    <w:p>
      <w:r>
        <w:t>- Filed Date: July 12, 2026</w:t>
      </w:r>
    </w:p>
    <w:p>
      <w:r>
        <w:t>- Filer: State of Ohio Department of Taxation</w:t>
      </w:r>
    </w:p>
    <w:p>
      <w:r>
        <w:t>- Type: State Tax Lien</w:t>
      </w:r>
    </w:p>
    <w:p>
      <w:r>
        <w:t>- Amount: $45,000</w:t>
      </w:r>
    </w:p>
    <w:p>
      <w:r>
        <w:t>- Status: Unresolved/Open. D&amp;B contacted the company on August 10; management stated this is a dispute over equipment depreciation rules and they expect it to be resolved by Q4, but it remains officially active.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