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Trade Credit Decision Memo</w:t>
      </w:r>
    </w:p>
    <w:p>
      <w:r>
        <w:t>Date: August 20, 2026</w:t>
      </w:r>
    </w:p>
    <w:p>
      <w:r>
        <w:t>To: Corporate Credit Committee, Apex Industrial Chemicals</w:t>
      </w:r>
    </w:p>
    <w:p>
      <w:r>
        <w:t>From: Credit Analysis Team</w:t>
      </w:r>
    </w:p>
    <w:p>
      <w:r>
        <w:t>Subject: Pioneer Plastics Corporation - Credit Limit Request</w:t>
      </w:r>
    </w:p>
    <w:p>
      <w:pPr>
        <w:pStyle w:val="Heading1"/>
      </w:pPr>
      <w:r>
        <w:t>Executive Summary</w:t>
      </w:r>
    </w:p>
    <w:p>
      <w:r>
        <w:t>Pioneer Plastics Corporation has requested an increase to their unsecured trade credit limit from ,000 (Net 30) to ,500,000 (Net 60) to support a new automotive contract. Based on a comprehensive review of their financial statements, payment history, and external credit reports, the applicant fails to meet multiple mandatory criteria for a ,000,000+ unsecured line under Section 3 of the Apex Corporate Credit Policy.</w:t>
      </w:r>
    </w:p>
    <w:p>
      <w:r>
        <w:t>Recommendation: Decline. Under Section 4 of the credit policy, since Pioneer Plastics fails to meet the criteria in Section 3, we must either decline the request or approve it with conditions. Given the multiple severe failures across all three categories, our professional judgment is to decline the request and maintain the existing limit. (Alternatively, the policy permits approval with conditions provided Pioneer Plastics supplies a full Irrevocable Letter of Credit (ILOC) or a blanket Personal Guarantee covering the entire ,500,000 limit).</w:t>
      </w:r>
    </w:p>
    <w:p>
      <w:pPr>
        <w:pStyle w:val="Heading1"/>
      </w:pPr>
      <w:r>
        <w:t>Quantitative Financial Analysis</w:t>
      </w:r>
    </w:p>
    <w:p>
      <w:r>
        <w:t>Per Section 3 of the policy, unsecured requests over  require an Altman Z-Score of 1.80 or higher. Based on the 2025 unaudited financials:</w:t>
      </w:r>
    </w:p>
    <w:p>
      <w:r>
        <w:t>Total Assets = ,313,550</w:t>
        <w:br/>
        <w:t>Total Liabilities = ,192,700</w:t>
        <w:br/>
        <w:t>Working Capital = Current Assets (,185,750) - Current Liabilities (,607,700) = ,050</w:t>
      </w:r>
    </w:p>
    <w:p>
      <w:r>
        <w:t>A = Working Capital / Total Assets = ,050 / ,313,550 = 0.056</w:t>
        <w:br/>
        <w:t>B = Retained Earnings / Total Assets = ,120,850 / ,313,550 = 0.109</w:t>
        <w:br/>
        <w:t>C = EBIT / Total Assets = ,850 / ,313,550 = 0.045</w:t>
        <w:br/>
        <w:t>D = Book Value of Equity / Total Liabilities = ,120,850 / ,192,700 = 0.434</w:t>
        <w:br/>
        <w:t>E = Sales / Total Assets = ,245,600 / ,313,550 = 1.090</w:t>
      </w:r>
    </w:p>
    <w:p>
      <w:r>
        <w:t>Calculated Z-Score = 1.2(0.056) + 1.4(0.109) + 3.3(0.045) + 0.6(0.434) + 1.0(1.090) = 0.067 + 0.153 + 0.149 + 0.260 + 1.090 = 1.719.</w:t>
      </w:r>
    </w:p>
    <w:p>
      <w:r>
        <w:t>The calculated Z-score of 1.719 is below the 1.80 policy minimum, triggering a policy failure. The analysis indicates weakened liquidity and overall financial condition compared to the required threshold.</w:t>
      </w:r>
    </w:p>
    <w:p>
      <w:pPr>
        <w:pStyle w:val="Heading1"/>
      </w:pPr>
      <w:r>
        <w:t>Internal Payment History</w:t>
      </w:r>
    </w:p>
    <w:p>
      <w:r>
        <w:t>The policy requires that average 'Days to Pay' over the most recent 3-month period not exceed 45 days. Reviewing the Apex AR Ledger for Pioneer for the 3-month period ending August 20, 2026, we observe the following paid invoices:</w:t>
      </w:r>
    </w:p>
    <w:p>
      <w:r>
        <w:t>- INV-10611: Paid in 48 days.</w:t>
        <w:br/>
        <w:t>- INV-10884: Paid in 49 days.</w:t>
        <w:br/>
        <w:t>- INV-11005: Paid in 52 days.</w:t>
        <w:br/>
        <w:t>- INV-11230: Paid in 54 days.</w:t>
      </w:r>
    </w:p>
    <w:p>
      <w:r>
        <w:t>Average Days to Pay = (48 + 49 + 52 + 54) / 4 = 50.75 days.</w:t>
      </w:r>
    </w:p>
    <w:p>
      <w:r>
        <w:t>Pioneer's payment speed has slowed considerably, averaging 50.8 days over the last three months, which exceeds the 45-day maximum. This worsening trend makes them ineligible for a limit increase on unsecured terms.</w:t>
      </w:r>
    </w:p>
    <w:p>
      <w:pPr>
        <w:pStyle w:val="Heading1"/>
      </w:pPr>
      <w:r>
        <w:t>Public Records and External Credit Assessment</w:t>
      </w:r>
    </w:p>
    <w:p>
      <w:r>
        <w:t>The D&amp;B Credit Report indicates a Paydex score of 68, corroborating our internal findings of slow payments (15-22 days past terms). The report also shows an active State Tax Lien filed on July 12, 2026, for ,000.</w:t>
      </w:r>
    </w:p>
    <w:p>
      <w:r>
        <w:t>Section 3 of the credit policy strictly prohibits active or unresolved tax liens exceeding ,000. While management claims this is a dispute over depreciation rules, it remains legally active and constitutes a hard failure of the policy criteria.</w:t>
      </w:r>
    </w:p>
    <w:p>
      <w:pPr>
        <w:pStyle w:val="Heading1"/>
      </w:pPr>
      <w:r>
        <w:t>Conclusion</w:t>
      </w:r>
    </w:p>
    <w:p>
      <w:r>
        <w:t>Pioneer Plastics failed all three major criteria for a ,000,000+ unsecured open credit line. They missed the Z-score minimum (1.719 vs 1.80), exceeded the allowable internal days-to-pay metric (50.8 vs 45), and carry an unresolved ,000 tax lien. Consequently, we cannot grant the .5M unsecured limit. Per Section 4 of the credit policy, this requires either declining the request or granting conditional approval with the risk fully mitigated via an Irrevocable Letter of Credit or a blanket Personal Guarantee. Our professional judgment is to decline the request given the severity of the failures.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